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4F23" w14:textId="77777777" w:rsidR="008B2CC1" w:rsidRPr="00C74CAA" w:rsidRDefault="00CC3E2D" w:rsidP="00CC3E2D">
      <w:pPr>
        <w:pBdr>
          <w:bottom w:val="single" w:sz="4" w:space="10" w:color="auto"/>
        </w:pBdr>
        <w:bidi w:val="0"/>
        <w:spacing w:after="120"/>
        <w:rPr>
          <w:b/>
          <w:sz w:val="32"/>
          <w:szCs w:val="40"/>
        </w:rPr>
      </w:pPr>
      <w:r w:rsidRPr="00C74CAA">
        <w:rPr>
          <w:b/>
          <w:noProof/>
          <w:sz w:val="32"/>
          <w:szCs w:val="40"/>
          <w:lang w:eastAsia="en-US"/>
        </w:rPr>
        <mc:AlternateContent>
          <mc:Choice Requires="wpg">
            <w:drawing>
              <wp:inline distT="0" distB="0" distL="0" distR="0" wp14:anchorId="695EF7FC" wp14:editId="7B5C69C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BCE89B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8A3C1AA" w14:textId="6F6EBDC7" w:rsidR="008B2CC1" w:rsidRPr="00C74CAA" w:rsidRDefault="00DE30F4" w:rsidP="00DE30F4">
      <w:pPr>
        <w:bidi w:val="0"/>
        <w:rPr>
          <w:rFonts w:ascii="Arial Black" w:hAnsi="Arial Black"/>
          <w:caps/>
          <w:sz w:val="15"/>
          <w:szCs w:val="15"/>
          <w:rtl/>
          <w:lang w:val="fr-CH" w:bidi="ar-SY"/>
        </w:rPr>
      </w:pPr>
      <w:r w:rsidRPr="00C74CAA">
        <w:rPr>
          <w:rFonts w:ascii="Arial Black" w:hAnsi="Arial Black"/>
          <w:caps/>
          <w:sz w:val="15"/>
          <w:szCs w:val="15"/>
        </w:rPr>
        <w:t>IPC/CE</w:t>
      </w:r>
      <w:r w:rsidR="00EC18A4" w:rsidRPr="00C74CAA">
        <w:rPr>
          <w:rFonts w:ascii="Arial Black" w:hAnsi="Arial Black"/>
          <w:caps/>
          <w:sz w:val="15"/>
          <w:szCs w:val="15"/>
        </w:rPr>
        <w:t>/</w:t>
      </w:r>
      <w:r w:rsidR="00796E75">
        <w:rPr>
          <w:rFonts w:ascii="Arial Black" w:hAnsi="Arial Black"/>
          <w:caps/>
          <w:sz w:val="15"/>
          <w:szCs w:val="15"/>
        </w:rPr>
        <w:t>56</w:t>
      </w:r>
      <w:r w:rsidR="00EC18A4" w:rsidRPr="00C74CAA">
        <w:rPr>
          <w:rFonts w:ascii="Arial Black" w:hAnsi="Arial Black"/>
          <w:caps/>
          <w:sz w:val="15"/>
          <w:szCs w:val="15"/>
        </w:rPr>
        <w:t>/</w:t>
      </w:r>
      <w:bookmarkStart w:id="0" w:name="Code"/>
      <w:bookmarkEnd w:id="0"/>
      <w:r w:rsidR="00CC048B">
        <w:rPr>
          <w:rFonts w:ascii="Arial Black" w:hAnsi="Arial Black"/>
          <w:caps/>
          <w:sz w:val="15"/>
          <w:szCs w:val="15"/>
        </w:rPr>
        <w:t>2</w:t>
      </w:r>
    </w:p>
    <w:p w14:paraId="2D496955" w14:textId="77777777" w:rsidR="008B2CC1" w:rsidRPr="00C74CAA" w:rsidRDefault="00CC3E2D" w:rsidP="00CC3E2D">
      <w:pPr>
        <w:jc w:val="right"/>
        <w:rPr>
          <w:rFonts w:asciiTheme="minorHAnsi" w:hAnsiTheme="minorHAnsi" w:cstheme="minorHAnsi"/>
          <w:caps/>
          <w:sz w:val="15"/>
          <w:szCs w:val="15"/>
          <w:rtl/>
          <w:lang w:bidi="ar-LB"/>
        </w:rPr>
      </w:pPr>
      <w:bookmarkStart w:id="1" w:name="Original"/>
      <w:r w:rsidRPr="00C74CAA">
        <w:rPr>
          <w:rFonts w:asciiTheme="minorHAnsi" w:hAnsiTheme="minorHAnsi" w:cstheme="minorHAnsi" w:hint="cs"/>
          <w:b/>
          <w:bCs/>
          <w:caps/>
          <w:sz w:val="15"/>
          <w:szCs w:val="15"/>
          <w:rtl/>
        </w:rPr>
        <w:t>الأصل</w:t>
      </w:r>
      <w:r w:rsidR="00EC18A4" w:rsidRPr="00C74CAA">
        <w:rPr>
          <w:rFonts w:asciiTheme="minorHAnsi" w:hAnsiTheme="minorHAnsi" w:cstheme="minorHAnsi" w:hint="cs"/>
          <w:caps/>
          <w:sz w:val="15"/>
          <w:szCs w:val="15"/>
          <w:rtl/>
        </w:rPr>
        <w:t>:</w:t>
      </w:r>
      <w:r w:rsidR="00EC18A4" w:rsidRPr="00C74CAA">
        <w:rPr>
          <w:rFonts w:asciiTheme="minorHAnsi" w:hAnsiTheme="minorHAnsi" w:cstheme="minorHAnsi" w:hint="cs"/>
          <w:caps/>
          <w:sz w:val="15"/>
          <w:szCs w:val="15"/>
          <w:rtl/>
          <w:lang w:bidi="ar-LB"/>
        </w:rPr>
        <w:t xml:space="preserve"> </w:t>
      </w:r>
      <w:r w:rsidR="00EC18A4" w:rsidRPr="00C74CAA">
        <w:rPr>
          <w:rFonts w:asciiTheme="minorHAnsi" w:hAnsiTheme="minorHAnsi" w:cstheme="minorHAnsi" w:hint="cs"/>
          <w:b/>
          <w:bCs/>
          <w:caps/>
          <w:sz w:val="15"/>
          <w:szCs w:val="15"/>
          <w:rtl/>
          <w:lang w:bidi="ar-LB"/>
        </w:rPr>
        <w:t>بالإنكليزية</w:t>
      </w:r>
    </w:p>
    <w:p w14:paraId="745A9BCC" w14:textId="43F02545" w:rsidR="008B2CC1" w:rsidRPr="00C74CAA" w:rsidRDefault="00CC3E2D" w:rsidP="00E4796A">
      <w:pPr>
        <w:spacing w:after="1200"/>
        <w:jc w:val="right"/>
        <w:rPr>
          <w:rFonts w:asciiTheme="minorHAnsi" w:hAnsiTheme="minorHAnsi" w:cstheme="minorHAnsi"/>
          <w:b/>
          <w:bCs/>
          <w:caps/>
          <w:sz w:val="15"/>
          <w:szCs w:val="15"/>
        </w:rPr>
      </w:pPr>
      <w:bookmarkStart w:id="2" w:name="Date"/>
      <w:bookmarkEnd w:id="1"/>
      <w:r w:rsidRPr="00C74CAA">
        <w:rPr>
          <w:rFonts w:asciiTheme="minorHAnsi" w:hAnsiTheme="minorHAnsi" w:cstheme="minorHAnsi" w:hint="cs"/>
          <w:b/>
          <w:bCs/>
          <w:caps/>
          <w:sz w:val="15"/>
          <w:szCs w:val="15"/>
          <w:rtl/>
        </w:rPr>
        <w:t>التاريخ:</w:t>
      </w:r>
      <w:r w:rsidR="00192001">
        <w:rPr>
          <w:rFonts w:asciiTheme="minorHAnsi" w:hAnsiTheme="minorHAnsi" w:cstheme="minorHAnsi" w:hint="cs"/>
          <w:b/>
          <w:bCs/>
          <w:caps/>
          <w:sz w:val="15"/>
          <w:szCs w:val="15"/>
          <w:rtl/>
        </w:rPr>
        <w:t xml:space="preserve"> </w:t>
      </w:r>
      <w:r w:rsidR="00CC048B">
        <w:rPr>
          <w:rFonts w:asciiTheme="minorHAnsi" w:hAnsiTheme="minorHAnsi" w:cstheme="minorHAnsi" w:hint="cs"/>
          <w:b/>
          <w:bCs/>
          <w:caps/>
          <w:sz w:val="15"/>
          <w:szCs w:val="15"/>
          <w:rtl/>
          <w:lang w:bidi="ar-LB"/>
        </w:rPr>
        <w:t>21 مارس 2025</w:t>
      </w:r>
    </w:p>
    <w:bookmarkEnd w:id="2"/>
    <w:p w14:paraId="5317CA9C" w14:textId="77777777" w:rsidR="008B2CC1" w:rsidRPr="00C74CAA" w:rsidRDefault="00EC18A4" w:rsidP="006A26B5">
      <w:pPr>
        <w:pStyle w:val="Heading1"/>
        <w:rPr>
          <w:rtl/>
        </w:rPr>
      </w:pPr>
      <w:r w:rsidRPr="00C74CAA">
        <w:rPr>
          <w:rtl/>
        </w:rPr>
        <w:t>الاتحاد الخاص للتصنيف الدولي للبراءات</w:t>
      </w:r>
    </w:p>
    <w:p w14:paraId="52C492EB" w14:textId="77777777" w:rsidR="00EC18A4" w:rsidRPr="00C74CAA" w:rsidRDefault="00DE30F4" w:rsidP="006A26B5">
      <w:pPr>
        <w:pStyle w:val="Heading1"/>
      </w:pPr>
      <w:r w:rsidRPr="00C74CAA">
        <w:rPr>
          <w:rtl/>
        </w:rPr>
        <w:t>لجنة الخبراء</w:t>
      </w:r>
    </w:p>
    <w:p w14:paraId="5A452FD0" w14:textId="77777777" w:rsidR="00EC18A4" w:rsidRPr="00C74CAA" w:rsidRDefault="00EC18A4" w:rsidP="00EC18A4"/>
    <w:p w14:paraId="2B4834BA" w14:textId="3F514203" w:rsidR="00A90F0A" w:rsidRPr="00C74CAA" w:rsidRDefault="00D67EAE" w:rsidP="009E6BF4">
      <w:pPr>
        <w:outlineLvl w:val="1"/>
        <w:rPr>
          <w:rFonts w:asciiTheme="minorHAnsi" w:hAnsiTheme="minorHAnsi" w:cstheme="minorHAnsi"/>
          <w:bCs/>
          <w:sz w:val="24"/>
          <w:szCs w:val="24"/>
        </w:rPr>
      </w:pPr>
      <w:r w:rsidRPr="00C74CAA">
        <w:rPr>
          <w:rFonts w:asciiTheme="minorHAnsi" w:hAnsiTheme="minorHAnsi" w:cstheme="minorHAnsi" w:hint="cs"/>
          <w:bCs/>
          <w:sz w:val="24"/>
          <w:szCs w:val="24"/>
          <w:rtl/>
        </w:rPr>
        <w:t xml:space="preserve">الدورة </w:t>
      </w:r>
      <w:r w:rsidR="000A7B56">
        <w:rPr>
          <w:rFonts w:asciiTheme="minorHAnsi" w:hAnsiTheme="minorHAnsi" w:cstheme="minorHAnsi" w:hint="cs"/>
          <w:bCs/>
          <w:sz w:val="24"/>
          <w:szCs w:val="24"/>
          <w:rtl/>
        </w:rPr>
        <w:t>ال</w:t>
      </w:r>
      <w:r w:rsidR="00796E75">
        <w:rPr>
          <w:rFonts w:asciiTheme="minorHAnsi" w:hAnsiTheme="minorHAnsi" w:cstheme="minorHAnsi" w:hint="cs"/>
          <w:bCs/>
          <w:sz w:val="24"/>
          <w:szCs w:val="24"/>
          <w:rtl/>
        </w:rPr>
        <w:t>س</w:t>
      </w:r>
      <w:r w:rsidR="000A7B56">
        <w:rPr>
          <w:rFonts w:asciiTheme="minorHAnsi" w:hAnsiTheme="minorHAnsi" w:cstheme="minorHAnsi" w:hint="cs"/>
          <w:bCs/>
          <w:sz w:val="24"/>
          <w:szCs w:val="24"/>
          <w:rtl/>
        </w:rPr>
        <w:t>ا</w:t>
      </w:r>
      <w:r w:rsidR="00796E75">
        <w:rPr>
          <w:rFonts w:asciiTheme="minorHAnsi" w:hAnsiTheme="minorHAnsi" w:cstheme="minorHAnsi" w:hint="cs"/>
          <w:bCs/>
          <w:sz w:val="24"/>
          <w:szCs w:val="24"/>
          <w:rtl/>
        </w:rPr>
        <w:t>د</w:t>
      </w:r>
      <w:r w:rsidR="000A7B56">
        <w:rPr>
          <w:rFonts w:asciiTheme="minorHAnsi" w:hAnsiTheme="minorHAnsi" w:cstheme="minorHAnsi" w:hint="cs"/>
          <w:bCs/>
          <w:sz w:val="24"/>
          <w:szCs w:val="24"/>
          <w:rtl/>
        </w:rPr>
        <w:t xml:space="preserve">سة </w:t>
      </w:r>
      <w:r w:rsidRPr="00C74CAA">
        <w:rPr>
          <w:rFonts w:asciiTheme="minorHAnsi" w:hAnsiTheme="minorHAnsi" w:cstheme="minorHAnsi" w:hint="cs"/>
          <w:bCs/>
          <w:sz w:val="24"/>
          <w:szCs w:val="24"/>
          <w:rtl/>
        </w:rPr>
        <w:t>وال</w:t>
      </w:r>
      <w:r w:rsidR="00DE30F4" w:rsidRPr="00C74CAA">
        <w:rPr>
          <w:rFonts w:asciiTheme="minorHAnsi" w:hAnsiTheme="minorHAnsi" w:cstheme="minorHAnsi" w:hint="cs"/>
          <w:bCs/>
          <w:sz w:val="24"/>
          <w:szCs w:val="24"/>
          <w:rtl/>
        </w:rPr>
        <w:t>خمس</w:t>
      </w:r>
      <w:r w:rsidRPr="00C74CAA">
        <w:rPr>
          <w:rFonts w:asciiTheme="minorHAnsi" w:hAnsiTheme="minorHAnsi" w:cstheme="minorHAnsi" w:hint="cs"/>
          <w:bCs/>
          <w:sz w:val="24"/>
          <w:szCs w:val="24"/>
          <w:rtl/>
        </w:rPr>
        <w:t>ون</w:t>
      </w:r>
    </w:p>
    <w:p w14:paraId="0C1B8835" w14:textId="0CBF7DBB" w:rsidR="008B2CC1" w:rsidRPr="00C74CAA" w:rsidRDefault="00256554" w:rsidP="009E6BF4">
      <w:pPr>
        <w:spacing w:after="720"/>
        <w:outlineLvl w:val="1"/>
        <w:rPr>
          <w:rFonts w:asciiTheme="minorHAnsi" w:hAnsiTheme="minorHAnsi" w:cstheme="minorHAnsi"/>
          <w:bCs/>
          <w:sz w:val="24"/>
          <w:szCs w:val="24"/>
        </w:rPr>
      </w:pPr>
      <w:r w:rsidRPr="00C74CAA">
        <w:rPr>
          <w:rFonts w:asciiTheme="minorHAnsi" w:hAnsiTheme="minorHAnsi" w:cstheme="minorHAnsi" w:hint="cs"/>
          <w:bCs/>
          <w:sz w:val="24"/>
          <w:szCs w:val="24"/>
          <w:rtl/>
        </w:rPr>
        <w:t xml:space="preserve">جنيف، </w:t>
      </w:r>
      <w:r w:rsidR="00796E75" w:rsidRPr="00796E75">
        <w:rPr>
          <w:rFonts w:asciiTheme="minorHAnsi" w:hAnsiTheme="minorHAnsi"/>
          <w:bCs/>
          <w:sz w:val="24"/>
          <w:szCs w:val="24"/>
          <w:rtl/>
        </w:rPr>
        <w:t>من 25 إلى 27 فبراير 2025</w:t>
      </w:r>
    </w:p>
    <w:p w14:paraId="17451B6B" w14:textId="19624391" w:rsidR="008B2CC1" w:rsidRPr="00C74CAA" w:rsidRDefault="006A26B5" w:rsidP="00DE30F4">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التقرير</w:t>
      </w:r>
    </w:p>
    <w:p w14:paraId="51399A42" w14:textId="5A18F746" w:rsidR="002928D3" w:rsidRPr="00C74CAA" w:rsidRDefault="006A26B5" w:rsidP="00EC18A4">
      <w:pPr>
        <w:spacing w:after="1040"/>
        <w:rPr>
          <w:rFonts w:asciiTheme="minorHAnsi" w:hAnsiTheme="minorHAnsi" w:cstheme="minorHAnsi"/>
          <w:iCs/>
          <w:rtl/>
        </w:rPr>
      </w:pPr>
      <w:bookmarkStart w:id="4" w:name="Prepared"/>
      <w:bookmarkEnd w:id="3"/>
      <w:bookmarkEnd w:id="4"/>
      <w:r>
        <w:rPr>
          <w:rFonts w:hint="cs"/>
          <w:i/>
          <w:iCs/>
          <w:rtl/>
        </w:rPr>
        <w:t>الذي اعتمدته لجنة الخبراء</w:t>
      </w:r>
    </w:p>
    <w:p w14:paraId="545E118B" w14:textId="77777777" w:rsidR="00CC048B" w:rsidRPr="003E33B9" w:rsidRDefault="00CC048B" w:rsidP="006A26B5">
      <w:pPr>
        <w:pStyle w:val="Heading1"/>
        <w:rPr>
          <w:rtl/>
        </w:rPr>
      </w:pPr>
      <w:r>
        <w:rPr>
          <w:rFonts w:hint="cs"/>
          <w:rtl/>
        </w:rPr>
        <w:t>مقدمة</w:t>
      </w:r>
    </w:p>
    <w:p w14:paraId="37D3F39D" w14:textId="77777777" w:rsidR="00CC048B" w:rsidRPr="001469CC" w:rsidRDefault="00CC048B" w:rsidP="00CC048B">
      <w:pPr>
        <w:pStyle w:val="ONUME"/>
        <w:rPr>
          <w:rtl/>
        </w:rPr>
      </w:pPr>
      <w:r>
        <w:rPr>
          <w:rFonts w:hint="cs"/>
          <w:rtl/>
        </w:rPr>
        <w:t>عقدت لجنة الخبراء التابعة للاتحاد الخاص للتصنيف الدولي للبراءات (يشار إليها فيما يلي باسم "اللجنة") دورتها السادسة والخمسين من 25 إلى 27 فبراير 2025.  وكان أعضاء اللجنة التالية أسماؤهم ممثلين في الدورة:  أرمينيا، أستراليا، النمسا، بيلاروس، البرازيل، بلغاريا، كندا، الصين، كرواتيا، الجمهورية التشيكية، الدنمارك، مصر، إستونيا، فنلندا، فرنسا، ألمانيا، اليونان، أيرلندا، إسرائيل، إيطاليا، اليابان، قيرغيزستان، المكسيك، (مملكة) هولندا، النرويج، بيرو، البرتغال، جمهورية كوريا، جمهورية مولدوفا، رومانيا، الاتحاد الروسي، المملكة العربية السعودية، صربيا، إسبانيا، السويد، سويسرا، تركيا، المملكة المتحدة، الولايات المتحدة الأمريكية، أوزبكستان (40).  وكانت قبرص والهند والمكتب الأوروبي للبراءات (</w:t>
      </w:r>
      <w:r>
        <w:t>EPO</w:t>
      </w:r>
      <w:r>
        <w:rPr>
          <w:rFonts w:hint="cs"/>
          <w:rtl/>
        </w:rPr>
        <w:t>) والجمعية الأوروبية لطلاب الحقوق (</w:t>
      </w:r>
      <w:r>
        <w:t>ELSA International</w:t>
      </w:r>
      <w:r>
        <w:rPr>
          <w:rFonts w:hint="cs"/>
          <w:rtl/>
        </w:rPr>
        <w:t>) ممثلة أيضا.  وترد قائمة المشاركين في المرفق الأول لهذا التقرير.</w:t>
      </w:r>
    </w:p>
    <w:p w14:paraId="59359A03" w14:textId="77777777" w:rsidR="00CC048B" w:rsidRPr="001469CC" w:rsidRDefault="00CC048B" w:rsidP="00CC048B">
      <w:pPr>
        <w:pStyle w:val="ONUME"/>
        <w:rPr>
          <w:rtl/>
        </w:rPr>
      </w:pPr>
      <w:r>
        <w:rPr>
          <w:rFonts w:hint="cs"/>
          <w:rtl/>
        </w:rPr>
        <w:t xml:space="preserve">وافتتح الدورة السيد كينيشيرو ناتسومي، مساعد المدير العام، ورحب بالمشاركين.  </w:t>
      </w:r>
    </w:p>
    <w:p w14:paraId="786245F8" w14:textId="77777777" w:rsidR="00CC048B" w:rsidRPr="00C95CA3" w:rsidRDefault="00CC048B" w:rsidP="00CC048B">
      <w:pPr>
        <w:pStyle w:val="ONUME"/>
        <w:numPr>
          <w:ilvl w:val="0"/>
          <w:numId w:val="0"/>
        </w:numPr>
      </w:pPr>
    </w:p>
    <w:p w14:paraId="6D2335F9" w14:textId="77777777" w:rsidR="00CC048B" w:rsidRPr="00C95CA3" w:rsidRDefault="00CC048B" w:rsidP="006A26B5">
      <w:pPr>
        <w:pStyle w:val="Heading1"/>
        <w:rPr>
          <w:rtl/>
        </w:rPr>
      </w:pPr>
      <w:r>
        <w:rPr>
          <w:rFonts w:hint="cs"/>
          <w:rtl/>
        </w:rPr>
        <w:br w:type="page"/>
      </w:r>
      <w:r>
        <w:rPr>
          <w:rFonts w:hint="cs"/>
          <w:rtl/>
        </w:rPr>
        <w:lastRenderedPageBreak/>
        <w:t>أعضاء المكتب</w:t>
      </w:r>
    </w:p>
    <w:p w14:paraId="7ADA8D76" w14:textId="77777777" w:rsidR="00CC048B" w:rsidRPr="00C95CA3" w:rsidRDefault="00CC048B" w:rsidP="00CC048B">
      <w:pPr>
        <w:pStyle w:val="ONUME"/>
        <w:rPr>
          <w:rtl/>
        </w:rPr>
      </w:pPr>
      <w:r>
        <w:rPr>
          <w:rFonts w:hint="cs"/>
          <w:rtl/>
        </w:rPr>
        <w:t>أعادت اللجنة انتخاب السيد السيد فيرغال برادي (أيرلندا) بالإجماع رئيساً، وانتختب السيدة ماغالي ماتون (فرنسا) والسيد هي سانغ شين، نائبين للرئيس.</w:t>
      </w:r>
    </w:p>
    <w:p w14:paraId="2D71D963" w14:textId="77777777" w:rsidR="00CC048B" w:rsidRPr="00C95CA3" w:rsidRDefault="00CC048B" w:rsidP="00CC048B">
      <w:pPr>
        <w:pStyle w:val="ONUME"/>
        <w:rPr>
          <w:rtl/>
        </w:rPr>
      </w:pPr>
      <w:r>
        <w:rPr>
          <w:rFonts w:hint="cs"/>
          <w:rtl/>
        </w:rPr>
        <w:t>وتولت السيدة كزو نينغ (الويبو) مهمة أمين الدورة.</w:t>
      </w:r>
    </w:p>
    <w:p w14:paraId="03AD65A3" w14:textId="77777777" w:rsidR="00CC048B" w:rsidRPr="006A26B5" w:rsidRDefault="00CC048B" w:rsidP="006A26B5">
      <w:pPr>
        <w:pStyle w:val="Heading1"/>
        <w:rPr>
          <w:rtl/>
        </w:rPr>
      </w:pPr>
      <w:r w:rsidRPr="006A26B5">
        <w:rPr>
          <w:rFonts w:hint="cs"/>
          <w:rtl/>
        </w:rPr>
        <w:t>اعتماد جدول الأعمال</w:t>
      </w:r>
    </w:p>
    <w:p w14:paraId="2E20DA4F" w14:textId="77777777" w:rsidR="00CC048B" w:rsidRPr="00C95CA3" w:rsidRDefault="00CC048B" w:rsidP="00CC048B">
      <w:pPr>
        <w:pStyle w:val="ONUME"/>
        <w:rPr>
          <w:rtl/>
        </w:rPr>
      </w:pPr>
      <w:r>
        <w:rPr>
          <w:rFonts w:hint="cs"/>
          <w:rtl/>
        </w:rPr>
        <w:t>اعتمدت اللجنة بالإجماع جدول الأعمال الوارد في المرفق الثاني لهذا التقرير.</w:t>
      </w:r>
    </w:p>
    <w:p w14:paraId="3D63D61A" w14:textId="77777777" w:rsidR="00CC048B" w:rsidRPr="00C95CA3" w:rsidRDefault="00CC048B" w:rsidP="00CC048B">
      <w:pPr>
        <w:pStyle w:val="ONUME"/>
        <w:rPr>
          <w:rtl/>
        </w:rPr>
      </w:pPr>
      <w:r>
        <w:rPr>
          <w:rFonts w:hint="cs"/>
          <w:rtl/>
        </w:rPr>
        <w:t xml:space="preserve">ووفقاً لما قرّرته هيئات الويبو الرئاسية في سلسلة اجتماعاتها العاشرة التي عُقدت في الفترة من 24 سبتمبر إلى 2 أكتوبر 1979 (انظر الفقرتين 51 و52 من الوثيقة </w:t>
      </w:r>
      <w:r>
        <w:t>AB/X/32</w:t>
      </w:r>
      <w:r>
        <w:rPr>
          <w:rFonts w:hint="cs"/>
          <w:rtl/>
        </w:rPr>
        <w:t>)، لا يشتمل تقرير هذه الدورة إلا على استنتاجات اللجنة (القرارات والتوصيات والآراء وما إلى ذلك) ولا يشتمل، بصفة خاصة، على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الاستنتاج.</w:t>
      </w:r>
    </w:p>
    <w:p w14:paraId="3A196F46" w14:textId="77777777" w:rsidR="00CC048B" w:rsidRDefault="00CC048B" w:rsidP="006A26B5">
      <w:pPr>
        <w:pStyle w:val="Heading1"/>
        <w:rPr>
          <w:rtl/>
        </w:rPr>
      </w:pPr>
      <w:r>
        <w:rPr>
          <w:rFonts w:hint="cs"/>
          <w:rtl/>
        </w:rPr>
        <w:t>تقرير عن الدورة السابعة والعشرين للفريق العامل الأول لمكاتب الملكية الفكرية الخمسة والمعني بالتصنيف (</w:t>
      </w:r>
      <w:r>
        <w:t>IP5 WG-1)</w:t>
      </w:r>
    </w:p>
    <w:p w14:paraId="7CCEA35F" w14:textId="77777777" w:rsidR="00CC048B" w:rsidRDefault="00CC048B" w:rsidP="00CC048B">
      <w:pPr>
        <w:pStyle w:val="ONUME"/>
        <w:tabs>
          <w:tab w:val="left" w:pos="567"/>
          <w:tab w:val="num" w:pos="1134"/>
        </w:tabs>
        <w:spacing w:after="0"/>
        <w:rPr>
          <w:rtl/>
        </w:rPr>
      </w:pPr>
      <w:r>
        <w:rPr>
          <w:rFonts w:hint="cs"/>
          <w:rtl/>
        </w:rPr>
        <w:t>أحاطت اللجنة علماً بالتقرير الشفهي الذي قدمته جمهورية كوريا نيابة عن مكاتب الملكية الفكرية الخمسة، عن الدورة السابعة والعشرين للفريق العامل الأول لمكاتب الملكية الفكرية الخمسة والمعني بالتصنيف (الفريق العامل الأول المعني بالتصنيف)، والتي انعقت إلكترونيا من 24 إلى 30 سبتمبر 2024.</w:t>
      </w:r>
    </w:p>
    <w:p w14:paraId="1E5E76A3" w14:textId="77777777" w:rsidR="00CC048B" w:rsidRDefault="00CC048B" w:rsidP="00CC048B">
      <w:pPr>
        <w:pStyle w:val="ONUME"/>
        <w:numPr>
          <w:ilvl w:val="0"/>
          <w:numId w:val="0"/>
        </w:numPr>
        <w:spacing w:after="0"/>
      </w:pPr>
    </w:p>
    <w:p w14:paraId="28FA2043" w14:textId="77777777" w:rsidR="00CC048B" w:rsidRDefault="00CC048B" w:rsidP="00CC048B">
      <w:pPr>
        <w:pStyle w:val="ONUME"/>
        <w:rPr>
          <w:rtl/>
        </w:rPr>
      </w:pPr>
      <w:r>
        <w:rPr>
          <w:rFonts w:hint="cs"/>
          <w:rtl/>
        </w:rPr>
        <w:t xml:space="preserve">ووافقت مكاتب الملكية الفكرية الخمسة على ترقية خمسة مشاريع خاصة بها (مشاريع </w:t>
      </w:r>
      <w:r>
        <w:t>F</w:t>
      </w:r>
      <w:r>
        <w:rPr>
          <w:rFonts w:hint="cs"/>
          <w:rtl/>
        </w:rPr>
        <w:t xml:space="preserve">) إلى مرحلة التصنيف الدولي للبراءات، وواحد منها كان من المجالات المرشحة لتكون ضمن خارطة طريق مراجعة التصنيف الدولي للبراءات (المشار إليها فيما بعد باسم "خارطة الطريق").  </w:t>
      </w:r>
    </w:p>
    <w:p w14:paraId="1EB46409" w14:textId="2D4B14A0" w:rsidR="00CC048B" w:rsidRDefault="00CC048B" w:rsidP="00CC048B">
      <w:pPr>
        <w:pStyle w:val="ONUME"/>
        <w:rPr>
          <w:rtl/>
        </w:rPr>
      </w:pPr>
      <w:r>
        <w:rPr>
          <w:rFonts w:hint="cs"/>
          <w:rtl/>
        </w:rPr>
        <w:t xml:space="preserve">وأُشير إلى أن المكتب الكوري للبراءات، نيابة عن مكاتب الملكية الفكرية الخمسة، قد نشر في المنتدى الإلكتروني للتصنيف الدولي للبراءات، في إطار المشروع </w:t>
      </w:r>
      <w:hyperlink r:id="rId12" w:history="1">
        <w:r>
          <w:rPr>
            <w:rStyle w:val="Hyperlink"/>
          </w:rPr>
          <w:t>CE 456</w:t>
        </w:r>
      </w:hyperlink>
      <w:r>
        <w:rPr>
          <w:rFonts w:hint="cs"/>
          <w:rtl/>
        </w:rPr>
        <w:t>، القوائم المحدثة لجميع مشاريع ومقترحات مكاتب الملكية الفكرية الخمسة الجارية (انظر(ي) المرفق 48 من ملف المشروع) من أجل تجنب التداخل بين طلبات مراجعة التصنيف الدولي للبراءات وأنشطة المراجعة المستمرة لمكاتب الملكية الفكرية الخمسة.</w:t>
      </w:r>
    </w:p>
    <w:p w14:paraId="096E81DE" w14:textId="77777777" w:rsidR="00CC048B" w:rsidRDefault="00CC048B" w:rsidP="006A26B5">
      <w:pPr>
        <w:pStyle w:val="ONUME"/>
        <w:tabs>
          <w:tab w:val="left" w:pos="567"/>
          <w:tab w:val="num" w:pos="1134"/>
        </w:tabs>
        <w:rPr>
          <w:rtl/>
        </w:rPr>
      </w:pPr>
      <w:r>
        <w:rPr>
          <w:rFonts w:hint="cs"/>
          <w:rtl/>
        </w:rPr>
        <w:t>وأحاطت اللجنة علما كذلك بأن المكتب الكوري للملكية الفكرية سيستضيف الدورة الثامنة والعشرين للفريق العامل الأول لمكاتب الملكية الفكرية الخمسة التي ستعقد حضوريا في الفترة من 24 إلى 28 مارس 2025.</w:t>
      </w:r>
    </w:p>
    <w:p w14:paraId="6F78D7E5" w14:textId="77777777" w:rsidR="00CC048B" w:rsidRDefault="00CC048B" w:rsidP="006A26B5">
      <w:pPr>
        <w:pStyle w:val="Heading1"/>
        <w:rPr>
          <w:rtl/>
        </w:rPr>
      </w:pPr>
      <w:r>
        <w:rPr>
          <w:rFonts w:hint="cs"/>
          <w:rtl/>
        </w:rPr>
        <w:t>تقرير عن تقدم برنامج مراجعة التصنيف الدولي للبراءات</w:t>
      </w:r>
    </w:p>
    <w:p w14:paraId="09FF5984" w14:textId="57845CF2" w:rsidR="00CC048B" w:rsidRPr="00F74FB9" w:rsidRDefault="00CC048B" w:rsidP="00CC048B">
      <w:pPr>
        <w:pStyle w:val="ONUME"/>
        <w:rPr>
          <w:rtl/>
        </w:rPr>
      </w:pPr>
      <w:r>
        <w:rPr>
          <w:rFonts w:hint="cs"/>
          <w:rtl/>
        </w:rPr>
        <w:t xml:space="preserve">أحاطت اللجنة علما بتقرير مرحلي وارد في المرفق 25 بملف المشروع </w:t>
      </w:r>
      <w:hyperlink r:id="rId13" w:history="1">
        <w:r>
          <w:rPr>
            <w:rStyle w:val="Hyperlink"/>
          </w:rPr>
          <w:t>CE 462</w:t>
        </w:r>
      </w:hyperlink>
      <w:r>
        <w:rPr>
          <w:rFonts w:hint="cs"/>
          <w:rtl/>
        </w:rPr>
        <w:t xml:space="preserve"> أعده المكتب الدولي ويتضمن تحديثات عن أنشطة الفريق العامل المعني بمراجعة التصنيف الدولي للبراءات (المشار إليه فيما يلي باسم " الفريق العامل ") إلى غاية أوائل 2025.</w:t>
      </w:r>
    </w:p>
    <w:p w14:paraId="2419D108" w14:textId="77777777" w:rsidR="00CC048B" w:rsidRPr="00F74FB9" w:rsidRDefault="00CC048B" w:rsidP="00CC048B">
      <w:pPr>
        <w:pStyle w:val="ONUME"/>
        <w:rPr>
          <w:rtl/>
        </w:rPr>
      </w:pPr>
      <w:r>
        <w:rPr>
          <w:rFonts w:hint="cs"/>
          <w:rtl/>
        </w:rPr>
        <w:t>وأحاطت اللجنة علما بأن العدد الإجمالي لمشاريع المراجعة بحسب كل صيغة من التصنيف الدولي ظل ثابتا نسبيا بحوالي 20 مشروع لكل صيغة.  واستمر المجال الكهربائي في حساب أعلى نسبة من المشاريع، تليها الحقول الميكانيكية والكيميائية.  وإدراج معلومات عن المشروعات المتعلقة بالتكنولوجيات الناشئة الجديدة (</w:t>
      </w:r>
      <w:r>
        <w:t>NETs</w:t>
      </w:r>
      <w:r>
        <w:rPr>
          <w:rFonts w:hint="cs"/>
          <w:rtl/>
        </w:rPr>
        <w:t>) يشير إلى الحاجة المتزايدة إلى تكييف تصنيفات التصنيف الدولي للبراءات لتعكس التطورات التكنولوجية.</w:t>
      </w:r>
    </w:p>
    <w:p w14:paraId="0D74DC9A" w14:textId="77777777" w:rsidR="00CC048B" w:rsidRPr="00F74FB9" w:rsidRDefault="00CC048B" w:rsidP="00CC048B">
      <w:pPr>
        <w:pStyle w:val="ONUME"/>
        <w:rPr>
          <w:rtl/>
        </w:rPr>
      </w:pPr>
      <w:r>
        <w:rPr>
          <w:rFonts w:hint="cs"/>
          <w:rtl/>
        </w:rPr>
        <w:t>كما سُلّط الضوء على مشاركة مختلف المكاتب الوطنية كمقررين ومترجمين.  وفضلاً عن مكاتب الملكية الفكرية الخمسة، قدّمت مكاتب منها البرازيل وكندا وألمانيا طلبات مراجعة بموجب إطار تحديث خارطة طريق.  وعالجت كندا وفرنسا وسويسرا والمكتب الأوروبي للبراءات مسؤوليات الترجمة أساسا للصيغة الفرنسية من التصنيف الدولي للبراءات.</w:t>
      </w:r>
    </w:p>
    <w:p w14:paraId="573FB85D" w14:textId="77777777" w:rsidR="00CC048B" w:rsidRPr="00F74FB9" w:rsidRDefault="00CC048B" w:rsidP="00CC048B">
      <w:pPr>
        <w:pStyle w:val="ONUME"/>
        <w:rPr>
          <w:rtl/>
        </w:rPr>
      </w:pPr>
      <w:r>
        <w:rPr>
          <w:rFonts w:hint="cs"/>
          <w:rtl/>
        </w:rPr>
        <w:t xml:space="preserve">وظل متوسط الفترة المشمولة بالتصنيف الدولي للبراءات ثابتا عند حوالي 9.4 شهرا بالنسبة لمشروعات </w:t>
      </w:r>
      <w:r>
        <w:t>F</w:t>
      </w:r>
      <w:r>
        <w:rPr>
          <w:rFonts w:hint="cs"/>
          <w:rtl/>
        </w:rPr>
        <w:t xml:space="preserve"> و12.6 أشهر لمشروعات </w:t>
      </w:r>
      <w:r>
        <w:t>C</w:t>
      </w:r>
      <w:r>
        <w:rPr>
          <w:rFonts w:hint="cs"/>
          <w:rtl/>
        </w:rPr>
        <w:t>.  ولوحظ حدوث زيادة طفيفة في الجداول الزمنية للمراجعة، لا سيما في المشروعات المتعلقة بأشباه الموصلات، بسبب تعقيدها المتأصل.</w:t>
      </w:r>
    </w:p>
    <w:p w14:paraId="4290BF5F" w14:textId="77777777" w:rsidR="00CC048B" w:rsidRPr="009224B5" w:rsidRDefault="00CC048B" w:rsidP="00CC048B">
      <w:pPr>
        <w:pStyle w:val="ONUME"/>
        <w:rPr>
          <w:rtl/>
        </w:rPr>
      </w:pPr>
      <w:r>
        <w:rPr>
          <w:rFonts w:hint="cs"/>
          <w:rtl/>
        </w:rPr>
        <w:lastRenderedPageBreak/>
        <w:t>وأحاطت اللجنة علما باقتراح المكتب الأوروبي للبراءات بشأن إدراج مدخلات محذوفة من التصنيف الدولي للبراءات في تقارير الحالة المستقبلية.  ووافقت اللجنة على أن تهدف التقارير المقبلة إلى تقديم صورة شاملة عن المراجعة بإدراج إحصاءات عن المدخلات الجديدة والمحذوفة، إلى جانب التغيير الصافي في تصنيفات التصنيف الدولي للبراءات، الذي سيعكس تطور التصنيف الدولي للبراءات بمزيد من الدقة.  ودعي المكتب الدولي إلى النظر في إدراج هذه المعلومات في التقرير المقبل.</w:t>
      </w:r>
    </w:p>
    <w:p w14:paraId="460A7574" w14:textId="77777777" w:rsidR="00CC048B" w:rsidRPr="009224B5" w:rsidRDefault="00CC048B" w:rsidP="00CC048B">
      <w:pPr>
        <w:pStyle w:val="ONUME"/>
        <w:rPr>
          <w:rtl/>
        </w:rPr>
      </w:pPr>
      <w:r>
        <w:rPr>
          <w:rFonts w:hint="cs"/>
          <w:rtl/>
        </w:rPr>
        <w:t>وأشارت اللجنة إلى الشواغل التي أعرب عنها بشأن التطبيق المتكرر "للموافقات الإلكترونية" من قبل الفريق العامل.  ودعي الفريق العامل إلى النظر في تطبيق هذا النهج بعناية، على سبيل المثال في الظروف الخاصة.</w:t>
      </w:r>
    </w:p>
    <w:p w14:paraId="1A48CA18" w14:textId="77777777" w:rsidR="00CC048B" w:rsidRPr="009224B5" w:rsidRDefault="00CC048B" w:rsidP="00CC048B">
      <w:pPr>
        <w:pStyle w:val="ONUME"/>
        <w:rPr>
          <w:rtl/>
        </w:rPr>
      </w:pPr>
      <w:r>
        <w:rPr>
          <w:rFonts w:hint="cs"/>
          <w:rtl/>
        </w:rPr>
        <w:t xml:space="preserve">وناقشت اللجنة المسألة المطروحة بشأن مختلف المصطلحات المستخدمة في قرارات الفريق العامل.  دعت اللجنة الفريق العامل إلى استعراض وتوضيح المصطلحات المستخدمة في قرارات الفريق العامل لضمان الشفافية، على سبيل المثال، لتجنب استخدام "الموافق عليها مبدئيا" في نصوص قرارات الفريق العامل.  وشُجعت المكاتب على تقديم اقتراحات أو تعليقات إلى المنتدى الإلكتروني للتصنيف الدولي للبراءات في إطار المشروع </w:t>
      </w:r>
      <w:r>
        <w:rPr>
          <w:b/>
          <w:bCs/>
        </w:rPr>
        <w:t>WG 000</w:t>
      </w:r>
      <w:r>
        <w:rPr>
          <w:rFonts w:hint="cs"/>
          <w:rtl/>
        </w:rPr>
        <w:t>.</w:t>
      </w:r>
    </w:p>
    <w:p w14:paraId="757DC438" w14:textId="77777777" w:rsidR="00CC048B" w:rsidRPr="009224B5" w:rsidRDefault="00CC048B" w:rsidP="00CC048B">
      <w:pPr>
        <w:pStyle w:val="ONUME"/>
        <w:rPr>
          <w:rtl/>
        </w:rPr>
      </w:pPr>
      <w:r>
        <w:rPr>
          <w:rFonts w:hint="cs"/>
          <w:rtl/>
        </w:rPr>
        <w:t>وأحاطت اللجنة علما أيضا بالتعليقات على جعل الوثائق المتعلقة باستراتيجيات وإجراءات مراجعة التصنيف الدولي للبراءات أكثر وضوحا للمكاتب.  ودعي المكتب الدولي بعد ذلك إلى تجميع تلك الوثائق ذات الصلة والتحقيق في سبل جعله أكثر وضوحا، على سبيل المثال بالنسبة للوافدين الجدد.</w:t>
      </w:r>
    </w:p>
    <w:p w14:paraId="74DD9FD0" w14:textId="77777777" w:rsidR="00CC048B" w:rsidRPr="009224B5" w:rsidRDefault="00CC048B" w:rsidP="00CC048B">
      <w:pPr>
        <w:pStyle w:val="ONUME"/>
        <w:rPr>
          <w:color w:val="808080" w:themeColor="background1" w:themeShade="80"/>
          <w:rtl/>
        </w:rPr>
      </w:pPr>
      <w:r>
        <w:rPr>
          <w:rFonts w:hint="cs"/>
          <w:rtl/>
        </w:rPr>
        <w:t xml:space="preserve">وأقرت اللجنة أيضا اقتراحا بتحديد موعد انعقاد دورة الربيع للفريق العامل في وقت سابق، ويفضل أن يكون ذلك في النصف الثاني من أبريل أو بداية شهر مايو.  ودعي المكتب الدولي إلى النظر في هذا الاقتراح عند تخطيط الاجتماعات المقبلة، مع الاعتراف بالتحديات المحتملة الناجمة عن العطل الرسمية للويبو والعطل الرسمية الوطنية. </w:t>
      </w:r>
    </w:p>
    <w:p w14:paraId="7548D7FC" w14:textId="77777777" w:rsidR="00CC048B" w:rsidRPr="00F74FB9" w:rsidRDefault="00CC048B" w:rsidP="00CC048B">
      <w:pPr>
        <w:pStyle w:val="ONUME"/>
        <w:rPr>
          <w:rtl/>
        </w:rPr>
      </w:pPr>
      <w:r>
        <w:rPr>
          <w:rFonts w:hint="cs"/>
          <w:rtl/>
        </w:rPr>
        <w:t>وأعربت اللجنة عن ارتياحها للكفاءة والتوجه الاستراتيجي لمراجعة التصنيف الدولي للبراءات الذي أجراه الفريق العامل، وشجعت على زيادة مشاركة المكاتب في عملية المراجعة بموجب خارطة الطريق، وشددت على أهمية الحفاظ على توازن بين جودة وفعالية مراجعة التصنيف الدولي للبراءات.</w:t>
      </w:r>
    </w:p>
    <w:p w14:paraId="0692CE45" w14:textId="77777777" w:rsidR="00CC048B" w:rsidRPr="00F74FB9" w:rsidRDefault="00CC048B" w:rsidP="00CC048B">
      <w:pPr>
        <w:pStyle w:val="ONUME"/>
        <w:rPr>
          <w:rtl/>
        </w:rPr>
      </w:pPr>
      <w:r>
        <w:rPr>
          <w:rFonts w:hint="cs"/>
          <w:rtl/>
        </w:rPr>
        <w:t>ودعت اللجنة الفريق العامل إلى مواصلة جهوده لضمان أن تظل تنقيحات التصنيف الدولي للبراءات انعكاسا للتطور التكنولوجي، مع التركيز بشكل خاص على دمج التكنولوجيا الناشئة الجديدة والتحسين المستمر لاتساق التصنيف.</w:t>
      </w:r>
    </w:p>
    <w:p w14:paraId="48FFD9F3" w14:textId="624C7AC6" w:rsidR="00CC048B" w:rsidRPr="0049015F" w:rsidRDefault="00CC048B" w:rsidP="006A26B5">
      <w:pPr>
        <w:pStyle w:val="Heading1"/>
        <w:rPr>
          <w:rtl/>
        </w:rPr>
      </w:pPr>
      <w:r>
        <w:rPr>
          <w:rFonts w:hint="cs"/>
          <w:rtl/>
        </w:rPr>
        <w:t xml:space="preserve">تقرير فريق الخبراء المعني بتكنولوجيا أشباه الموصلات </w:t>
      </w:r>
      <w:r w:rsidR="006A26B5">
        <w:t>(EGST)</w:t>
      </w:r>
    </w:p>
    <w:p w14:paraId="1A59118D" w14:textId="77777777" w:rsidR="00CC048B" w:rsidRDefault="00CC048B" w:rsidP="00CC048B">
      <w:pPr>
        <w:pStyle w:val="ONUME"/>
        <w:rPr>
          <w:rtl/>
        </w:rPr>
      </w:pPr>
      <w:r>
        <w:rPr>
          <w:rFonts w:hint="cs"/>
          <w:rtl/>
        </w:rPr>
        <w:t>أحاطت اللجنة علما بتقرير مرحلي أعده المكتب الأوروبي للبراءات، المكتب الرائد لدى فريق الخبراء المعني بتكنولوجيا أشباه الموصلات.</w:t>
      </w:r>
    </w:p>
    <w:p w14:paraId="660312A1" w14:textId="34D52EC0" w:rsidR="00CC048B" w:rsidRDefault="00CC048B" w:rsidP="00CC048B">
      <w:pPr>
        <w:pStyle w:val="ONUME"/>
        <w:rPr>
          <w:rtl/>
        </w:rPr>
      </w:pPr>
      <w:r>
        <w:rPr>
          <w:rFonts w:hint="cs"/>
          <w:rtl/>
        </w:rPr>
        <w:t xml:space="preserve">وأُبلغت اللجنة أن ثلاث أصناف فرعية جديدة ضمن الصنف الجديد </w:t>
      </w:r>
      <w:r>
        <w:t>H10</w:t>
      </w:r>
      <w:r>
        <w:rPr>
          <w:rFonts w:hint="cs"/>
          <w:rtl/>
        </w:rPr>
        <w:t xml:space="preserve">، أي </w:t>
      </w:r>
      <w:r>
        <w:t>H10D</w:t>
      </w:r>
      <w:r>
        <w:rPr>
          <w:rFonts w:hint="cs"/>
          <w:rtl/>
        </w:rPr>
        <w:t xml:space="preserve"> و</w:t>
      </w:r>
      <w:r>
        <w:t>H10F</w:t>
      </w:r>
      <w:r>
        <w:rPr>
          <w:rFonts w:hint="cs"/>
          <w:rtl/>
        </w:rPr>
        <w:t xml:space="preserve"> و</w:t>
      </w:r>
      <w:r>
        <w:t>H10H</w:t>
      </w:r>
      <w:r>
        <w:rPr>
          <w:rFonts w:hint="cs"/>
          <w:rtl/>
        </w:rPr>
        <w:t xml:space="preserve">، قد تمت الموافقة عليها ودخلت حيز النفاذ في النسخة </w:t>
      </w:r>
      <w:r>
        <w:t>IPC 2025.01</w:t>
      </w:r>
      <w:r>
        <w:rPr>
          <w:rFonts w:hint="cs"/>
          <w:rtl/>
        </w:rPr>
        <w:t xml:space="preserve">.  وكانت ثلاثة مشاريع أخرى، وهي </w:t>
      </w:r>
      <w:hyperlink r:id="rId14" w:history="1">
        <w:r>
          <w:rPr>
            <w:rStyle w:val="Hyperlink"/>
          </w:rPr>
          <w:t>C 517</w:t>
        </w:r>
      </w:hyperlink>
      <w:r>
        <w:rPr>
          <w:rFonts w:hint="cs"/>
          <w:rtl/>
        </w:rPr>
        <w:t xml:space="preserve"> و</w:t>
      </w:r>
      <w:hyperlink r:id="rId15" w:history="1">
        <w:r>
          <w:rPr>
            <w:rStyle w:val="Hyperlink"/>
          </w:rPr>
          <w:t>C 518</w:t>
        </w:r>
      </w:hyperlink>
      <w:r>
        <w:rPr>
          <w:rFonts w:hint="cs"/>
          <w:rtl/>
        </w:rPr>
        <w:t xml:space="preserve">، والتي تحتوي على  فئتين فرعيتين جديدتين هما </w:t>
      </w:r>
      <w:r>
        <w:t>H10P</w:t>
      </w:r>
      <w:r>
        <w:rPr>
          <w:rFonts w:hint="cs"/>
          <w:rtl/>
        </w:rPr>
        <w:t xml:space="preserve"> و</w:t>
      </w:r>
      <w:r>
        <w:t>H10W</w:t>
      </w:r>
      <w:r>
        <w:rPr>
          <w:rFonts w:hint="cs"/>
          <w:rtl/>
        </w:rPr>
        <w:t xml:space="preserve">، قيد المناقشة في المنتدى الإلكتروني للتصنيف الدولي للبراءات الذي يستهدف النسخة 2026.01.  </w:t>
      </w:r>
    </w:p>
    <w:p w14:paraId="1EEEA479" w14:textId="77777777" w:rsidR="00CC048B" w:rsidRDefault="00CC048B" w:rsidP="00CC048B">
      <w:pPr>
        <w:pStyle w:val="ONUME"/>
        <w:rPr>
          <w:rtl/>
        </w:rPr>
      </w:pPr>
      <w:r>
        <w:rPr>
          <w:rFonts w:hint="cs"/>
          <w:rtl/>
        </w:rPr>
        <w:t xml:space="preserve">وأحاطت اللجنة علما بأن فريق الخبراء المعني بتكنولوجيا أشباه الموصلات قد أنجز جميع أهدافه تقريبا من خلال إنشاء صنف </w:t>
      </w:r>
      <w:r>
        <w:t>H10</w:t>
      </w:r>
      <w:r>
        <w:rPr>
          <w:rFonts w:hint="cs"/>
          <w:rtl/>
        </w:rPr>
        <w:t xml:space="preserve"> وسبع فئات فرعية، بينما دخلت خمس فئات فرعية حيز النفاذ في النسخة </w:t>
      </w:r>
      <w:r>
        <w:t>IPC 2023.01</w:t>
      </w:r>
      <w:r>
        <w:rPr>
          <w:rFonts w:hint="cs"/>
          <w:rtl/>
        </w:rPr>
        <w:t xml:space="preserve"> و</w:t>
      </w:r>
      <w:r>
        <w:t>IPC 2025.01</w:t>
      </w:r>
      <w:r>
        <w:rPr>
          <w:rFonts w:hint="cs"/>
          <w:rtl/>
        </w:rPr>
        <w:t xml:space="preserve">، وهما صنفان فرعيان يستهدفان النسخة </w:t>
      </w:r>
      <w:r>
        <w:t>IPC 2026.01</w:t>
      </w:r>
      <w:r>
        <w:rPr>
          <w:rFonts w:hint="cs"/>
          <w:rtl/>
        </w:rPr>
        <w:t>، مما سيحقق إنجازا كبيرا.</w:t>
      </w:r>
    </w:p>
    <w:p w14:paraId="442884B5" w14:textId="77777777" w:rsidR="00CC048B" w:rsidRDefault="00CC048B" w:rsidP="00CC048B">
      <w:pPr>
        <w:pStyle w:val="ONUME"/>
        <w:rPr>
          <w:rtl/>
        </w:rPr>
      </w:pPr>
      <w:r>
        <w:rPr>
          <w:rFonts w:hint="cs"/>
          <w:rtl/>
        </w:rPr>
        <w:t>وأعربت اللجنة عن تقديرها العميق والصادق لجميع أعضاء فريق الخبراء المعني بتكنولوجيا أشباه الموصلات، ولا سيما المكتب الأوروبي للبراءات والمكتب الرائد لفريق الخبراء المعني بتكنولوجيا أشباه الموصلات على تفانيهم ومساهماتهم القيمة، فضلا عن النتائج الملحوظة على مدى السنوات العديدة الماضية.</w:t>
      </w:r>
    </w:p>
    <w:p w14:paraId="6177E9EB" w14:textId="5405D820" w:rsidR="00CC048B" w:rsidRDefault="00CC048B" w:rsidP="00CC048B">
      <w:pPr>
        <w:pStyle w:val="ONUME"/>
        <w:rPr>
          <w:rtl/>
        </w:rPr>
      </w:pPr>
      <w:r>
        <w:rPr>
          <w:rFonts w:hint="cs"/>
          <w:rtl/>
        </w:rPr>
        <w:t xml:space="preserve">وأحاطت اللجنة علما أيضا باختتام محتمل للمشروع. </w:t>
      </w:r>
      <w:hyperlink r:id="rId16" w:history="1">
        <w:r>
          <w:rPr>
            <w:rStyle w:val="Hyperlink"/>
          </w:rPr>
          <w:t>CE 481</w:t>
        </w:r>
      </w:hyperlink>
      <w:r>
        <w:rPr>
          <w:rFonts w:hint="cs"/>
          <w:rtl/>
        </w:rPr>
        <w:t xml:space="preserve"> في دورتها المقبلة</w:t>
      </w:r>
    </w:p>
    <w:p w14:paraId="5055D83A" w14:textId="77777777" w:rsidR="00CC048B" w:rsidRDefault="00CC048B" w:rsidP="006A26B5">
      <w:pPr>
        <w:pStyle w:val="Heading1"/>
        <w:rPr>
          <w:rtl/>
        </w:rPr>
      </w:pPr>
      <w:r>
        <w:rPr>
          <w:rFonts w:hint="cs"/>
          <w:rtl/>
        </w:rPr>
        <w:t>تقرير عن تقدم برنامجي مراجعة التصنيف التعاوني للبراءات (</w:t>
      </w:r>
      <w:r>
        <w:t>CPC</w:t>
      </w:r>
      <w:r>
        <w:rPr>
          <w:rFonts w:hint="cs"/>
          <w:rtl/>
        </w:rPr>
        <w:t>) وفهرس الملفات (</w:t>
      </w:r>
      <w:r>
        <w:t>FI)</w:t>
      </w:r>
    </w:p>
    <w:p w14:paraId="08550C94" w14:textId="22312F39" w:rsidR="00CC048B" w:rsidRDefault="00CC048B" w:rsidP="00CC048B">
      <w:pPr>
        <w:pStyle w:val="ONUME"/>
        <w:rPr>
          <w:rtl/>
        </w:rPr>
      </w:pPr>
      <w:r>
        <w:rPr>
          <w:rFonts w:hint="cs"/>
          <w:rtl/>
        </w:rPr>
        <w:t xml:space="preserve">أحاطت اللجنة علما </w:t>
      </w:r>
      <w:hyperlink r:id="rId17" w:history="1">
        <w:r>
          <w:rPr>
            <w:rStyle w:val="Hyperlink"/>
            <w:rFonts w:hint="cs"/>
            <w:rtl/>
          </w:rPr>
          <w:t>بالعرض</w:t>
        </w:r>
      </w:hyperlink>
      <w:r>
        <w:rPr>
          <w:rFonts w:hint="cs"/>
          <w:rtl/>
        </w:rPr>
        <w:t xml:space="preserve"> الذي قدمه المكتب الأوروبي للبراءات عن التحديثات الأخيرة للتصنيف التعاوني للبراءات </w:t>
      </w:r>
      <w:hyperlink r:id="rId18" w:history="1">
        <w:r>
          <w:rPr>
            <w:rStyle w:val="Hyperlink"/>
            <w:rFonts w:hint="cs"/>
            <w:rtl/>
          </w:rPr>
          <w:t>والعرض</w:t>
        </w:r>
      </w:hyperlink>
      <w:r>
        <w:rPr>
          <w:rFonts w:hint="cs"/>
          <w:rtl/>
        </w:rPr>
        <w:t xml:space="preserve"> الذي قدمه مكتب اليابان للبراءات بشأن التقدم المحرز مؤخرا والتطورات في فهرس الملفات (</w:t>
      </w:r>
      <w:r>
        <w:t>FI/F-term</w:t>
      </w:r>
      <w:r>
        <w:rPr>
          <w:rFonts w:hint="cs"/>
          <w:rtl/>
        </w:rPr>
        <w:t>).</w:t>
      </w:r>
    </w:p>
    <w:p w14:paraId="41D045A2" w14:textId="77777777" w:rsidR="00CC048B" w:rsidRDefault="00CC048B" w:rsidP="00CC048B">
      <w:pPr>
        <w:pStyle w:val="ONUME"/>
        <w:rPr>
          <w:rtl/>
        </w:rPr>
      </w:pPr>
      <w:r>
        <w:rPr>
          <w:rFonts w:hint="cs"/>
          <w:rtl/>
        </w:rPr>
        <w:lastRenderedPageBreak/>
        <w:t xml:space="preserve">وأشارت اللجنة إلى أنه اعتبارا من 2 فبراير 2025، زادت تغطية بيانات التصنيف التعاوني للبراءات لتصل إلى نحو 78 مليون وثيقة براءة، بما في ذلك 2.7 مليون وثيقة غير متعلقة بالبراءات من خلال استخدام الذكاء الاصطناعي. </w:t>
      </w:r>
    </w:p>
    <w:p w14:paraId="6E0C36B5" w14:textId="77777777" w:rsidR="00CC048B" w:rsidRDefault="00CC048B" w:rsidP="00CC048B">
      <w:pPr>
        <w:pStyle w:val="ONUME"/>
        <w:rPr>
          <w:rtl/>
        </w:rPr>
      </w:pPr>
      <w:r>
        <w:rPr>
          <w:rFonts w:hint="cs"/>
          <w:rtl/>
        </w:rPr>
        <w:t xml:space="preserve">وأبلغت اللجنة كذلك بإدراج النسخة </w:t>
      </w:r>
      <w:r>
        <w:t>IPC 2025.01</w:t>
      </w:r>
      <w:r>
        <w:rPr>
          <w:rFonts w:hint="cs"/>
          <w:rtl/>
        </w:rPr>
        <w:t xml:space="preserve"> في نسخة 1 يناير 2025 للتصنيف الدولي للبراءات، مما أسفر عن ثلاث إصدارات فقط من التصنيف التعاوني للبراءات في عام 2025 بدلا من أربعة إصدارات، أي 1 يناير و1 مايو و1 أغسطس.  </w:t>
      </w:r>
    </w:p>
    <w:p w14:paraId="659BBC4E" w14:textId="77777777" w:rsidR="00CC048B" w:rsidRDefault="00CC048B" w:rsidP="00CC048B">
      <w:pPr>
        <w:pStyle w:val="ONUME"/>
        <w:rPr>
          <w:rtl/>
        </w:rPr>
      </w:pPr>
      <w:r>
        <w:rPr>
          <w:rFonts w:hint="cs"/>
          <w:rtl/>
        </w:rPr>
        <w:t xml:space="preserve">وأبلغت اللجنة بأن مراجعة فهرس الملفات في النسخة </w:t>
      </w:r>
      <w:r>
        <w:t>IPC 2025.01</w:t>
      </w:r>
      <w:r>
        <w:rPr>
          <w:rFonts w:hint="cs"/>
          <w:rtl/>
        </w:rPr>
        <w:t xml:space="preserve"> تغطي 300 مجموعة رئيسية في حين يتعلق التنقيح الطويل الأجل ب 18 موضوعا في عام 2024.04.  وأبلغت اللجنة بأنه تم وضع قائمة بالمجالات المرشحة لمراجعة فهرس الملفات، والتي تشبه قائمة المجالات المرشحة للتصنيف الدولي للبراءات في إطار خارطة الطريق الخاصة بمراجعة التصنيف الدولي للبراءات.   </w:t>
      </w:r>
    </w:p>
    <w:p w14:paraId="2293F499" w14:textId="77777777" w:rsidR="00CC048B" w:rsidRDefault="00CC048B" w:rsidP="00CC048B">
      <w:pPr>
        <w:pStyle w:val="ONUME"/>
        <w:rPr>
          <w:rtl/>
        </w:rPr>
      </w:pPr>
      <w:r>
        <w:rPr>
          <w:rFonts w:hint="cs"/>
          <w:rtl/>
        </w:rPr>
        <w:t>وأحاطت اللجنة علما كذلك بأن أساليب إعادة التصنيف في فهرس الملفات لا تزال تشمل التعلم الآلي والتعبير المنطقي عن البحث وإعادة التصنيف الفكري.</w:t>
      </w:r>
    </w:p>
    <w:p w14:paraId="211B5984" w14:textId="77777777" w:rsidR="00CC048B" w:rsidRDefault="00CC048B" w:rsidP="00CC048B">
      <w:pPr>
        <w:pStyle w:val="ONUME"/>
        <w:rPr>
          <w:rtl/>
        </w:rPr>
      </w:pPr>
      <w:r>
        <w:rPr>
          <w:rFonts w:hint="cs"/>
          <w:rtl/>
        </w:rPr>
        <w:t xml:space="preserve">وأعربت اللجنة عن امتنانها للمكتب الأوروبي للبراءات ومكتب اليابان للبراءات على جهودهم الرامية إلى دمج النسخة </w:t>
      </w:r>
      <w:r>
        <w:t>IPC 2025.01</w:t>
      </w:r>
      <w:r>
        <w:rPr>
          <w:rFonts w:hint="cs"/>
          <w:rtl/>
        </w:rPr>
        <w:t xml:space="preserve"> في التصنيف التعاوني للبراءات وفهرس الملفات في يناير 2025، وأعادت تأكيد الفهم المشترك بأن الاتساق بين أنظمة التصنيف القائمة على التصنيف الدولي للبراءات والتصنيف الدولي للبراءات أمر مهم وينبغي مواصلة الجهود الرامية إلى تعزيز هذا الاتساق والحفاظ عليه، ولا سيما في المجالات المتصلة بالتكنولوجيات الناشئة الجديدة.</w:t>
      </w:r>
    </w:p>
    <w:p w14:paraId="3145DED1" w14:textId="77777777" w:rsidR="00CC048B" w:rsidRPr="001D79A3" w:rsidRDefault="00CC048B" w:rsidP="006A26B5">
      <w:pPr>
        <w:pStyle w:val="Heading1"/>
        <w:rPr>
          <w:rtl/>
        </w:rPr>
      </w:pPr>
      <w:r>
        <w:rPr>
          <w:rFonts w:hint="cs"/>
          <w:rtl/>
        </w:rPr>
        <w:t>تعديلات على دليل التصنيف الدولي للبراءات ووثائق أساسية أخرى للتصنيف</w:t>
      </w:r>
    </w:p>
    <w:p w14:paraId="6081C4CD" w14:textId="5618FE2A" w:rsidR="00CC048B" w:rsidRDefault="00CC048B" w:rsidP="00CC048B">
      <w:pPr>
        <w:pStyle w:val="ONUME"/>
        <w:rPr>
          <w:rtl/>
        </w:rPr>
      </w:pPr>
      <w:r>
        <w:rPr>
          <w:rFonts w:hint="cs"/>
          <w:rtl/>
        </w:rPr>
        <w:t xml:space="preserve">استندت المناقشات إلى المرفق 109 من ملف المشروع </w:t>
      </w:r>
      <w:hyperlink r:id="rId19" w:history="1">
        <w:r>
          <w:rPr>
            <w:rStyle w:val="Hyperlink"/>
          </w:rPr>
          <w:t>CE 454</w:t>
        </w:r>
      </w:hyperlink>
      <w:r>
        <w:rPr>
          <w:rFonts w:hint="cs"/>
          <w:rtl/>
        </w:rPr>
        <w:t xml:space="preserve">، الذي يحتوي على تقرير مقرر يتضمن تجميعا للتعديلات المقترحة، مع تعليقات، على دليل التصنيف الدولي للبراءات (المشار إليه فيما يلي بكلمة "الدليل")، ولا سيما في المرفقات من 98 إلى 108 من ملف المشروع، المقدمة على التوالي من كندا والمكتب الأوروبي للبراءات والاتحاد الروسي وجمهورية كوريا والصين والمكتب الدولي والمملكة المتحدة. </w:t>
      </w:r>
    </w:p>
    <w:p w14:paraId="6D67D43F" w14:textId="77777777" w:rsidR="00CC048B" w:rsidRDefault="00CC048B" w:rsidP="00CC048B">
      <w:pPr>
        <w:pStyle w:val="ONUME"/>
        <w:rPr>
          <w:rtl/>
        </w:rPr>
      </w:pPr>
      <w:r>
        <w:rPr>
          <w:rFonts w:hint="cs"/>
          <w:rtl/>
        </w:rPr>
        <w:t>واعتمدت اللجنة، مع بعض التعديلات، التعديلات المدخلة على العنوان في الصفحة الأولى والفقرات 37 و37 (ثانيا) و42 وعنوانها القسم سابعا و72 و74 (ثانيا) وعنوانها 107 (ثانيا) و111 و182 (ثانيا) و183 و187 من الدليل، والتي ترد في المرفقين 111 و112 من ملف المشروع.  وستُدرج تلك التعديلات في نسخة 2025 من الدليل.</w:t>
      </w:r>
    </w:p>
    <w:p w14:paraId="434664AE" w14:textId="566F1DD9" w:rsidR="00CC048B" w:rsidRDefault="00CC048B" w:rsidP="00CC048B">
      <w:pPr>
        <w:pStyle w:val="ONUME"/>
        <w:rPr>
          <w:rtl/>
        </w:rPr>
      </w:pPr>
      <w:r>
        <w:rPr>
          <w:rFonts w:hint="cs"/>
          <w:rtl/>
        </w:rPr>
        <w:t xml:space="preserve">واستندت المناقشات إلى المرفق 108 من ملف المشروع </w:t>
      </w:r>
      <w:hyperlink r:id="rId20" w:history="1">
        <w:r>
          <w:rPr>
            <w:rStyle w:val="Hyperlink"/>
          </w:rPr>
          <w:t>CE 455</w:t>
        </w:r>
      </w:hyperlink>
      <w:r>
        <w:rPr>
          <w:rFonts w:hint="cs"/>
          <w:rtl/>
        </w:rPr>
        <w:t>، الذي يحتوي على تقرير مقرر يتضمن تجميعا للتعديلات المقترحة مع تعليقات على المبادئ التوجيهية لمراجعة التصنيف الدولي للبراءات (المشار إليها فيما يلي بعبارة "المبادئ التوجيهية")، ولا سيما في المرفقات من 103 إلى 107 من ملف المشروع، المقدمة على التوالي من كندا والصين والمكتب الأوروبي للبراءات وجمهورية كوريا والمكتب الدولي</w:t>
      </w:r>
    </w:p>
    <w:p w14:paraId="7E914159" w14:textId="77777777" w:rsidR="00CC048B" w:rsidRDefault="00CC048B" w:rsidP="00CC048B">
      <w:pPr>
        <w:pStyle w:val="ONUME"/>
        <w:rPr>
          <w:rtl/>
        </w:rPr>
      </w:pPr>
      <w:r>
        <w:rPr>
          <w:rFonts w:hint="cs"/>
          <w:rtl/>
        </w:rPr>
        <w:t>واعتمدت اللجنة، مع بعض التغييرات، التعديلات المدخلة على العنوان في الصفحة الأولى وعلى الفقرات 61 (ثانيا) و70 (ثانيا) و99 و109 و109 (ثانيا) و109 (ثالثا) من المبادئ التوجيهية، التي ترد في المرفقين 109 و110 من ملف المشروع</w:t>
      </w:r>
    </w:p>
    <w:p w14:paraId="2584E0E1" w14:textId="77777777" w:rsidR="00CC048B" w:rsidRPr="001D79A3" w:rsidRDefault="00CC048B" w:rsidP="006A26B5">
      <w:pPr>
        <w:pStyle w:val="Heading1"/>
        <w:rPr>
          <w:rtl/>
        </w:rPr>
      </w:pPr>
      <w:r>
        <w:rPr>
          <w:rFonts w:hint="cs"/>
          <w:rtl/>
        </w:rPr>
        <w:t xml:space="preserve">دمج التكنولوجيات الناشئة الجديدة في المجالات المرشحة للمراجعة بموجب خارطة طريق مراجعة التصنيف الدولي للبراءات </w:t>
      </w:r>
    </w:p>
    <w:p w14:paraId="75B3E0CA" w14:textId="433EB4FD" w:rsidR="00CC048B" w:rsidRDefault="00CC048B" w:rsidP="00CC048B">
      <w:pPr>
        <w:pStyle w:val="ONUME"/>
        <w:rPr>
          <w:rStyle w:val="Hyperlink"/>
          <w:rtl/>
        </w:rPr>
      </w:pPr>
      <w:r>
        <w:rPr>
          <w:rFonts w:hint="cs"/>
          <w:rtl/>
        </w:rPr>
        <w:t>واستندت المناقشات إلى تقرير مقرر قدمه المكتب الدولي في المرفق 5 يحتوي على ملخص تعليقات البرازيل والصين في المرفقين 3 و4 بملف المشروع</w:t>
      </w:r>
      <w:hyperlink r:id="rId21" w:history="1">
        <w:r>
          <w:rPr>
            <w:rStyle w:val="Hyperlink"/>
            <w:rFonts w:hint="cs"/>
            <w:rtl/>
          </w:rPr>
          <w:t xml:space="preserve"> </w:t>
        </w:r>
        <w:r>
          <w:rPr>
            <w:rStyle w:val="Hyperlink"/>
          </w:rPr>
          <w:t>CE 551</w:t>
        </w:r>
      </w:hyperlink>
      <w:r w:rsidR="006A26B5">
        <w:rPr>
          <w:rFonts w:hint="cs"/>
          <w:rtl/>
        </w:rPr>
        <w:t xml:space="preserve"> .</w:t>
      </w:r>
    </w:p>
    <w:p w14:paraId="10C3A969" w14:textId="669ADA37" w:rsidR="00CC048B" w:rsidRDefault="00CC048B" w:rsidP="00CC048B">
      <w:pPr>
        <w:pStyle w:val="ONUME"/>
        <w:rPr>
          <w:rtl/>
        </w:rPr>
      </w:pPr>
      <w:r>
        <w:rPr>
          <w:rFonts w:hint="cs"/>
          <w:rtl/>
        </w:rPr>
        <w:t xml:space="preserve">وأشارت اللجنة إلى الاقتراح الأولي المقدم من المكتب الدولي (المرفق 1 بملف المشروع </w:t>
      </w:r>
      <w:hyperlink r:id="rId22" w:history="1">
        <w:r>
          <w:rPr>
            <w:rStyle w:val="Hyperlink"/>
          </w:rPr>
          <w:t>CE 551</w:t>
        </w:r>
      </w:hyperlink>
      <w:r>
        <w:rPr>
          <w:rFonts w:hint="cs"/>
          <w:rtl/>
        </w:rPr>
        <w:t xml:space="preserve">) في دورتها الأخيرة الرامية إلى تعزيز شفافية التكنولوجيات المتصلة بالتصنيف الدولي للبراءات ووضوحها من خلال دمجها في قائمة المرشحين الحالية للتصنيف الدولي للبراءات لمراجعتها في إطار خارطة طريق مراجعة التصنيف الدولي للبراءات.  وأحاطت اللجنة علما بفهم مشترك مفاده أنه سيكون من المهم توسيع نطاق المجالات المتعلقة بالتكنولوجيات الناشئة الجديدة في سياق خارطة الطريق، وبالتالي، من شأن ذلك أن يساعد على تصور أنشطة المراجعة من قبل الفريق العامل في المجالات المتصلة بتلك التكنولوجيات.  ومع ذلك، أعربت بعض المكاتب أيضا عن قلقها بشأن ما إذا كان من المفيد بذل الكثير من الجهود لوضع معايير موضوعية محتملة لتحديد التكنولوجيات الناشئة الجديدة، لأنه سيكون إرشاديا فقط، بدلا من أن يكون ملزما. </w:t>
      </w:r>
    </w:p>
    <w:p w14:paraId="3D46D6B8" w14:textId="201C5D0B" w:rsidR="00CC048B" w:rsidRPr="006A26B5" w:rsidRDefault="00CC048B" w:rsidP="00CC048B">
      <w:pPr>
        <w:pStyle w:val="ONUME"/>
        <w:rPr>
          <w:rStyle w:val="Hyperlink"/>
          <w:color w:val="auto"/>
          <w:rtl/>
        </w:rPr>
      </w:pPr>
      <w:r>
        <w:rPr>
          <w:rFonts w:hint="cs"/>
          <w:rtl/>
        </w:rPr>
        <w:t xml:space="preserve">وأكدت اللجنة من جديد القرار الذي اتخذته في دورتها الأخيرة بمواصلة تنفيذ ممارسة المراجعة الحالية للتكنولوجيات الناشئة الجديدة وتطبيقها عند تقديم طلبات مراجعة جديدة باستخدام نموذج مراجعة التصنيف الدولي للبراءات.  وسيتخذ المكتب الدولي </w:t>
      </w:r>
      <w:r>
        <w:rPr>
          <w:rFonts w:hint="cs"/>
          <w:rtl/>
        </w:rPr>
        <w:lastRenderedPageBreak/>
        <w:t>الخطوات اللازمة لجعل تلك الطلبات أو المشاريع مرئية على المنتدى الإلكتروني للتصنيف الدولي للبراءات، في حين أن المناقشات بشأن المعايير الموضوعية المحتملة لتحديد التكنولوجيات الناشئة الجديدة ستستمر في إطار المشروع .</w:t>
      </w:r>
      <w:r w:rsidR="006A26B5">
        <w:fldChar w:fldCharType="begin"/>
      </w:r>
      <w:r w:rsidR="006A26B5">
        <w:instrText>HYPERLINK "https://www3.wipo.int/classifications/ipc/ipcef/public/en/project/CE551"</w:instrText>
      </w:r>
      <w:r w:rsidR="006A26B5">
        <w:fldChar w:fldCharType="separate"/>
      </w:r>
      <w:r w:rsidRPr="006A26B5">
        <w:rPr>
          <w:rStyle w:val="Hyperlink"/>
        </w:rPr>
        <w:t>CE 551</w:t>
      </w:r>
      <w:r w:rsidR="006A26B5">
        <w:fldChar w:fldCharType="end"/>
      </w:r>
      <w:r w:rsidR="006A26B5">
        <w:rPr>
          <w:rFonts w:hint="cs"/>
          <w:rtl/>
        </w:rPr>
        <w:t xml:space="preserve">. </w:t>
      </w:r>
    </w:p>
    <w:p w14:paraId="61A825D0" w14:textId="77777777" w:rsidR="00CC048B" w:rsidRPr="001D79A3" w:rsidRDefault="00CC048B" w:rsidP="006A26B5">
      <w:pPr>
        <w:pStyle w:val="Heading1"/>
        <w:rPr>
          <w:rtl/>
        </w:rPr>
      </w:pPr>
      <w:r>
        <w:rPr>
          <w:rFonts w:hint="cs"/>
          <w:rtl/>
        </w:rPr>
        <w:t>تمثيل التصنيف التكميلي في التصنيف الدولي للبراءات</w:t>
      </w:r>
    </w:p>
    <w:p w14:paraId="0ABF75A8" w14:textId="77777777" w:rsidR="00CC048B" w:rsidRPr="00AB06DA" w:rsidRDefault="00CC048B" w:rsidP="00CC048B">
      <w:pPr>
        <w:pStyle w:val="ONUME"/>
        <w:rPr>
          <w:rtl/>
        </w:rPr>
      </w:pPr>
      <w:r>
        <w:rPr>
          <w:rFonts w:hint="cs"/>
          <w:rtl/>
        </w:rPr>
        <w:t>استندت المناقشات إلى المرفقين 12 و13 اللذين يتضمنان تقرير المقرر واقتراح من الصين بشأن تمثيل وتوحيد أنساق الترقيم لرموز التصنيف التكميلية في التصنيف الدولي للبراءات.  ويهدف المشروع إلى معالجة أوجه عدم الاتساق بين مخططات التصنيف الثانوي ورموز الفهرسة، وتوضيح دورها وتعزيز كفاءة التصنيف.  وأكد الاقتراح من جديد أن التوحيد المقترح لن يغير من وظيفة مخططات الفهرسة أو التصنيف الثانوي ولكنه سيهدف إلى توحيد تمثيلها من أجل تحسين الاستخدام.  وأشار أيضا إلى أن الأساليب المؤتمتة يمكن أن تيسر إعادة التصنيف بأقل قدر من الاستثمار في الموارد.</w:t>
      </w:r>
    </w:p>
    <w:p w14:paraId="6E116061" w14:textId="77777777" w:rsidR="00CC048B" w:rsidRPr="00AB06DA" w:rsidRDefault="00CC048B" w:rsidP="00CC048B">
      <w:pPr>
        <w:pStyle w:val="ONUME"/>
        <w:rPr>
          <w:rtl/>
        </w:rPr>
      </w:pPr>
      <w:r>
        <w:rPr>
          <w:rFonts w:hint="cs"/>
          <w:rtl/>
        </w:rPr>
        <w:t>وقدمت الصين اقتراحا لتوحيد ترقيم رموز التصنيف التكميلية، أي تخصيص 6,000 أرقام للرموز بالاقتران مع رموز التصنيف الرئيسية لأقسام متعددة و8,000 مجموعة من أرقام السلسلة للرموز المجمعة مع رموز التصنيف الأولية فقط في القسم نفسه.  وشددت الصين على أن هذا النهج من شأنه تحسين دقة التصنيف والحد من أخطاء التصنيف وتعزيز قابلية استخدام التصنيف الدولي للبراءات للمستخدمين العامين والأنظمة المؤتمتة.</w:t>
      </w:r>
    </w:p>
    <w:p w14:paraId="2BAB6BD7" w14:textId="77777777" w:rsidR="00CC048B" w:rsidRDefault="00CC048B" w:rsidP="00CC048B">
      <w:pPr>
        <w:pStyle w:val="ONUME"/>
        <w:rPr>
          <w:rtl/>
        </w:rPr>
      </w:pPr>
      <w:r>
        <w:rPr>
          <w:rFonts w:hint="cs"/>
          <w:rtl/>
        </w:rPr>
        <w:t xml:space="preserve">وأقرت اللجنة بمزايا الاقتراح المقدم من الصين لتعزيز سهولة استخدام التصنيف الدولي للبراءات.  ومع ذلك، أشير أيضا إلى الشواغل التي أثارتها المكاتب فيما يتعلق بضرورة التغييرات المقترحة، وأثرها على أنظمة تكنولوجيا المعلومات، وعبء العمل الناجم عن إعادة التصنيف.  وتساءل بعض المكاتب عما إذا كانت الفوائد المحتملة للتغييرات المقترحة تفوق التكاليف والجهود المرتبطة بها.  وبالإضافة إلى ذلك، أشير إلى إمكانية تقليص الذكاء الاصطناعي في نهاية المطاف إلى الحاجة إلى التصنيف الثانوي ورموز الفهرسة. </w:t>
      </w:r>
    </w:p>
    <w:p w14:paraId="6A54E1A8" w14:textId="1D7BAAF9" w:rsidR="00CC048B" w:rsidRDefault="00CC048B" w:rsidP="00CC048B">
      <w:pPr>
        <w:pStyle w:val="ONUME"/>
        <w:rPr>
          <w:rtl/>
        </w:rPr>
      </w:pPr>
      <w:r>
        <w:rPr>
          <w:rFonts w:hint="cs"/>
          <w:rtl/>
        </w:rPr>
        <w:t xml:space="preserve">وقررت اللجنة الإبقاء على المشروع </w:t>
      </w:r>
      <w:hyperlink r:id="rId23" w:history="1">
        <w:r>
          <w:rPr>
            <w:rStyle w:val="Hyperlink"/>
          </w:rPr>
          <w:t>CE 552</w:t>
        </w:r>
      </w:hyperlink>
      <w:r>
        <w:rPr>
          <w:rFonts w:hint="cs"/>
          <w:rtl/>
        </w:rPr>
        <w:t xml:space="preserve"> نشطا لإجراء المزيد من المناقشات، مما سيوفر رؤى قيمة بشأن تحديات التصنيف الأوسع نطاقا.  وتقرر كذلك تغيير العنوان من "تصوير التصنيف التكميلي في التصنيف الدولي للبراءات" إلى "مخططات التصنيف والفهرسة الثانوية في التصنيف الدولي للبراءات" لكي تعكس على نحو أفضل نطاق المناقشات. </w:t>
      </w:r>
    </w:p>
    <w:p w14:paraId="5561DFF8" w14:textId="3293260C" w:rsidR="00CC048B" w:rsidRDefault="00CC048B" w:rsidP="00CC048B">
      <w:pPr>
        <w:pStyle w:val="ONUME"/>
        <w:rPr>
          <w:rtl/>
        </w:rPr>
      </w:pPr>
      <w:r>
        <w:rPr>
          <w:rFonts w:hint="cs"/>
          <w:rtl/>
        </w:rPr>
        <w:t xml:space="preserve">وأحاطت اللجنة علما مع الامتنان بأن ألمانيا تطوعت بتجميع قائمة بخطط الفهرسة القائمة (انظر المرفق 14 في إطار المشروع </w:t>
      </w:r>
      <w:hyperlink r:id="rId24" w:history="1">
        <w:r>
          <w:rPr>
            <w:rStyle w:val="Hyperlink"/>
          </w:rPr>
          <w:t>CE 552</w:t>
        </w:r>
      </w:hyperlink>
      <w:r>
        <w:rPr>
          <w:rFonts w:hint="cs"/>
          <w:rtl/>
        </w:rPr>
        <w:t>) لتيسير إجراء المزيد من المداولات، في حين ستواصل المكاتب جمع التعليقات، بما في ذلك من المستخدمين العامين، فيما يتعلق بإمكانية استخدام التصنيف الدولي للبراءات وتحسينه المحتمل.</w:t>
      </w:r>
    </w:p>
    <w:p w14:paraId="26DA0330" w14:textId="77777777" w:rsidR="00CC048B" w:rsidRPr="003956D8" w:rsidRDefault="00CC048B" w:rsidP="00CC048B">
      <w:pPr>
        <w:pStyle w:val="ONUME"/>
        <w:rPr>
          <w:rtl/>
        </w:rPr>
      </w:pPr>
      <w:r>
        <w:rPr>
          <w:rFonts w:hint="cs"/>
          <w:rtl/>
        </w:rPr>
        <w:t>ودعي المكتب الدولي إلى تجميع قائمة بالمشاريع من الماضي تغطي المسائل ذات الصلة كي تعكس جميع المناقشات التاريخية، وضمان الاستمرارية، وتجنب الجهود الزائدة عن الحاجة.</w:t>
      </w:r>
    </w:p>
    <w:p w14:paraId="14B916F7" w14:textId="77777777" w:rsidR="00CC048B" w:rsidRPr="001D79A3" w:rsidRDefault="00CC048B" w:rsidP="006A26B5">
      <w:pPr>
        <w:pStyle w:val="Heading1"/>
        <w:rPr>
          <w:rtl/>
        </w:rPr>
      </w:pPr>
      <w:r>
        <w:rPr>
          <w:rFonts w:hint="cs"/>
          <w:rtl/>
        </w:rPr>
        <w:t>تقرير عن حالة إعادة التصنيف ومعالجة وثائق البراءات التي لم يعاد تصنيفها</w:t>
      </w:r>
    </w:p>
    <w:p w14:paraId="1BB2C2FF" w14:textId="37BDE589" w:rsidR="00CC048B" w:rsidRPr="009224B5" w:rsidRDefault="00CC048B" w:rsidP="00CC048B">
      <w:pPr>
        <w:pStyle w:val="ONUME"/>
        <w:rPr>
          <w:rtl/>
        </w:rPr>
      </w:pPr>
      <w:r>
        <w:rPr>
          <w:rFonts w:hint="cs"/>
          <w:rtl/>
        </w:rPr>
        <w:t xml:space="preserve">استندت المناقشات إلى المرفق 5 لملف المشروع </w:t>
      </w:r>
      <w:hyperlink r:id="rId25" w:history="1">
        <w:r>
          <w:rPr>
            <w:rStyle w:val="Hyperlink"/>
          </w:rPr>
          <w:t>CE 532</w:t>
        </w:r>
      </w:hyperlink>
      <w:r>
        <w:rPr>
          <w:rFonts w:hint="cs"/>
          <w:rtl/>
        </w:rPr>
        <w:t xml:space="preserve">، الذي يحتوي على تقرير مقرر قدمه المكتب الدولي عن "إعادة التصنيف القائم على الذكاء الاصطناعي والوثائق ذات الصلة" والمرفق 3 لملف المشروع </w:t>
      </w:r>
      <w:hyperlink r:id="rId26" w:history="1">
        <w:r>
          <w:rPr>
            <w:rStyle w:val="Hyperlink"/>
          </w:rPr>
          <w:t>CE 569</w:t>
        </w:r>
      </w:hyperlink>
      <w:r>
        <w:rPr>
          <w:rFonts w:hint="cs"/>
          <w:rtl/>
        </w:rPr>
        <w:t xml:space="preserve">، الذي يحتوي على تقرير عن حالة إعادة التصنيف من أداة </w:t>
      </w:r>
      <w:r>
        <w:t>IPCWLMS</w:t>
      </w:r>
      <w:r>
        <w:rPr>
          <w:rFonts w:hint="cs"/>
          <w:rtl/>
        </w:rPr>
        <w:t xml:space="preserve"> من قبل المكتب الدولي.</w:t>
      </w:r>
    </w:p>
    <w:p w14:paraId="33EF6C21" w14:textId="77777777" w:rsidR="00CC048B" w:rsidRDefault="00CC048B" w:rsidP="00CC048B">
      <w:pPr>
        <w:pStyle w:val="ONUME"/>
        <w:rPr>
          <w:rtl/>
        </w:rPr>
      </w:pPr>
      <w:r>
        <w:rPr>
          <w:rFonts w:hint="cs"/>
          <w:rtl/>
        </w:rPr>
        <w:t xml:space="preserve">وأحاطت اللجنة علما بتحديث خدمة إعادة التصنيف القائمة على الذكاء الاصطناعي، بهدف الاستعاضة عن آلية "النقل الافتراضي" بنظام مؤتمت للاستفادة من بيانات </w:t>
      </w:r>
      <w:proofErr w:type="spellStart"/>
      <w:r>
        <w:t>DocDB</w:t>
      </w:r>
      <w:proofErr w:type="spellEnd"/>
      <w:r>
        <w:rPr>
          <w:rFonts w:hint="cs"/>
          <w:rtl/>
        </w:rPr>
        <w:t xml:space="preserve"> وتكنولوجيا </w:t>
      </w:r>
      <w:proofErr w:type="spellStart"/>
      <w:r>
        <w:t>IPCCAT</w:t>
      </w:r>
      <w:proofErr w:type="spellEnd"/>
      <w:r>
        <w:rPr>
          <w:rFonts w:hint="cs"/>
          <w:rtl/>
        </w:rPr>
        <w:t>.</w:t>
      </w:r>
    </w:p>
    <w:p w14:paraId="03141060" w14:textId="77777777" w:rsidR="00CC048B" w:rsidRPr="008B3289" w:rsidRDefault="00CC048B" w:rsidP="00CC048B">
      <w:pPr>
        <w:pStyle w:val="ONUME"/>
        <w:rPr>
          <w:rtl/>
        </w:rPr>
      </w:pPr>
      <w:r>
        <w:rPr>
          <w:rFonts w:hint="cs"/>
          <w:rtl/>
        </w:rPr>
        <w:t>وأقرت اللجنة بالإنجازات التي حققها المشروع حتى الآن، وأشارت في الوقت نفسه إلى التحديات التقنية الكبيرة، ولا سيما تعقيد معالجة البيانات ومهل التنفيذ الأطول أمدا.</w:t>
      </w:r>
    </w:p>
    <w:p w14:paraId="33C4D2F2" w14:textId="77777777" w:rsidR="00CC048B" w:rsidRPr="008B3289" w:rsidRDefault="00CC048B" w:rsidP="00CC048B">
      <w:pPr>
        <w:pStyle w:val="ONUME"/>
        <w:rPr>
          <w:rtl/>
        </w:rPr>
      </w:pPr>
      <w:r>
        <w:rPr>
          <w:rFonts w:hint="cs"/>
          <w:rtl/>
        </w:rPr>
        <w:t>وأعربت اللجنة عن تقديرها للجهود التي يبذلها المكتب الدولي وشجعت على مواصلة استكشاف الحلول القائمة على الذكاء الاصطناعي مع ضمان الموثوقية والشفافية في عملية اتخاذ القرار.</w:t>
      </w:r>
    </w:p>
    <w:p w14:paraId="20DD5DDE" w14:textId="77777777" w:rsidR="00CC048B" w:rsidRPr="008B3289" w:rsidRDefault="00CC048B" w:rsidP="00CC048B">
      <w:pPr>
        <w:pStyle w:val="ONUME"/>
        <w:rPr>
          <w:rtl/>
        </w:rPr>
      </w:pPr>
      <w:r>
        <w:rPr>
          <w:rFonts w:hint="cs"/>
          <w:rtl/>
        </w:rPr>
        <w:t xml:space="preserve">وأحاطت اللجنة علما أيضا بآخر إحصاءات إعادة التصنيف للتصنيف الدولي للبراءات الصادرة عن أداة </w:t>
      </w:r>
      <w:r>
        <w:t>IPCWLMS</w:t>
      </w:r>
      <w:r>
        <w:rPr>
          <w:rFonts w:hint="cs"/>
          <w:rtl/>
        </w:rPr>
        <w:t>، التي تدل على أن عددا متزايدا من أسر البراءات لا يزال يتعين إعادة تصنيفها لبعض النسخ من التصنيف الدولي للبراءات، لا سيما اعتبارا من عام 2017 فصاعدا.  وأشير إلى أن المشكلة الناجمة عن زيادة تراكم العمل قد تكون ناتجة عن مسألة جودة البيانات، مثل بيانات إعادة التصنيف المشفرة أو التطبيق الخاطئ لمؤشرات حالة إعادة التصنيف، مثل استخدام "</w:t>
      </w:r>
      <w:r>
        <w:t>B</w:t>
      </w:r>
      <w:r>
        <w:rPr>
          <w:rFonts w:hint="cs"/>
          <w:rtl/>
        </w:rPr>
        <w:t>" بدلا من "</w:t>
      </w:r>
      <w:r>
        <w:t>R</w:t>
      </w:r>
      <w:r>
        <w:rPr>
          <w:rFonts w:hint="cs"/>
          <w:rtl/>
        </w:rPr>
        <w:t>" لإعادة تصنيف الرموز.  وأشير كذلك إلى أن المكتب الدولي سيتحقق في هذه الزيادات بمزيد من التفصيل، بمساعدة المكتب الأوروبي للبراءات ومحاولة إيجاد حل للمشكلة.</w:t>
      </w:r>
    </w:p>
    <w:p w14:paraId="6766D0DB" w14:textId="77777777" w:rsidR="00CC048B" w:rsidRPr="008B3289" w:rsidRDefault="00CC048B" w:rsidP="00CC048B">
      <w:pPr>
        <w:pStyle w:val="ONUME"/>
        <w:rPr>
          <w:rtl/>
        </w:rPr>
      </w:pPr>
      <w:r>
        <w:rPr>
          <w:rFonts w:hint="cs"/>
          <w:rtl/>
        </w:rPr>
        <w:lastRenderedPageBreak/>
        <w:t xml:space="preserve">وأحاطت اللجنة علما، مع الامتنان، باعتزام المكتب الأوروبي للبراءات نشر بيانات إعادة تصنيف التصنيف التعاوني للبراءات في التصنيف الدولي للبراءات، مما قد يساعد على التخفيف من أعباء إعادة التصنيف في التصنيف الدولي للبراءات. </w:t>
      </w:r>
    </w:p>
    <w:p w14:paraId="6E675F23" w14:textId="77777777" w:rsidR="00CC048B" w:rsidRDefault="00CC048B" w:rsidP="00CC048B">
      <w:pPr>
        <w:pStyle w:val="ONUME"/>
        <w:rPr>
          <w:rtl/>
        </w:rPr>
      </w:pPr>
      <w:r>
        <w:rPr>
          <w:rFonts w:hint="cs"/>
          <w:rtl/>
        </w:rPr>
        <w:t xml:space="preserve">وبعد أن استعرضت اللجنة الصورة العامة لإحصاءات إعادة التصنيف واحاطت علما بأن بعض النسخ القديمة من التصنيف الدولي للبراءات التي لا يزال يتعين إعادة تصنيفها قد مضى عليها أكثر من 10 سنوات ولم يحرز أي تقدم كبير في مجال إعادة التصنيف الفكري في السنوات الماضية، فإنها قررت تطبيق النقل الافتراضي على إصدارات التصنيف الدولي للبراءات 2009.01 إلى 2015.01 لتحسين كفاءة البحث والحد من تراكم العمل.  </w:t>
      </w:r>
    </w:p>
    <w:p w14:paraId="0EB9AC0B" w14:textId="77777777" w:rsidR="00CC048B" w:rsidRDefault="00CC048B" w:rsidP="00CC048B">
      <w:pPr>
        <w:pStyle w:val="ONUME"/>
        <w:rPr>
          <w:rtl/>
        </w:rPr>
      </w:pPr>
      <w:r>
        <w:rPr>
          <w:rFonts w:hint="cs"/>
          <w:rtl/>
        </w:rPr>
        <w:t xml:space="preserve">وأقرت اللجنة بالشواغل التي أعربت عنها المكاتب بشأن انخفاض دقة بيانات إعادة التصنيف بعد تطبيق النقل الافتراضي والتأكيد من المكتب الأوروبي للبراءات على أنه سيكون من الممكن تحديد أسر النقل الافتراضي المذكورة في نسق </w:t>
      </w:r>
      <w:proofErr w:type="spellStart"/>
      <w:r>
        <w:t>DocDB</w:t>
      </w:r>
      <w:proofErr w:type="spellEnd"/>
      <w:r>
        <w:rPr>
          <w:rFonts w:hint="cs"/>
          <w:rtl/>
        </w:rPr>
        <w:t xml:space="preserve"> لأغراض الاستعراض المقبل عند العثور على حل أفضل، على سبيل المثال عندما تصبح أدوات أفضل لإعادة التصنيف متاحة.    </w:t>
      </w:r>
    </w:p>
    <w:p w14:paraId="0409CBE3" w14:textId="3D556B04" w:rsidR="00CC048B" w:rsidRPr="009224B5" w:rsidRDefault="00CC048B" w:rsidP="00CC048B">
      <w:pPr>
        <w:pStyle w:val="ONUME"/>
        <w:rPr>
          <w:rtl/>
        </w:rPr>
      </w:pPr>
      <w:r>
        <w:rPr>
          <w:rFonts w:hint="cs"/>
          <w:rtl/>
        </w:rPr>
        <w:t xml:space="preserve">ووافقت اللجنة أيضا على إنشاء فرقة عمل لاستعراض التحديات الحالية والمستقبلية المتعلقة بإعادة التصنيف، والإبلاغ عن قضايا إعادة التصنيف التي تواجهها المكاتب، واقتراح حلول، تطوعت المكاتب التالية للمشاركة فيها: البرازيل والصين والمكتب الأوروبي للبراءات وجمهورية كوريا والسويد.  اتفقت اللجنة على أنه من الممكن أن ينضم أعضاؤها الآخرون إلى فرقة العمل في أي مرحلة لاحقة.  وأنشئ المشروع الجديد </w:t>
      </w:r>
      <w:hyperlink r:id="rId27" w:history="1">
        <w:r>
          <w:rPr>
            <w:rStyle w:val="Hyperlink"/>
          </w:rPr>
          <w:t>CE 562</w:t>
        </w:r>
      </w:hyperlink>
      <w:r>
        <w:rPr>
          <w:rFonts w:hint="cs"/>
          <w:rtl/>
        </w:rPr>
        <w:t xml:space="preserve"> لتيسير المناقشة، مع المكتب الأوروبي للبراءات والمكتب الدولي كمقررين مشتركين. </w:t>
      </w:r>
    </w:p>
    <w:p w14:paraId="06DF6530" w14:textId="77777777" w:rsidR="00CC048B" w:rsidRPr="009224B5" w:rsidRDefault="00CC048B" w:rsidP="00CC048B">
      <w:pPr>
        <w:pStyle w:val="ONUME"/>
        <w:rPr>
          <w:rtl/>
        </w:rPr>
      </w:pPr>
      <w:r>
        <w:rPr>
          <w:rFonts w:hint="cs"/>
          <w:rtl/>
        </w:rPr>
        <w:t xml:space="preserve">وأقرت اللجنة بأهمية ضمان أن يظل التصنيف الدولي للبراءات نظاما موثوقا وفعالا للتصنيف، وأكدت من جديد التزامها بمعالجة تحديات إعادة التصنيف من خلال استراتيجيات فورية وطويلة الأجل على حد سواء.  وشجعت اللجنة المكاتب على تقديم بيانات عن إعادة التصنيف إلى نظام </w:t>
      </w:r>
      <w:r>
        <w:t>IPCWLMS</w:t>
      </w:r>
      <w:r>
        <w:rPr>
          <w:rFonts w:hint="cs"/>
          <w:rtl/>
        </w:rPr>
        <w:t xml:space="preserve"> في النسق الصحيح، بما في ذلك الخصائص المناسبة للرموز التي أعيد تصنيفها وإزالة رموز التصنيف الدولي للبراءات، إلى جانب مؤشرات الإصدار المقابلة، لتحسين كفاءة المعالجة.</w:t>
      </w:r>
    </w:p>
    <w:p w14:paraId="43398BDF" w14:textId="77777777" w:rsidR="00CC048B" w:rsidRPr="009224B5" w:rsidRDefault="00CC048B" w:rsidP="006A26B5">
      <w:pPr>
        <w:pStyle w:val="Heading1"/>
        <w:rPr>
          <w:rtl/>
        </w:rPr>
      </w:pPr>
      <w:r>
        <w:rPr>
          <w:rFonts w:hint="cs"/>
          <w:rtl/>
        </w:rPr>
        <w:t>تقرير عن الأنظمة المعلوماتية المتصلة بالتصنيف الدولي للبراءات</w:t>
      </w:r>
    </w:p>
    <w:p w14:paraId="11B7D503" w14:textId="77777777" w:rsidR="00CC048B" w:rsidRPr="009224B5" w:rsidRDefault="00CC048B" w:rsidP="00CC048B">
      <w:pPr>
        <w:pStyle w:val="ONUME"/>
        <w:rPr>
          <w:rtl/>
        </w:rPr>
      </w:pPr>
      <w:r>
        <w:rPr>
          <w:rFonts w:hint="cs"/>
          <w:rtl/>
        </w:rPr>
        <w:t>قدمت الأمانة لمحة عامة عن التطورات الجارية في أنظمة تكنولوجيا المعلومات المتعلقة بالتصنيف الدولي للبراءات، ولا سيما بشأن بعض التغييرات المتعلقة بالمظهر المشترك للتصنيف الدولي للبراءات (</w:t>
      </w:r>
      <w:r>
        <w:t>IPCPUB</w:t>
      </w:r>
      <w:r>
        <w:rPr>
          <w:rFonts w:hint="cs"/>
          <w:rtl/>
        </w:rPr>
        <w:t>)، يليه عرض توضيحي لتصور تلك التغييرات.</w:t>
      </w:r>
    </w:p>
    <w:p w14:paraId="54739640" w14:textId="78C6F3D1" w:rsidR="00CC048B" w:rsidRPr="009224B5" w:rsidRDefault="00CC048B" w:rsidP="00CC048B">
      <w:pPr>
        <w:pStyle w:val="ONUME"/>
        <w:rPr>
          <w:rtl/>
        </w:rPr>
      </w:pPr>
      <w:r>
        <w:rPr>
          <w:rFonts w:hint="cs"/>
          <w:rtl/>
        </w:rPr>
        <w:t>وأحاطت اللجنة علما بالشواغل التي أعربت عنها بعض المكاتب بشأن انخفاض وضوح العديد من الوظائف المظهر الموحد للبرنامج المشترك للبحث والفحص التعاونيين والتي تم عرضها بشكل أفضل في القاعدة القديمة للتصنيف الدولي للبراءات (</w:t>
      </w:r>
      <w:r>
        <w:t>IPCPUB</w:t>
      </w:r>
      <w:r>
        <w:rPr>
          <w:rFonts w:hint="cs"/>
          <w:rtl/>
        </w:rPr>
        <w:t xml:space="preserve">).  ودعت اللجنة المكاتب إلى تقديم تعليقاتها أو اقتراحاتها كتابيا إلى المنتدى الإلكتروني للتصنيف الدولي للبراءات في إطار المشروع </w:t>
      </w:r>
      <w:hyperlink r:id="rId28" w:history="1">
        <w:r>
          <w:rPr>
            <w:rStyle w:val="Hyperlink"/>
          </w:rPr>
          <w:t>CE 447</w:t>
        </w:r>
      </w:hyperlink>
      <w:r>
        <w:rPr>
          <w:rFonts w:hint="cs"/>
          <w:rtl/>
        </w:rPr>
        <w:t xml:space="preserve"> ("تعليقات لتحسين المنشور الخاص بالتصنيف الدولي للبراءات” على الإنترنت) لإجراء مزيد من التحقيق من جانب المكتب الدولي.</w:t>
      </w:r>
    </w:p>
    <w:p w14:paraId="7157FDFF" w14:textId="77777777" w:rsidR="00CC048B" w:rsidRPr="009224B5" w:rsidRDefault="00CC048B" w:rsidP="00CC048B">
      <w:pPr>
        <w:pStyle w:val="ONUME"/>
        <w:rPr>
          <w:rtl/>
        </w:rPr>
      </w:pPr>
      <w:r>
        <w:rPr>
          <w:rFonts w:hint="cs"/>
          <w:rtl/>
        </w:rPr>
        <w:t xml:space="preserve"> وأوضحت الأمانة أن الشكل المشترك للويبو هو جزء من بوابة الويبو الرسمية للملكية الفكرية (</w:t>
      </w:r>
      <w:r>
        <w:t>WIPO IP Portal</w:t>
      </w:r>
      <w:r>
        <w:rPr>
          <w:rFonts w:hint="cs"/>
          <w:rtl/>
        </w:rPr>
        <w:t>) التي أطلقت في جميع أنحاء المنظمة لتوفير قدر أكبر من الاتساق، على سبيل المثال، التصفح الموحد لتسهيل الحركة بين خدمات الويبو في مجال الملكية الفكرية، وتحديث المظهر بتنفيذ واجهة مستخدم مشتركة من أجل تجربة مستخدم موحدة وموحدة، وما إلى ذلك.</w:t>
      </w:r>
    </w:p>
    <w:p w14:paraId="57B81D4A" w14:textId="77777777" w:rsidR="00CC048B" w:rsidRPr="009224B5" w:rsidRDefault="00CC048B" w:rsidP="006A26B5">
      <w:pPr>
        <w:pStyle w:val="Heading1"/>
        <w:rPr>
          <w:rtl/>
        </w:rPr>
      </w:pPr>
      <w:r>
        <w:rPr>
          <w:rFonts w:hint="cs"/>
          <w:rtl/>
        </w:rPr>
        <w:t>تجارب من المكاتب بشأن التصنيف بمساعدة الحاسوب (مثل، التصنيف القائم على الذكاء الاصطناعي)</w:t>
      </w:r>
    </w:p>
    <w:p w14:paraId="4D489140" w14:textId="28A286E3" w:rsidR="00CC048B" w:rsidRPr="009224B5" w:rsidRDefault="00CC048B" w:rsidP="00CC048B">
      <w:pPr>
        <w:pStyle w:val="ONUME"/>
        <w:rPr>
          <w:rtl/>
        </w:rPr>
      </w:pPr>
      <w:r>
        <w:rPr>
          <w:rFonts w:hint="cs"/>
          <w:rtl/>
        </w:rPr>
        <w:t>أحاطت اللجنة علما، مع الامتنان، بالعروض التي قدمها المكتب الأوروبي للبراءات ومكتب اليابان للبراءات عن تجربة</w:t>
      </w:r>
      <w:r w:rsidR="006A26B5">
        <w:t xml:space="preserve"> </w:t>
      </w:r>
      <w:r>
        <w:rPr>
          <w:rFonts w:hint="cs"/>
          <w:rtl/>
        </w:rPr>
        <w:t>التصنيف القائم على الحاسوب (مثل التصنيف القائم على الذكاء الاصطناعي)</w:t>
      </w:r>
      <w:r w:rsidR="006A26B5">
        <w:rPr>
          <w:rFonts w:hint="cs"/>
          <w:rtl/>
        </w:rPr>
        <w:t>.</w:t>
      </w:r>
    </w:p>
    <w:p w14:paraId="73F91745" w14:textId="77777777" w:rsidR="00CC048B" w:rsidRPr="009224B5" w:rsidRDefault="00CC048B" w:rsidP="00CC048B">
      <w:pPr>
        <w:pStyle w:val="ONUME"/>
        <w:rPr>
          <w:rtl/>
        </w:rPr>
      </w:pPr>
      <w:r>
        <w:rPr>
          <w:rFonts w:hint="cs"/>
          <w:rtl/>
        </w:rPr>
        <w:t xml:space="preserve">ولاحظت اللجنة أن كلا المكتبين قد أحرز تقدما كبيرا في تطبيق الذكاء الاصطناعي على التصنيف المسبق والتصنيف وإعادة تصنيف وثائق البراءات.  </w:t>
      </w:r>
    </w:p>
    <w:p w14:paraId="35FE95CC" w14:textId="77777777" w:rsidR="00CC048B" w:rsidRPr="009224B5" w:rsidRDefault="00CC048B" w:rsidP="00CC048B">
      <w:pPr>
        <w:pStyle w:val="ONUME"/>
        <w:rPr>
          <w:rtl/>
        </w:rPr>
      </w:pPr>
      <w:r>
        <w:rPr>
          <w:rFonts w:hint="cs"/>
          <w:rtl/>
        </w:rPr>
        <w:t xml:space="preserve">وعرض المكتب الأوروبي للبراءات تجربته في التصنيف القائم على الذكاء الاصطناعي، وسلط الضوء على نهجه المنظم إزاء التصنيف السابق للتصنيف والتصنيف وإعادة التصنيف، بما في ذلك مواصلة تحسين نظام التصنيف التعاوني للبراءات المتاح للجمهور لأغراض التصنيف السابق للتصنيف التعاوني للبراءات، وعملية إعادة التصنيف، حيث يساعد الذكاء الاصطناعي الفاحصين على معالجة الدفعات، ووضع تصنيعه الديناميكي القائم على الذكاء الاصطناعي لتصنيفات الأقسام. </w:t>
      </w:r>
    </w:p>
    <w:p w14:paraId="02C583F6" w14:textId="77777777" w:rsidR="00CC048B" w:rsidRPr="009224B5" w:rsidRDefault="00CC048B" w:rsidP="00CC048B">
      <w:pPr>
        <w:pStyle w:val="ONUME"/>
        <w:rPr>
          <w:rtl/>
        </w:rPr>
      </w:pPr>
      <w:r>
        <w:rPr>
          <w:rFonts w:hint="cs"/>
          <w:rtl/>
        </w:rPr>
        <w:t>وعرض مكتب اليابان للبراءات مبادراته المتعلقة بالذكاء الاصطناعي، بما في ذلك نماذج التعلم الآلي الخاصة به لتخصيص رموز التصنيف الياباني (</w:t>
      </w:r>
      <w:r>
        <w:t>FI</w:t>
      </w:r>
      <w:r>
        <w:rPr>
          <w:rFonts w:hint="cs"/>
          <w:rtl/>
        </w:rPr>
        <w:t xml:space="preserve">) والرموز الطويلة الأجل لوثائق البراءات الأجنبية، مما يتيح البحث في حالة التقنية الصناعية السابقة الشاملة لكل من الوثائق اليابانية والأجنبية وطريقة تصنيف البراءات عن طريق التعلم الآلي باستخدام القيمة الذاتية والحاجة إلى مقاييس موحدة </w:t>
      </w:r>
      <w:r>
        <w:rPr>
          <w:rFonts w:hint="cs"/>
          <w:rtl/>
        </w:rPr>
        <w:lastRenderedPageBreak/>
        <w:t>لتصنيف الذكاء الاصطناعي في جميع المكاتب.  ورحبت اللجنة بالجهود التي يبذلها مكتب اليابان للبراءات في استكشاف استخدام الذكاء الاصطناعي في استحداث تصنيفات جديدة.</w:t>
      </w:r>
    </w:p>
    <w:p w14:paraId="6E642777" w14:textId="77777777" w:rsidR="00CC048B" w:rsidRPr="006A7047" w:rsidRDefault="00CC048B" w:rsidP="00CC048B">
      <w:pPr>
        <w:pStyle w:val="ONUME"/>
        <w:rPr>
          <w:rtl/>
        </w:rPr>
      </w:pPr>
      <w:r>
        <w:rPr>
          <w:rFonts w:hint="cs"/>
          <w:rtl/>
        </w:rPr>
        <w:t>وناقشت اللجنة التحديات التي تواجهها المكاتب، بما في ذلك أوجه التفاوت في أداء الذكاء الاصطناعي في مختلف المجالات التقنية، والقيود المفروضة على معالجة بعض مجالات التصنيف (مثل المجالات التي تعتمد بشدة على الأرقام)، وضرورة توافر بيانات تدريب عالية الجودة، والاستفادة من تعقيبات الفاحصين لتحسين دقة التصنيف بمرور الوقت.  كما سُلط الضوء على عدم وجود مقاييس موحدة لتقييم جودة التصنيف القائم على الذكاء الاصطناعي.</w:t>
      </w:r>
    </w:p>
    <w:p w14:paraId="134AFBCB" w14:textId="77777777" w:rsidR="00CC048B" w:rsidRPr="006A7047" w:rsidRDefault="00CC048B" w:rsidP="00CC048B">
      <w:pPr>
        <w:pStyle w:val="ONUME"/>
        <w:rPr>
          <w:rtl/>
        </w:rPr>
      </w:pPr>
      <w:r>
        <w:rPr>
          <w:rFonts w:hint="cs"/>
          <w:rtl/>
        </w:rPr>
        <w:t>وأقرت اللجنة بأهمية مواصلة تبادل المعلومات في هذا المجال وشجعت على زيادة التعاون بين المكاتب.  واقترح مكتب اليابان للبراءات وضع معايير قياسية لتصنيف الذكاء الاصطناعي، بما في ذلك بيانات التدريب الموحدة ومقاييس التقييم، لضمان إمكانية مقارنة النتائج بين المكاتب.</w:t>
      </w:r>
    </w:p>
    <w:p w14:paraId="3EAA5305" w14:textId="0D1C44F8" w:rsidR="00CC048B" w:rsidRPr="006A7047" w:rsidRDefault="00CC048B" w:rsidP="00CC048B">
      <w:pPr>
        <w:pStyle w:val="ONUME"/>
        <w:rPr>
          <w:rtl/>
        </w:rPr>
      </w:pPr>
      <w:r>
        <w:rPr>
          <w:rFonts w:hint="cs"/>
          <w:rtl/>
        </w:rPr>
        <w:t>ودعت اللجنة المزيد من المكاتب إلى تبادل الخبرات والرؤى بشأن التصنيف القائم على الذكاء الاصطناعي في دورتها المقبلة.  وأُبلغت أن جميع مواد العروض بما في ذلك المواد السابقة متاحة في المنتدى الإلكتروني للتصنيف الدولي للبراءات في إطار المشروع</w:t>
      </w:r>
      <w:r w:rsidR="006A26B5">
        <w:rPr>
          <w:rFonts w:hint="eastAsia"/>
          <w:rtl/>
        </w:rPr>
        <w:t> </w:t>
      </w:r>
      <w:hyperlink r:id="rId29" w:history="1">
        <w:r>
          <w:rPr>
            <w:rStyle w:val="Hyperlink"/>
          </w:rPr>
          <w:t>CE 524</w:t>
        </w:r>
      </w:hyperlink>
      <w:r>
        <w:rPr>
          <w:rFonts w:hint="cs"/>
          <w:rtl/>
        </w:rPr>
        <w:t>.</w:t>
      </w:r>
    </w:p>
    <w:p w14:paraId="273FAA1B" w14:textId="77777777" w:rsidR="00CC048B" w:rsidRDefault="00CC048B" w:rsidP="00CC048B">
      <w:pPr>
        <w:pStyle w:val="ONUME"/>
        <w:numPr>
          <w:ilvl w:val="0"/>
          <w:numId w:val="0"/>
        </w:numPr>
        <w:rPr>
          <w:b/>
          <w:bCs/>
          <w:caps/>
          <w:kern w:val="32"/>
          <w:szCs w:val="32"/>
          <w:rtl/>
        </w:rPr>
      </w:pPr>
      <w:r>
        <w:rPr>
          <w:rFonts w:hint="cs"/>
          <w:b/>
          <w:bCs/>
          <w:caps/>
          <w:rtl/>
        </w:rPr>
        <w:t>الدورة المقبلة للجنة الخبراء</w:t>
      </w:r>
    </w:p>
    <w:p w14:paraId="506D85A1" w14:textId="77777777" w:rsidR="00CC048B" w:rsidRPr="00315DD1" w:rsidRDefault="00CC048B" w:rsidP="00CC048B">
      <w:pPr>
        <w:pStyle w:val="ONUME"/>
        <w:rPr>
          <w:rtl/>
        </w:rPr>
      </w:pPr>
      <w:r>
        <w:rPr>
          <w:rFonts w:hint="cs"/>
          <w:rtl/>
        </w:rPr>
        <w:t xml:space="preserve">أشارت اللجنة إلى أن الدورة المقبلة (السابعة والخمسين) ستعقد في جنيف في أوائل عام 2026، مع مراعاة الجدول الزمني لاجتماعات الويبو، بما في ذلك اللجان الرئيسية. </w:t>
      </w:r>
    </w:p>
    <w:p w14:paraId="14AC57B2" w14:textId="77777777" w:rsidR="00CC048B" w:rsidRDefault="00CC048B" w:rsidP="00CC048B">
      <w:pPr>
        <w:pStyle w:val="ONUME"/>
        <w:numPr>
          <w:ilvl w:val="0"/>
          <w:numId w:val="0"/>
        </w:numPr>
        <w:rPr>
          <w:b/>
          <w:bCs/>
          <w:caps/>
          <w:kern w:val="32"/>
          <w:szCs w:val="32"/>
          <w:rtl/>
        </w:rPr>
      </w:pPr>
      <w:r>
        <w:rPr>
          <w:rFonts w:hint="cs"/>
          <w:b/>
          <w:bCs/>
          <w:caps/>
          <w:rtl/>
        </w:rPr>
        <w:t>اختتام الدورة</w:t>
      </w:r>
    </w:p>
    <w:p w14:paraId="32ACF1DA" w14:textId="77777777" w:rsidR="00CC048B" w:rsidRPr="0000656D" w:rsidRDefault="00CC048B" w:rsidP="00CC048B">
      <w:pPr>
        <w:pStyle w:val="ONUME"/>
        <w:rPr>
          <w:rtl/>
        </w:rPr>
      </w:pPr>
      <w:r>
        <w:rPr>
          <w:rFonts w:hint="cs"/>
          <w:rtl/>
        </w:rPr>
        <w:t>اختتم الرئيس الدورة.</w:t>
      </w:r>
    </w:p>
    <w:p w14:paraId="2FC6F5CA" w14:textId="2ECDA963" w:rsidR="00CC048B" w:rsidRPr="00C95CA3" w:rsidRDefault="00CC048B" w:rsidP="00CC048B">
      <w:pPr>
        <w:pStyle w:val="ONUME"/>
        <w:ind w:left="5533"/>
        <w:rPr>
          <w:rtl/>
        </w:rPr>
      </w:pPr>
      <w:r>
        <w:rPr>
          <w:rFonts w:hint="cs"/>
          <w:i/>
          <w:iCs/>
          <w:rtl/>
        </w:rPr>
        <w:t>اعتمدت لجنة الخبراء هذا التقرير بالإجماع وبالوسائل الإلكترونية في 17 ديسمبر 2025.</w:t>
      </w:r>
    </w:p>
    <w:p w14:paraId="7ED005B2" w14:textId="77777777" w:rsidR="00CC048B" w:rsidRPr="006A26B5" w:rsidRDefault="00CC048B" w:rsidP="00CC048B">
      <w:pPr>
        <w:pStyle w:val="ONUME"/>
        <w:numPr>
          <w:ilvl w:val="0"/>
          <w:numId w:val="0"/>
        </w:numPr>
        <w:ind w:left="5533"/>
        <w:rPr>
          <w:caps/>
          <w:kern w:val="32"/>
          <w:szCs w:val="32"/>
          <w:rtl/>
        </w:rPr>
      </w:pPr>
      <w:r w:rsidRPr="006A26B5">
        <w:rPr>
          <w:rFonts w:hint="cs"/>
          <w:rtl/>
        </w:rPr>
        <w:t>[يلي ذلك المرفقان]</w:t>
      </w:r>
    </w:p>
    <w:p w14:paraId="197DB0DC" w14:textId="77777777" w:rsidR="00CC048B" w:rsidRDefault="00CC048B" w:rsidP="00CC048B">
      <w:pPr>
        <w:pStyle w:val="NumberedParaAR"/>
        <w:tabs>
          <w:tab w:val="clear" w:pos="567"/>
        </w:tabs>
        <w:spacing w:line="240" w:lineRule="auto"/>
        <w:rPr>
          <w:rFonts w:asciiTheme="minorHAnsi" w:hAnsiTheme="minorHAnsi" w:cstheme="minorHAnsi"/>
          <w:sz w:val="22"/>
          <w:szCs w:val="22"/>
          <w:rtl/>
        </w:rPr>
      </w:pPr>
    </w:p>
    <w:p w14:paraId="3BCF1BE1" w14:textId="77777777" w:rsidR="006A26B5" w:rsidRDefault="006A26B5" w:rsidP="00CC048B">
      <w:pPr>
        <w:pStyle w:val="NumberedParaAR"/>
        <w:tabs>
          <w:tab w:val="clear" w:pos="567"/>
        </w:tabs>
        <w:spacing w:line="240" w:lineRule="auto"/>
        <w:rPr>
          <w:rFonts w:asciiTheme="minorHAnsi" w:hAnsiTheme="minorHAnsi" w:cstheme="minorHAnsi"/>
          <w:sz w:val="22"/>
          <w:szCs w:val="22"/>
          <w:rtl/>
        </w:rPr>
      </w:pPr>
    </w:p>
    <w:p w14:paraId="4C65AE27" w14:textId="77777777" w:rsidR="006A26B5" w:rsidRDefault="006A26B5" w:rsidP="00CC048B">
      <w:pPr>
        <w:pStyle w:val="NumberedParaAR"/>
        <w:tabs>
          <w:tab w:val="clear" w:pos="567"/>
        </w:tabs>
        <w:spacing w:line="240" w:lineRule="auto"/>
        <w:rPr>
          <w:rFonts w:asciiTheme="minorHAnsi" w:hAnsiTheme="minorHAnsi" w:cstheme="minorHAnsi"/>
          <w:sz w:val="22"/>
          <w:szCs w:val="22"/>
          <w:rtl/>
        </w:rPr>
      </w:pPr>
    </w:p>
    <w:sectPr w:rsidR="006A26B5" w:rsidSect="00CC3E2D">
      <w:headerReference w:type="default" r:id="rId3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99A1" w14:textId="77777777" w:rsidR="005F0C64" w:rsidRDefault="005F0C64">
      <w:r>
        <w:separator/>
      </w:r>
    </w:p>
  </w:endnote>
  <w:endnote w:type="continuationSeparator" w:id="0">
    <w:p w14:paraId="0E631FFE" w14:textId="77777777" w:rsidR="005F0C64" w:rsidRDefault="005F0C64" w:rsidP="003B38C1">
      <w:r>
        <w:separator/>
      </w:r>
    </w:p>
    <w:p w14:paraId="0BCF0C26" w14:textId="77777777" w:rsidR="005F0C64" w:rsidRPr="003B38C1" w:rsidRDefault="005F0C64" w:rsidP="003B38C1">
      <w:pPr>
        <w:spacing w:after="60"/>
        <w:rPr>
          <w:sz w:val="17"/>
        </w:rPr>
      </w:pPr>
      <w:r>
        <w:rPr>
          <w:sz w:val="17"/>
        </w:rPr>
        <w:t>[Endnote continued from previous page]</w:t>
      </w:r>
    </w:p>
  </w:endnote>
  <w:endnote w:type="continuationNotice" w:id="1">
    <w:p w14:paraId="406A61C0" w14:textId="77777777" w:rsidR="005F0C64" w:rsidRPr="003B38C1" w:rsidRDefault="005F0C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00"/>
    <w:family w:val="script"/>
    <w:pitch w:val="variable"/>
    <w:sig w:usb0="80002007" w:usb1="8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36ED" w14:textId="77777777" w:rsidR="005F0C64" w:rsidRDefault="005F0C64">
      <w:r>
        <w:separator/>
      </w:r>
    </w:p>
  </w:footnote>
  <w:footnote w:type="continuationSeparator" w:id="0">
    <w:p w14:paraId="396A5508" w14:textId="77777777" w:rsidR="005F0C64" w:rsidRDefault="005F0C64" w:rsidP="008B60B2">
      <w:r>
        <w:separator/>
      </w:r>
    </w:p>
    <w:p w14:paraId="3F4CE607" w14:textId="77777777" w:rsidR="005F0C64" w:rsidRPr="00ED77FB" w:rsidRDefault="005F0C64" w:rsidP="008B60B2">
      <w:pPr>
        <w:spacing w:after="60"/>
        <w:rPr>
          <w:sz w:val="17"/>
          <w:szCs w:val="17"/>
        </w:rPr>
      </w:pPr>
      <w:r w:rsidRPr="00ED77FB">
        <w:rPr>
          <w:sz w:val="17"/>
          <w:szCs w:val="17"/>
        </w:rPr>
        <w:t>[Footnote continued from previous page]</w:t>
      </w:r>
    </w:p>
  </w:footnote>
  <w:footnote w:type="continuationNotice" w:id="1">
    <w:p w14:paraId="12EDA01A" w14:textId="77777777" w:rsidR="005F0C64" w:rsidRPr="00ED77FB" w:rsidRDefault="005F0C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1F17" w14:textId="7CD27EFE" w:rsidR="00644923" w:rsidRDefault="009D0240" w:rsidP="003B53A1">
    <w:pPr>
      <w:bidi w:val="0"/>
      <w:rPr>
        <w:caps/>
      </w:rPr>
    </w:pPr>
    <w:r w:rsidRPr="009D0240">
      <w:rPr>
        <w:caps/>
      </w:rPr>
      <w:t>IPC/</w:t>
    </w:r>
    <w:r w:rsidR="004357A2">
      <w:rPr>
        <w:caps/>
      </w:rPr>
      <w:t>CE</w:t>
    </w:r>
    <w:r w:rsidRPr="009D0240">
      <w:rPr>
        <w:caps/>
      </w:rPr>
      <w:t>/</w:t>
    </w:r>
    <w:r w:rsidR="00796E75">
      <w:rPr>
        <w:caps/>
      </w:rPr>
      <w:t>56</w:t>
    </w:r>
    <w:r w:rsidRPr="009D0240">
      <w:rPr>
        <w:caps/>
      </w:rPr>
      <w:t>/</w:t>
    </w:r>
    <w:r w:rsidR="006A26B5">
      <w:rPr>
        <w:caps/>
      </w:rPr>
      <w:t>2</w:t>
    </w:r>
  </w:p>
  <w:p w14:paraId="1D0B8801" w14:textId="77777777" w:rsidR="00D07C78" w:rsidRDefault="00D07C78" w:rsidP="00644923">
    <w:pPr>
      <w:bidi w:val="0"/>
    </w:pPr>
    <w:r>
      <w:fldChar w:fldCharType="begin"/>
    </w:r>
    <w:r>
      <w:instrText xml:space="preserve"> PAGE  \* MERGEFORMAT </w:instrText>
    </w:r>
    <w:r>
      <w:fldChar w:fldCharType="separate"/>
    </w:r>
    <w:r w:rsidR="00B923E0">
      <w:rPr>
        <w:noProof/>
      </w:rPr>
      <w:t>2</w:t>
    </w:r>
    <w:r>
      <w:fldChar w:fldCharType="end"/>
    </w:r>
  </w:p>
  <w:p w14:paraId="5E6D4F40" w14:textId="77777777" w:rsidR="00D07C78" w:rsidRDefault="00D07C78" w:rsidP="00210D5F">
    <w:pPr>
      <w:bidi w:val="0"/>
    </w:pPr>
  </w:p>
  <w:p w14:paraId="22862FA1"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88E8A42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9D649038"/>
    <w:lvl w:ilvl="0" w:tplc="55DA0CAC">
      <w:start w:val="1"/>
      <w:numFmt w:val="decimal"/>
      <w:lvlText w:val="%1."/>
      <w:lvlJc w:val="left"/>
      <w:pPr>
        <w:tabs>
          <w:tab w:val="num" w:pos="567"/>
        </w:tabs>
        <w:ind w:left="0" w:firstLine="0"/>
      </w:pPr>
      <w:rPr>
        <w:rFonts w:asciiTheme="minorHAnsi" w:hAnsiTheme="minorHAnsi" w:cstheme="minorHAnsi" w:hint="default"/>
        <w:sz w:val="22"/>
        <w:szCs w:val="22"/>
      </w:rPr>
    </w:lvl>
    <w:lvl w:ilvl="1" w:tplc="FB92D348">
      <w:start w:val="1"/>
      <w:numFmt w:val="lowerLetter"/>
      <w:lvlText w:val="%2."/>
      <w:lvlJc w:val="left"/>
      <w:pPr>
        <w:tabs>
          <w:tab w:val="num" w:pos="1440"/>
        </w:tabs>
        <w:ind w:left="1440" w:hanging="360"/>
      </w:pPr>
    </w:lvl>
    <w:lvl w:ilvl="2" w:tplc="E772B052">
      <w:start w:val="1"/>
      <w:numFmt w:val="lowerRoman"/>
      <w:lvlText w:val="%3."/>
      <w:lvlJc w:val="right"/>
      <w:pPr>
        <w:tabs>
          <w:tab w:val="num" w:pos="2160"/>
        </w:tabs>
        <w:ind w:left="2160" w:hanging="180"/>
      </w:pPr>
    </w:lvl>
    <w:lvl w:ilvl="3" w:tplc="B0BA7B86">
      <w:start w:val="1"/>
      <w:numFmt w:val="decimal"/>
      <w:lvlText w:val="%4."/>
      <w:lvlJc w:val="left"/>
      <w:pPr>
        <w:tabs>
          <w:tab w:val="num" w:pos="2880"/>
        </w:tabs>
        <w:ind w:left="2880" w:hanging="360"/>
      </w:pPr>
    </w:lvl>
    <w:lvl w:ilvl="4" w:tplc="67383648">
      <w:start w:val="1"/>
      <w:numFmt w:val="lowerLetter"/>
      <w:lvlText w:val="%5."/>
      <w:lvlJc w:val="left"/>
      <w:pPr>
        <w:tabs>
          <w:tab w:val="num" w:pos="3600"/>
        </w:tabs>
        <w:ind w:left="3600" w:hanging="360"/>
      </w:pPr>
    </w:lvl>
    <w:lvl w:ilvl="5" w:tplc="ECA4FAE2">
      <w:start w:val="1"/>
      <w:numFmt w:val="lowerRoman"/>
      <w:lvlText w:val="%6."/>
      <w:lvlJc w:val="right"/>
      <w:pPr>
        <w:tabs>
          <w:tab w:val="num" w:pos="4320"/>
        </w:tabs>
        <w:ind w:left="4320" w:hanging="180"/>
      </w:pPr>
    </w:lvl>
    <w:lvl w:ilvl="6" w:tplc="37ECDCF4">
      <w:start w:val="1"/>
      <w:numFmt w:val="decimal"/>
      <w:lvlText w:val="%7."/>
      <w:lvlJc w:val="left"/>
      <w:pPr>
        <w:tabs>
          <w:tab w:val="num" w:pos="5040"/>
        </w:tabs>
        <w:ind w:left="5040" w:hanging="360"/>
      </w:pPr>
    </w:lvl>
    <w:lvl w:ilvl="7" w:tplc="2194A552">
      <w:start w:val="1"/>
      <w:numFmt w:val="lowerLetter"/>
      <w:lvlText w:val="%8."/>
      <w:lvlJc w:val="left"/>
      <w:pPr>
        <w:tabs>
          <w:tab w:val="num" w:pos="5760"/>
        </w:tabs>
        <w:ind w:left="5760" w:hanging="360"/>
      </w:pPr>
    </w:lvl>
    <w:lvl w:ilvl="8" w:tplc="BDD40108">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757484575">
    <w:abstractNumId w:val="2"/>
  </w:num>
  <w:num w:numId="2" w16cid:durableId="1351562359">
    <w:abstractNumId w:val="6"/>
  </w:num>
  <w:num w:numId="3" w16cid:durableId="1284387565">
    <w:abstractNumId w:val="0"/>
  </w:num>
  <w:num w:numId="4" w16cid:durableId="1258445453">
    <w:abstractNumId w:val="7"/>
  </w:num>
  <w:num w:numId="5" w16cid:durableId="1548834022">
    <w:abstractNumId w:val="1"/>
  </w:num>
  <w:num w:numId="6" w16cid:durableId="289288088">
    <w:abstractNumId w:val="3"/>
  </w:num>
  <w:num w:numId="7" w16cid:durableId="669481490">
    <w:abstractNumId w:val="8"/>
  </w:num>
  <w:num w:numId="8" w16cid:durableId="1725719922">
    <w:abstractNumId w:val="5"/>
  </w:num>
  <w:num w:numId="9" w16cid:durableId="57208727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816020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7102623">
    <w:abstractNumId w:val="4"/>
  </w:num>
  <w:num w:numId="12" w16cid:durableId="1846281901">
    <w:abstractNumId w:val="8"/>
  </w:num>
  <w:num w:numId="13" w16cid:durableId="2070613421">
    <w:abstractNumId w:val="8"/>
  </w:num>
  <w:num w:numId="14" w16cid:durableId="1291979152">
    <w:abstractNumId w:val="8"/>
  </w:num>
  <w:num w:numId="15" w16cid:durableId="1077242287">
    <w:abstractNumId w:val="8"/>
  </w:num>
  <w:num w:numId="16" w16cid:durableId="1826967632">
    <w:abstractNumId w:val="8"/>
  </w:num>
  <w:num w:numId="17" w16cid:durableId="1871137964">
    <w:abstractNumId w:val="8"/>
  </w:num>
  <w:num w:numId="18" w16cid:durableId="759328313">
    <w:abstractNumId w:val="8"/>
  </w:num>
  <w:num w:numId="19" w16cid:durableId="2099447913">
    <w:abstractNumId w:val="8"/>
  </w:num>
  <w:num w:numId="20" w16cid:durableId="493303228">
    <w:abstractNumId w:val="8"/>
  </w:num>
  <w:num w:numId="21" w16cid:durableId="1282539752">
    <w:abstractNumId w:val="8"/>
  </w:num>
  <w:num w:numId="22" w16cid:durableId="1207914304">
    <w:abstractNumId w:val="8"/>
  </w:num>
  <w:num w:numId="23" w16cid:durableId="11884430">
    <w:abstractNumId w:val="8"/>
  </w:num>
  <w:num w:numId="24" w16cid:durableId="1834636591">
    <w:abstractNumId w:val="8"/>
  </w:num>
  <w:num w:numId="25" w16cid:durableId="1996715538">
    <w:abstractNumId w:val="8"/>
  </w:num>
  <w:num w:numId="26" w16cid:durableId="47651304">
    <w:abstractNumId w:val="8"/>
  </w:num>
  <w:num w:numId="27" w16cid:durableId="1088191905">
    <w:abstractNumId w:val="8"/>
  </w:num>
  <w:num w:numId="28" w16cid:durableId="1640064599">
    <w:abstractNumId w:val="8"/>
  </w:num>
  <w:num w:numId="29" w16cid:durableId="1719276380">
    <w:abstractNumId w:val="8"/>
  </w:num>
  <w:num w:numId="30" w16cid:durableId="1126584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A4"/>
    <w:rsid w:val="000003CF"/>
    <w:rsid w:val="00043CAA"/>
    <w:rsid w:val="00056816"/>
    <w:rsid w:val="00075432"/>
    <w:rsid w:val="000968ED"/>
    <w:rsid w:val="000A3D97"/>
    <w:rsid w:val="000A7B56"/>
    <w:rsid w:val="000E0C82"/>
    <w:rsid w:val="000F5E56"/>
    <w:rsid w:val="00105EA5"/>
    <w:rsid w:val="00107D4E"/>
    <w:rsid w:val="0012516C"/>
    <w:rsid w:val="001362EE"/>
    <w:rsid w:val="001406E1"/>
    <w:rsid w:val="00155D8A"/>
    <w:rsid w:val="001647D5"/>
    <w:rsid w:val="001832A6"/>
    <w:rsid w:val="00192001"/>
    <w:rsid w:val="0019592A"/>
    <w:rsid w:val="001C079E"/>
    <w:rsid w:val="001D4107"/>
    <w:rsid w:val="00203D24"/>
    <w:rsid w:val="00210D5F"/>
    <w:rsid w:val="0021217E"/>
    <w:rsid w:val="002326AB"/>
    <w:rsid w:val="00243430"/>
    <w:rsid w:val="00256554"/>
    <w:rsid w:val="002634C4"/>
    <w:rsid w:val="00290D01"/>
    <w:rsid w:val="002928D3"/>
    <w:rsid w:val="002F1FE6"/>
    <w:rsid w:val="002F4E68"/>
    <w:rsid w:val="00312F7F"/>
    <w:rsid w:val="00361450"/>
    <w:rsid w:val="003673CF"/>
    <w:rsid w:val="00370018"/>
    <w:rsid w:val="003845C1"/>
    <w:rsid w:val="003A2C38"/>
    <w:rsid w:val="003A375F"/>
    <w:rsid w:val="003A6F89"/>
    <w:rsid w:val="003B355C"/>
    <w:rsid w:val="003B38C1"/>
    <w:rsid w:val="003B53A1"/>
    <w:rsid w:val="003C34E9"/>
    <w:rsid w:val="003E4B2F"/>
    <w:rsid w:val="003E70F3"/>
    <w:rsid w:val="00423E3E"/>
    <w:rsid w:val="004264C6"/>
    <w:rsid w:val="00427AF4"/>
    <w:rsid w:val="004357A2"/>
    <w:rsid w:val="00447890"/>
    <w:rsid w:val="0045142B"/>
    <w:rsid w:val="004560C8"/>
    <w:rsid w:val="004647DA"/>
    <w:rsid w:val="00474062"/>
    <w:rsid w:val="00477D6B"/>
    <w:rsid w:val="00491570"/>
    <w:rsid w:val="004A297F"/>
    <w:rsid w:val="004B1CCA"/>
    <w:rsid w:val="004F555E"/>
    <w:rsid w:val="005019FF"/>
    <w:rsid w:val="0053057A"/>
    <w:rsid w:val="00556076"/>
    <w:rsid w:val="00560A29"/>
    <w:rsid w:val="00583BF6"/>
    <w:rsid w:val="005C6649"/>
    <w:rsid w:val="005D4508"/>
    <w:rsid w:val="005E7B89"/>
    <w:rsid w:val="005F0C64"/>
    <w:rsid w:val="005F4C7D"/>
    <w:rsid w:val="00601B3E"/>
    <w:rsid w:val="00605827"/>
    <w:rsid w:val="00622A2F"/>
    <w:rsid w:val="00644923"/>
    <w:rsid w:val="00646050"/>
    <w:rsid w:val="006713CA"/>
    <w:rsid w:val="00676C5C"/>
    <w:rsid w:val="00682E0D"/>
    <w:rsid w:val="006A26B5"/>
    <w:rsid w:val="006B5C12"/>
    <w:rsid w:val="00720EFD"/>
    <w:rsid w:val="007854AF"/>
    <w:rsid w:val="00793A7C"/>
    <w:rsid w:val="007947D2"/>
    <w:rsid w:val="00796E75"/>
    <w:rsid w:val="007A398A"/>
    <w:rsid w:val="007C0B92"/>
    <w:rsid w:val="007C4902"/>
    <w:rsid w:val="007C61F7"/>
    <w:rsid w:val="007D1613"/>
    <w:rsid w:val="007E4C0E"/>
    <w:rsid w:val="007F2029"/>
    <w:rsid w:val="00886B0C"/>
    <w:rsid w:val="008A134B"/>
    <w:rsid w:val="008A2C16"/>
    <w:rsid w:val="008B2CC1"/>
    <w:rsid w:val="008B60B2"/>
    <w:rsid w:val="008E4690"/>
    <w:rsid w:val="00901544"/>
    <w:rsid w:val="0090731E"/>
    <w:rsid w:val="00916EE2"/>
    <w:rsid w:val="00966A22"/>
    <w:rsid w:val="0096722F"/>
    <w:rsid w:val="00980843"/>
    <w:rsid w:val="009B0855"/>
    <w:rsid w:val="009D0240"/>
    <w:rsid w:val="009E2791"/>
    <w:rsid w:val="009E3F6F"/>
    <w:rsid w:val="009E6BF4"/>
    <w:rsid w:val="009F499F"/>
    <w:rsid w:val="00A37342"/>
    <w:rsid w:val="00A42DAF"/>
    <w:rsid w:val="00A45BD8"/>
    <w:rsid w:val="00A869B7"/>
    <w:rsid w:val="00A90F0A"/>
    <w:rsid w:val="00AB399D"/>
    <w:rsid w:val="00AC205C"/>
    <w:rsid w:val="00AF0A6B"/>
    <w:rsid w:val="00AF4B5C"/>
    <w:rsid w:val="00B05A69"/>
    <w:rsid w:val="00B24D5E"/>
    <w:rsid w:val="00B3451A"/>
    <w:rsid w:val="00B42CA9"/>
    <w:rsid w:val="00B51FF7"/>
    <w:rsid w:val="00B75281"/>
    <w:rsid w:val="00B777B2"/>
    <w:rsid w:val="00B923E0"/>
    <w:rsid w:val="00B92F1F"/>
    <w:rsid w:val="00B9734B"/>
    <w:rsid w:val="00BA20E2"/>
    <w:rsid w:val="00BA30E2"/>
    <w:rsid w:val="00BF3D83"/>
    <w:rsid w:val="00C11BFE"/>
    <w:rsid w:val="00C5068F"/>
    <w:rsid w:val="00C74AD7"/>
    <w:rsid w:val="00C74CAA"/>
    <w:rsid w:val="00C86D74"/>
    <w:rsid w:val="00CB3DBA"/>
    <w:rsid w:val="00CC048B"/>
    <w:rsid w:val="00CC3E2D"/>
    <w:rsid w:val="00CD04F1"/>
    <w:rsid w:val="00CD694A"/>
    <w:rsid w:val="00CE19F8"/>
    <w:rsid w:val="00CF681A"/>
    <w:rsid w:val="00D063A3"/>
    <w:rsid w:val="00D0740E"/>
    <w:rsid w:val="00D07C78"/>
    <w:rsid w:val="00D45252"/>
    <w:rsid w:val="00D60B2C"/>
    <w:rsid w:val="00D67EAE"/>
    <w:rsid w:val="00D71B4D"/>
    <w:rsid w:val="00D90B96"/>
    <w:rsid w:val="00D93D55"/>
    <w:rsid w:val="00DB3A99"/>
    <w:rsid w:val="00DD1469"/>
    <w:rsid w:val="00DD7B7F"/>
    <w:rsid w:val="00DE110F"/>
    <w:rsid w:val="00DE30F4"/>
    <w:rsid w:val="00DF064C"/>
    <w:rsid w:val="00DF1EEC"/>
    <w:rsid w:val="00DF6E81"/>
    <w:rsid w:val="00E013B9"/>
    <w:rsid w:val="00E15015"/>
    <w:rsid w:val="00E319DF"/>
    <w:rsid w:val="00E335FE"/>
    <w:rsid w:val="00E4796A"/>
    <w:rsid w:val="00E626A9"/>
    <w:rsid w:val="00E66CC5"/>
    <w:rsid w:val="00E7374D"/>
    <w:rsid w:val="00EA7D6E"/>
    <w:rsid w:val="00EB2F76"/>
    <w:rsid w:val="00EC18A4"/>
    <w:rsid w:val="00EC4E49"/>
    <w:rsid w:val="00ED77FB"/>
    <w:rsid w:val="00EE066C"/>
    <w:rsid w:val="00EE45FA"/>
    <w:rsid w:val="00F01C78"/>
    <w:rsid w:val="00F043DE"/>
    <w:rsid w:val="00F54D74"/>
    <w:rsid w:val="00F62223"/>
    <w:rsid w:val="00F66152"/>
    <w:rsid w:val="00F77728"/>
    <w:rsid w:val="00F9165B"/>
    <w:rsid w:val="00FC482F"/>
    <w:rsid w:val="00FF0E8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E954C"/>
  <w15:docId w15:val="{F249559D-845A-4021-9B70-824C7902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6A26B5"/>
    <w:pPr>
      <w:keepNext/>
      <w:spacing w:after="240"/>
      <w:outlineLvl w:val="0"/>
    </w:pPr>
    <w:rPr>
      <w:b/>
      <w:bCs/>
      <w:caps/>
      <w:kern w:val="32"/>
      <w:sz w:val="24"/>
      <w:szCs w:val="24"/>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ing1Char">
    <w:name w:val="Heading 1 Char"/>
    <w:basedOn w:val="DefaultParagraphFont"/>
    <w:link w:val="Heading1"/>
    <w:rsid w:val="006A26B5"/>
    <w:rPr>
      <w:rFonts w:ascii="Arial" w:eastAsia="SimSun" w:hAnsi="Arial" w:cs="Calibri"/>
      <w:b/>
      <w:bCs/>
      <w:caps/>
      <w:kern w:val="32"/>
      <w:sz w:val="24"/>
      <w:szCs w:val="24"/>
      <w:lang w:val="en-US" w:eastAsia="zh-CN"/>
    </w:rPr>
  </w:style>
  <w:style w:type="character" w:styleId="Hyperlink">
    <w:name w:val="Hyperlink"/>
    <w:basedOn w:val="DefaultParagraphFont"/>
    <w:unhideWhenUsed/>
    <w:rsid w:val="00EC18A4"/>
    <w:rPr>
      <w:color w:val="0000FF" w:themeColor="hyperlink"/>
      <w:u w:val="single"/>
    </w:rPr>
  </w:style>
  <w:style w:type="paragraph" w:styleId="ListParagraph">
    <w:name w:val="List Paragraph"/>
    <w:basedOn w:val="Normal"/>
    <w:uiPriority w:val="34"/>
    <w:qFormat/>
    <w:rsid w:val="00EC18A4"/>
    <w:pPr>
      <w:ind w:left="720"/>
      <w:contextualSpacing/>
    </w:pPr>
    <w:rPr>
      <w:rFonts w:ascii="Arabic Typesetting" w:eastAsia="Times New Roman" w:hAnsi="Arabic Typesetting" w:cs="Arabic Typesetting"/>
      <w:sz w:val="36"/>
      <w:szCs w:val="36"/>
      <w:lang w:eastAsia="en-US"/>
    </w:rPr>
  </w:style>
  <w:style w:type="paragraph" w:customStyle="1" w:styleId="NormalParaAR">
    <w:name w:val="Normal_Para_AR"/>
    <w:rsid w:val="00EC18A4"/>
    <w:pPr>
      <w:bidi/>
      <w:spacing w:after="240" w:line="360" w:lineRule="exact"/>
    </w:pPr>
    <w:rPr>
      <w:rFonts w:ascii="Arabic Typesetting" w:hAnsi="Arabic Typesetting" w:cs="Arabic Typesetting"/>
      <w:sz w:val="36"/>
      <w:szCs w:val="36"/>
      <w:lang w:val="en-US" w:eastAsia="en-US"/>
    </w:rPr>
  </w:style>
  <w:style w:type="paragraph" w:customStyle="1" w:styleId="NumberedParaAR">
    <w:name w:val="Numbered_Para_AR"/>
    <w:basedOn w:val="NormalParaAR"/>
    <w:rsid w:val="00EC18A4"/>
    <w:pPr>
      <w:tabs>
        <w:tab w:val="num" w:pos="567"/>
      </w:tabs>
    </w:pPr>
  </w:style>
  <w:style w:type="paragraph" w:customStyle="1" w:styleId="EndofDocumentAR">
    <w:name w:val="End_of_Document_AR"/>
    <w:basedOn w:val="NormalParaAR"/>
    <w:next w:val="NormalParaAR"/>
    <w:rsid w:val="00EC18A4"/>
    <w:pPr>
      <w:ind w:left="5534"/>
    </w:pPr>
  </w:style>
  <w:style w:type="table" w:styleId="TableGrid">
    <w:name w:val="Table Grid"/>
    <w:basedOn w:val="TableNormal"/>
    <w:rsid w:val="00EC18A4"/>
    <w:rPr>
      <w:rFonts w:ascii="Arabic Typesetting" w:hAnsi="Arabic Typesetting" w:cs="Arabic Typesetting"/>
      <w:sz w:val="36"/>
      <w:szCs w:val="36"/>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0C82"/>
    <w:pPr>
      <w:bidi/>
    </w:pPr>
    <w:rPr>
      <w:rFonts w:ascii="Arial" w:eastAsia="SimSun" w:hAnsi="Arial" w:cs="Calibri"/>
      <w:sz w:val="22"/>
      <w:szCs w:val="22"/>
      <w:lang w:val="en-US" w:eastAsia="zh-CN"/>
    </w:rPr>
  </w:style>
  <w:style w:type="character" w:styleId="FollowedHyperlink">
    <w:name w:val="FollowedHyperlink"/>
    <w:basedOn w:val="DefaultParagraphFont"/>
    <w:semiHidden/>
    <w:unhideWhenUsed/>
    <w:rsid w:val="004B1CCA"/>
    <w:rPr>
      <w:color w:val="800080" w:themeColor="followedHyperlink"/>
      <w:u w:val="single"/>
    </w:rPr>
  </w:style>
  <w:style w:type="character" w:customStyle="1" w:styleId="ONUMEChar">
    <w:name w:val="ONUM E Char"/>
    <w:link w:val="ONUME"/>
    <w:rsid w:val="00CC048B"/>
    <w:rPr>
      <w:rFonts w:ascii="Arial" w:eastAsia="SimSun" w:hAnsi="Arial" w:cs="Calibri"/>
      <w:sz w:val="22"/>
      <w:szCs w:val="22"/>
      <w:lang w:val="en-US" w:eastAsia="zh-CN"/>
    </w:rPr>
  </w:style>
  <w:style w:type="character" w:styleId="UnresolvedMention">
    <w:name w:val="Unresolved Mention"/>
    <w:basedOn w:val="DefaultParagraphFont"/>
    <w:uiPriority w:val="99"/>
    <w:semiHidden/>
    <w:unhideWhenUsed/>
    <w:rsid w:val="006A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2938">
      <w:bodyDiv w:val="1"/>
      <w:marLeft w:val="0"/>
      <w:marRight w:val="0"/>
      <w:marTop w:val="0"/>
      <w:marBottom w:val="0"/>
      <w:divBdr>
        <w:top w:val="none" w:sz="0" w:space="0" w:color="auto"/>
        <w:left w:val="none" w:sz="0" w:space="0" w:color="auto"/>
        <w:bottom w:val="none" w:sz="0" w:space="0" w:color="auto"/>
        <w:right w:val="none" w:sz="0" w:space="0" w:color="auto"/>
      </w:divBdr>
    </w:div>
    <w:div w:id="1127089995">
      <w:bodyDiv w:val="1"/>
      <w:marLeft w:val="0"/>
      <w:marRight w:val="0"/>
      <w:marTop w:val="0"/>
      <w:marBottom w:val="0"/>
      <w:divBdr>
        <w:top w:val="none" w:sz="0" w:space="0" w:color="auto"/>
        <w:left w:val="none" w:sz="0" w:space="0" w:color="auto"/>
        <w:bottom w:val="none" w:sz="0" w:space="0" w:color="auto"/>
        <w:right w:val="none" w:sz="0" w:space="0" w:color="auto"/>
      </w:divBdr>
    </w:div>
    <w:div w:id="12987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lassifications/ipc/ipcef/public/en/project/CE462" TargetMode="External"/><Relationship Id="rId18" Type="http://schemas.openxmlformats.org/officeDocument/2006/relationships/hyperlink" Target="https://www.wipo.int/edocs/mdocs/classifications/en/ipc_ce_56/ipc_ce_56_p2.pdf" TargetMode="External"/><Relationship Id="rId26" Type="http://schemas.openxmlformats.org/officeDocument/2006/relationships/hyperlink" Target="https://www3.wipo.int/classifications/ipc/ipcef/public/en/project/CE569" TargetMode="External"/><Relationship Id="rId3" Type="http://schemas.openxmlformats.org/officeDocument/2006/relationships/styles" Target="styles.xml"/><Relationship Id="rId21" Type="http://schemas.openxmlformats.org/officeDocument/2006/relationships/hyperlink" Target="https://www3.wipo.int/classifications/ipc/ipcef/public/en/project/CE551" TargetMode="External"/><Relationship Id="rId7" Type="http://schemas.openxmlformats.org/officeDocument/2006/relationships/endnotes" Target="endnotes.xml"/><Relationship Id="rId12" Type="http://schemas.openxmlformats.org/officeDocument/2006/relationships/hyperlink" Target="https://www3.wipo.int/classifications/ipc/ipcef/public/en/project/CE456" TargetMode="External"/><Relationship Id="rId17" Type="http://schemas.openxmlformats.org/officeDocument/2006/relationships/hyperlink" Target="https://www.wipo.int/edocs/mdocs/classifications/en/ipc_ce_56/ipc_ce_56_p1.pdf" TargetMode="External"/><Relationship Id="rId25" Type="http://schemas.openxmlformats.org/officeDocument/2006/relationships/hyperlink" Target="https://www3.wipo.int/classifications/ipc/ipcef/public/en/project/CE532" TargetMode="External"/><Relationship Id="rId2" Type="http://schemas.openxmlformats.org/officeDocument/2006/relationships/numbering" Target="numbering.xml"/><Relationship Id="rId16" Type="http://schemas.openxmlformats.org/officeDocument/2006/relationships/hyperlink" Target="https://www3.wipo.int/classifications/ipc/ipcef/public/en/project/CE481" TargetMode="External"/><Relationship Id="rId20" Type="http://schemas.openxmlformats.org/officeDocument/2006/relationships/hyperlink" Target="https://www3.wipo.int/classifications/ipc/ipcef/public/en/project/CE455" TargetMode="External"/><Relationship Id="rId29" Type="http://schemas.openxmlformats.org/officeDocument/2006/relationships/hyperlink" Target="https://www3.wipo.int/classifications/ipc/ipcef/public/en/project/CE5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wipo.int/classifications/ipc/ipcef/private/en/project/CE5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wipo.int/classifications/ipc/ipcef/public/en/project/C518" TargetMode="External"/><Relationship Id="rId23" Type="http://schemas.openxmlformats.org/officeDocument/2006/relationships/hyperlink" Target="https://www3.wipo.int/classifications/ipc/ipcef/private/en/project/CE552" TargetMode="External"/><Relationship Id="rId28" Type="http://schemas.openxmlformats.org/officeDocument/2006/relationships/hyperlink" Target="https://www3.wipo.int/classifications/ipc/ipcef/public/en/project/CE447" TargetMode="External"/><Relationship Id="rId10" Type="http://schemas.openxmlformats.org/officeDocument/2006/relationships/image" Target="media/image3.jpeg"/><Relationship Id="rId19" Type="http://schemas.openxmlformats.org/officeDocument/2006/relationships/hyperlink" Target="https://www3.wipo.int/classifications/ipc/ipcef/public/en/project/CE45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wipo.int/classifications/ipc/ipcef/public/en/project/C517" TargetMode="External"/><Relationship Id="rId22" Type="http://schemas.openxmlformats.org/officeDocument/2006/relationships/hyperlink" Target="https://www3.wipo.int/classifications/ipc/ipcef/public/en/project/CE551" TargetMode="External"/><Relationship Id="rId27" Type="http://schemas.openxmlformats.org/officeDocument/2006/relationships/hyperlink" Target="https://www3.wipo.int/classifications/ipc/ipcef/public/en/project/CE56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5A57-716B-4596-B96E-C08BD2DF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3510</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IPC/CE/56/2 - report, 56th session, IPC Committee of Experts</vt:lpstr>
    </vt:vector>
  </TitlesOfParts>
  <Company>WIPO</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IPC/CE/56/2 - report, 56th session, IPC Committee of Experts</dc:title>
  <dc:subject>Report, 56th session, IPC Committee of Experts (IPC Union), Februrary 25 to 27, 2025</dc:subject>
  <dc:creator>WIPO</dc:creator>
  <cp:keywords>IPC - Arabic version</cp:keywords>
  <cp:lastModifiedBy>MALANGA SALAZAR Isabelle</cp:lastModifiedBy>
  <cp:revision>4</cp:revision>
  <cp:lastPrinted>2025-03-20T14:03:00Z</cp:lastPrinted>
  <dcterms:created xsi:type="dcterms:W3CDTF">2025-03-24T08:43:00Z</dcterms:created>
  <dcterms:modified xsi:type="dcterms:W3CDTF">2025-03-26T08:45:00Z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2023-12-20T15:30:55Z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1dc53a25-f5a6-4894-8e4e-fb11ddaa753b</vt:lpwstr>
  </property>
  <property fmtid="{D5CDD505-2E9C-101B-9397-08002B2CF9AE}" pid="13" name="MSIP_Label_20773ee6-353b-4fb9-a59d-0b94c8c67bea_ContentBits">
    <vt:lpwstr>0</vt:lpwstr>
  </property>
</Properties>
</file>