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F4C24" w14:textId="77777777" w:rsidR="008B2CC1" w:rsidRPr="0040540C" w:rsidRDefault="0040540C" w:rsidP="00440A54">
      <w:pPr>
        <w:pBdr>
          <w:bottom w:val="single" w:sz="4" w:space="11" w:color="auto"/>
        </w:pBdr>
        <w:spacing w:after="120"/>
        <w:jc w:val="right"/>
      </w:pPr>
      <w:r>
        <w:rPr>
          <w:noProof/>
          <w:lang w:val="en-US" w:eastAsia="en-US"/>
        </w:rPr>
        <w:drawing>
          <wp:inline distT="0" distB="0" distL="0" distR="0" wp14:anchorId="7B104E25" wp14:editId="3B92E1F2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8CDCE" w14:textId="5C119DC9" w:rsidR="00B1090C" w:rsidRDefault="00440A54" w:rsidP="0040540C">
      <w:pPr>
        <w:jc w:val="right"/>
        <w:rPr>
          <w:rFonts w:ascii="Arial Black" w:hAnsi="Arial Black"/>
          <w:caps/>
          <w:sz w:val="15"/>
        </w:rPr>
      </w:pPr>
      <w:r>
        <w:rPr>
          <w:rFonts w:ascii="Arial Black" w:hAnsi="Arial Black"/>
          <w:caps/>
          <w:sz w:val="15"/>
        </w:rPr>
        <w:t>IPC/C</w:t>
      </w:r>
      <w:r w:rsidR="00E05F2E">
        <w:rPr>
          <w:rFonts w:ascii="Arial Black" w:hAnsi="Arial Black"/>
          <w:caps/>
          <w:sz w:val="15"/>
        </w:rPr>
        <w:t>E</w:t>
      </w:r>
      <w:r>
        <w:rPr>
          <w:rFonts w:ascii="Arial Black" w:hAnsi="Arial Black"/>
          <w:caps/>
          <w:sz w:val="15"/>
        </w:rPr>
        <w:t>/5</w:t>
      </w:r>
      <w:r w:rsidR="002D745F">
        <w:rPr>
          <w:rFonts w:ascii="Arial Black" w:hAnsi="Arial Black"/>
          <w:caps/>
          <w:sz w:val="15"/>
        </w:rPr>
        <w:t>6</w:t>
      </w:r>
      <w:r>
        <w:rPr>
          <w:rFonts w:ascii="Arial Black" w:hAnsi="Arial Black"/>
          <w:caps/>
          <w:sz w:val="15"/>
        </w:rPr>
        <w:t>/</w:t>
      </w:r>
      <w:bookmarkStart w:id="0" w:name="Code"/>
      <w:bookmarkEnd w:id="0"/>
      <w:r w:rsidR="00AA4987">
        <w:rPr>
          <w:rFonts w:ascii="Arial Black" w:hAnsi="Arial Black"/>
          <w:caps/>
          <w:sz w:val="15"/>
        </w:rPr>
        <w:t>2</w:t>
      </w:r>
    </w:p>
    <w:p w14:paraId="629C31AC" w14:textId="22C3101E" w:rsidR="008B2CC1" w:rsidRPr="0040540C" w:rsidRDefault="00B1090C" w:rsidP="0040540C">
      <w:pPr>
        <w:jc w:val="right"/>
      </w:pPr>
      <w:r w:rsidRPr="0090731E">
        <w:rPr>
          <w:rFonts w:ascii="Arial Black" w:hAnsi="Arial Black"/>
          <w:caps/>
          <w:sz w:val="15"/>
        </w:rPr>
        <w:t>ORIGINAL</w:t>
      </w:r>
      <w:r w:rsidR="00363E69">
        <w:rPr>
          <w:rFonts w:ascii="Arial Black" w:hAnsi="Arial Black"/>
          <w:caps/>
          <w:sz w:val="15"/>
        </w:rPr>
        <w:t> :</w:t>
      </w:r>
      <w:bookmarkStart w:id="1" w:name="Original"/>
      <w:r w:rsidR="00AA4987">
        <w:rPr>
          <w:rFonts w:ascii="Arial Black" w:hAnsi="Arial Black"/>
          <w:caps/>
          <w:sz w:val="15"/>
        </w:rPr>
        <w:t xml:space="preserve"> anglais</w:t>
      </w:r>
    </w:p>
    <w:bookmarkEnd w:id="1"/>
    <w:p w14:paraId="1D2A8B86" w14:textId="7B928C36" w:rsidR="008B2CC1" w:rsidRPr="0040540C" w:rsidRDefault="00B1090C" w:rsidP="00B1090C">
      <w:pPr>
        <w:spacing w:after="1200"/>
        <w:jc w:val="right"/>
      </w:pPr>
      <w:r w:rsidRPr="0090731E">
        <w:rPr>
          <w:rFonts w:ascii="Arial Black" w:hAnsi="Arial Black"/>
          <w:caps/>
          <w:sz w:val="15"/>
        </w:rPr>
        <w:t>DATE</w:t>
      </w:r>
      <w:r w:rsidR="00363E69">
        <w:rPr>
          <w:rFonts w:ascii="Arial Black" w:hAnsi="Arial Black"/>
          <w:caps/>
          <w:sz w:val="15"/>
        </w:rPr>
        <w:t> :</w:t>
      </w:r>
      <w:bookmarkStart w:id="2" w:name="Date"/>
      <w:r w:rsidR="00AA4987">
        <w:rPr>
          <w:rFonts w:ascii="Arial Black" w:hAnsi="Arial Black"/>
          <w:caps/>
          <w:sz w:val="15"/>
        </w:rPr>
        <w:t xml:space="preserve"> 21 </w:t>
      </w:r>
      <w:r w:rsidR="00363E69">
        <w:rPr>
          <w:rFonts w:ascii="Arial Black" w:hAnsi="Arial Black"/>
          <w:caps/>
          <w:sz w:val="15"/>
        </w:rPr>
        <w:t>mars 20</w:t>
      </w:r>
      <w:r w:rsidR="00AA4987">
        <w:rPr>
          <w:rFonts w:ascii="Arial Black" w:hAnsi="Arial Black"/>
          <w:caps/>
          <w:sz w:val="15"/>
        </w:rPr>
        <w:t>25</w:t>
      </w:r>
    </w:p>
    <w:bookmarkEnd w:id="2"/>
    <w:p w14:paraId="043746B6" w14:textId="52458921" w:rsidR="00440A54" w:rsidRDefault="00440A54" w:rsidP="00440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Union particulière pour la classification internationale des brevets (Union de l</w:t>
      </w:r>
      <w:r w:rsidR="00363E69">
        <w:rPr>
          <w:b/>
          <w:sz w:val="28"/>
          <w:szCs w:val="28"/>
        </w:rPr>
        <w:t>’</w:t>
      </w:r>
      <w:r>
        <w:rPr>
          <w:b/>
          <w:sz w:val="28"/>
          <w:szCs w:val="28"/>
        </w:rPr>
        <w:t>IPC)</w:t>
      </w:r>
    </w:p>
    <w:p w14:paraId="57A05BFA" w14:textId="6EAC71EE" w:rsidR="00440A54" w:rsidRPr="003845C1" w:rsidRDefault="00440A54" w:rsidP="00440A54">
      <w:pPr>
        <w:spacing w:after="600"/>
        <w:rPr>
          <w:b/>
          <w:sz w:val="28"/>
          <w:szCs w:val="28"/>
        </w:rPr>
      </w:pPr>
      <w:r>
        <w:rPr>
          <w:b/>
          <w:sz w:val="28"/>
          <w:szCs w:val="28"/>
        </w:rPr>
        <w:t>Comité d</w:t>
      </w:r>
      <w:r w:rsidR="00363E69">
        <w:rPr>
          <w:b/>
          <w:sz w:val="28"/>
          <w:szCs w:val="28"/>
        </w:rPr>
        <w:t>’</w:t>
      </w:r>
      <w:r>
        <w:rPr>
          <w:b/>
          <w:sz w:val="28"/>
          <w:szCs w:val="28"/>
        </w:rPr>
        <w:t>experts</w:t>
      </w:r>
    </w:p>
    <w:p w14:paraId="3DF577F0" w14:textId="31B074C4" w:rsidR="008B2CC1" w:rsidRPr="003845C1" w:rsidRDefault="00440A54" w:rsidP="00AA4987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Cinquante</w:t>
      </w:r>
      <w:r w:rsidR="005E72A2">
        <w:rPr>
          <w:b/>
          <w:sz w:val="24"/>
          <w:szCs w:val="24"/>
        </w:rPr>
        <w:noBreakHyphen/>
      </w:r>
      <w:r w:rsidR="00E05F2E">
        <w:rPr>
          <w:b/>
          <w:sz w:val="24"/>
          <w:szCs w:val="24"/>
        </w:rPr>
        <w:t>six</w:t>
      </w:r>
      <w:r w:rsidR="00363E69">
        <w:rPr>
          <w:b/>
          <w:sz w:val="24"/>
          <w:szCs w:val="24"/>
        </w:rPr>
        <w:t>ième session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 xml:space="preserve">Genève, </w:t>
      </w:r>
      <w:r w:rsidR="00E05F2E">
        <w:rPr>
          <w:b/>
          <w:sz w:val="24"/>
          <w:szCs w:val="24"/>
        </w:rPr>
        <w:t>25</w:t>
      </w:r>
      <w:r w:rsidR="00363E69">
        <w:rPr>
          <w:b/>
          <w:sz w:val="24"/>
          <w:szCs w:val="24"/>
        </w:rPr>
        <w:t xml:space="preserve"> – </w:t>
      </w:r>
      <w:r w:rsidR="00E05F2E">
        <w:rPr>
          <w:b/>
          <w:sz w:val="24"/>
          <w:szCs w:val="24"/>
        </w:rPr>
        <w:t>2</w:t>
      </w:r>
      <w:r w:rsidR="00363E69">
        <w:rPr>
          <w:b/>
          <w:sz w:val="24"/>
          <w:szCs w:val="24"/>
        </w:rPr>
        <w:t>7 février 20</w:t>
      </w:r>
      <w:r w:rsidR="00E05F2E">
        <w:rPr>
          <w:b/>
          <w:sz w:val="24"/>
          <w:szCs w:val="24"/>
        </w:rPr>
        <w:t>25</w:t>
      </w:r>
    </w:p>
    <w:p w14:paraId="1FEA8355" w14:textId="77777777" w:rsidR="00AA4987" w:rsidRDefault="00AA4987" w:rsidP="00B1090C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Rapport</w:t>
      </w:r>
    </w:p>
    <w:p w14:paraId="60517223" w14:textId="689BBB68" w:rsidR="008B2CC1" w:rsidRPr="008B2CC1" w:rsidRDefault="00AA4987" w:rsidP="00B1090C">
      <w:pPr>
        <w:spacing w:after="1040"/>
        <w:rPr>
          <w:i/>
        </w:rPr>
      </w:pPr>
      <w:bookmarkStart w:id="4" w:name="Prepared"/>
      <w:bookmarkEnd w:id="3"/>
      <w:bookmarkEnd w:id="4"/>
      <w:proofErr w:type="gramStart"/>
      <w:r>
        <w:rPr>
          <w:i/>
        </w:rPr>
        <w:t>adopté</w:t>
      </w:r>
      <w:proofErr w:type="gramEnd"/>
      <w:r>
        <w:rPr>
          <w:i/>
        </w:rPr>
        <w:t xml:space="preserve"> par le Comité d</w:t>
      </w:r>
      <w:r w:rsidR="00363E69">
        <w:rPr>
          <w:i/>
        </w:rPr>
        <w:t>’</w:t>
      </w:r>
      <w:r>
        <w:rPr>
          <w:i/>
        </w:rPr>
        <w:t>experts</w:t>
      </w:r>
    </w:p>
    <w:p w14:paraId="0366EF6F" w14:textId="77777777" w:rsidR="00AA4987" w:rsidRPr="003E33B9" w:rsidRDefault="00AA4987" w:rsidP="00AA4987">
      <w:pPr>
        <w:pStyle w:val="Heading1"/>
        <w:spacing w:after="240"/>
      </w:pPr>
      <w:r>
        <w:t>Introduction</w:t>
      </w:r>
    </w:p>
    <w:p w14:paraId="1EFC35C4" w14:textId="0C022DAE" w:rsidR="00AA4987" w:rsidRPr="001469CC" w:rsidRDefault="00AA4987" w:rsidP="00AA4987">
      <w:pPr>
        <w:pStyle w:val="ONUMFS"/>
      </w:pPr>
      <w:r>
        <w:t>Le Comité d</w:t>
      </w:r>
      <w:r w:rsidR="00363E69">
        <w:t>’</w:t>
      </w:r>
      <w:r>
        <w:t>experts de l</w:t>
      </w:r>
      <w:r w:rsidR="00363E69">
        <w:t>’</w:t>
      </w:r>
      <w:r>
        <w:t>Union de l</w:t>
      </w:r>
      <w:r w:rsidR="00363E69">
        <w:t>’</w:t>
      </w:r>
      <w:r>
        <w:t>IPC (ci</w:t>
      </w:r>
      <w:r w:rsidR="005E72A2">
        <w:noBreakHyphen/>
      </w:r>
      <w:r>
        <w:t>après dénommé “comité”) a tenu sa cinquante</w:t>
      </w:r>
      <w:r w:rsidR="005E72A2">
        <w:noBreakHyphen/>
      </w:r>
      <w:r>
        <w:t>six</w:t>
      </w:r>
      <w:r w:rsidR="00363E69">
        <w:t>ième session</w:t>
      </w:r>
      <w:r>
        <w:t xml:space="preserve"> à Genève, sous une forme hybride, du 25 au 27 février 2025.  Les membres ci</w:t>
      </w:r>
      <w:r w:rsidR="005E72A2">
        <w:noBreakHyphen/>
      </w:r>
      <w:r>
        <w:t>après du comité étaient représentés à la session</w:t>
      </w:r>
      <w:r w:rsidR="00363E69">
        <w:t> :</w:t>
      </w:r>
      <w:r>
        <w:t xml:space="preserve"> Allemagne, </w:t>
      </w:r>
      <w:r w:rsidR="00363E69">
        <w:t>Arabie saoudite</w:t>
      </w:r>
      <w:r>
        <w:t>, Arménie, Australie, Autriche, Bélarus, Brésil, Bulgarie, Canada, Chine, Croatie, Danemark, Égypte, Espagne, Estonie, États</w:t>
      </w:r>
      <w:r w:rsidR="005E72A2">
        <w:noBreakHyphen/>
      </w:r>
      <w:r>
        <w:t>Unis d</w:t>
      </w:r>
      <w:r w:rsidR="00363E69">
        <w:t>’</w:t>
      </w:r>
      <w:r>
        <w:t>Amérique, Fédération de Russie, Finlande, France, Grèce, Irlande, Israël, Italie, Japon, Kirghizistan, Mexique, Norvège, Ouzbékistan, Pays</w:t>
      </w:r>
      <w:r w:rsidR="005E72A2">
        <w:noBreakHyphen/>
      </w:r>
      <w:r>
        <w:t>Bas, Pérou, Portugal, République de Corée, République de Moldova, République tchèque, Roumanie, Royaume</w:t>
      </w:r>
      <w:r w:rsidR="005E72A2">
        <w:noBreakHyphen/>
      </w:r>
      <w:r>
        <w:t>Uni, Serbie, Suède, Suisse, Türkiye (40).  Chypre, l</w:t>
      </w:r>
      <w:r w:rsidR="00363E69">
        <w:t>’</w:t>
      </w:r>
      <w:r>
        <w:t>Inde, l</w:t>
      </w:r>
      <w:r w:rsidR="00363E69">
        <w:t>’</w:t>
      </w:r>
      <w:r>
        <w:t>Association européenne des étudiants en droit (ELSA International) et l</w:t>
      </w:r>
      <w:r w:rsidR="00363E69">
        <w:t>’</w:t>
      </w:r>
      <w:r>
        <w:t>Office européen des brevets (</w:t>
      </w:r>
      <w:proofErr w:type="spellStart"/>
      <w:r>
        <w:t>OEB</w:t>
      </w:r>
      <w:proofErr w:type="spellEnd"/>
      <w:r>
        <w:t>) étaient également représent</w:t>
      </w:r>
      <w:r w:rsidR="005E72A2">
        <w:t>és.  La</w:t>
      </w:r>
      <w:r>
        <w:t xml:space="preserve"> liste des participants fait l</w:t>
      </w:r>
      <w:r w:rsidR="00363E69">
        <w:t>’</w:t>
      </w:r>
      <w:r>
        <w:t>objet de l</w:t>
      </w:r>
      <w:r w:rsidR="00363E69">
        <w:t>’</w:t>
      </w:r>
      <w:r>
        <w:t xml:space="preserve">annexe I du </w:t>
      </w:r>
      <w:r w:rsidR="00422B9D">
        <w:t>présent </w:t>
      </w:r>
      <w:r>
        <w:t>rapport.</w:t>
      </w:r>
    </w:p>
    <w:p w14:paraId="2800285F" w14:textId="17F5DD98" w:rsidR="00363E69" w:rsidRDefault="00AA4987" w:rsidP="00AA4987">
      <w:pPr>
        <w:pStyle w:val="ONUMFS"/>
      </w:pPr>
      <w:r>
        <w:t>La session a été ouverte par M. </w:t>
      </w:r>
      <w:proofErr w:type="spellStart"/>
      <w:r>
        <w:t>Natsume</w:t>
      </w:r>
      <w:proofErr w:type="spellEnd"/>
      <w:r>
        <w:t>, sous</w:t>
      </w:r>
      <w:r w:rsidR="005E72A2">
        <w:noBreakHyphen/>
      </w:r>
      <w:r>
        <w:t>directeur général, qui a souhaité la bienvenue aux participants.</w:t>
      </w:r>
    </w:p>
    <w:p w14:paraId="688362AE" w14:textId="536A16F9" w:rsidR="00AA4987" w:rsidRPr="00C95CA3" w:rsidRDefault="00AA4987" w:rsidP="00AA4987">
      <w:pPr>
        <w:pStyle w:val="Heading1"/>
        <w:spacing w:after="240"/>
      </w:pPr>
      <w:r>
        <w:t>B</w:t>
      </w:r>
      <w:r w:rsidRPr="00AA4987">
        <w:t>ureau</w:t>
      </w:r>
    </w:p>
    <w:p w14:paraId="136DA3E7" w14:textId="74B5FA2D" w:rsidR="00AA4987" w:rsidRPr="00C95CA3" w:rsidRDefault="00AA4987" w:rsidP="00AA4987">
      <w:pPr>
        <w:pStyle w:val="ONUMFS"/>
      </w:pPr>
      <w:r>
        <w:t>Le comité a réélu à l</w:t>
      </w:r>
      <w:r w:rsidR="00363E69">
        <w:t>’</w:t>
      </w:r>
      <w:r>
        <w:t>unanimité M. Fergal Brady (Irlande) président et a élu Mme Magalie </w:t>
      </w:r>
      <w:proofErr w:type="spellStart"/>
      <w:r>
        <w:t>Mathon</w:t>
      </w:r>
      <w:proofErr w:type="spellEnd"/>
      <w:r>
        <w:t xml:space="preserve"> (France) et</w:t>
      </w:r>
      <w:r w:rsidR="00D61116">
        <w:t xml:space="preserve"> </w:t>
      </w:r>
      <w:r>
        <w:t>M. </w:t>
      </w:r>
      <w:proofErr w:type="spellStart"/>
      <w:r>
        <w:t>Hee</w:t>
      </w:r>
      <w:proofErr w:type="spellEnd"/>
      <w:r>
        <w:t> Sang Shin vice</w:t>
      </w:r>
      <w:r w:rsidR="005E72A2">
        <w:noBreakHyphen/>
      </w:r>
      <w:r>
        <w:t>présidents.</w:t>
      </w:r>
    </w:p>
    <w:p w14:paraId="70357D9A" w14:textId="77777777" w:rsidR="00AA4987" w:rsidRPr="00C95CA3" w:rsidRDefault="00AA4987" w:rsidP="00AA4987">
      <w:pPr>
        <w:pStyle w:val="ONUMFS"/>
      </w:pPr>
      <w:r>
        <w:t>Mme XU Ning (OMPI) a assuré le secrétariat de la session.</w:t>
      </w:r>
    </w:p>
    <w:p w14:paraId="4F206EFC" w14:textId="1EB43157" w:rsidR="00AA4987" w:rsidRPr="00C95CA3" w:rsidRDefault="00AA4987" w:rsidP="00AA4987">
      <w:pPr>
        <w:pStyle w:val="Heading1"/>
        <w:spacing w:after="240"/>
      </w:pPr>
      <w:r>
        <w:lastRenderedPageBreak/>
        <w:t>Adoption de l</w:t>
      </w:r>
      <w:r w:rsidR="00363E69">
        <w:t>’</w:t>
      </w:r>
      <w:r>
        <w:t>ordre du jour</w:t>
      </w:r>
    </w:p>
    <w:p w14:paraId="2A4EA512" w14:textId="0DD6B3A6" w:rsidR="00AA4987" w:rsidRPr="00C95CA3" w:rsidRDefault="00AA4987" w:rsidP="00AA4987">
      <w:pPr>
        <w:pStyle w:val="ONUMFS"/>
      </w:pPr>
      <w:r>
        <w:t>Le comité a adopté à l</w:t>
      </w:r>
      <w:r w:rsidR="00363E69">
        <w:t>’</w:t>
      </w:r>
      <w:r>
        <w:t>unanimité l</w:t>
      </w:r>
      <w:r w:rsidR="00363E69">
        <w:t>’</w:t>
      </w:r>
      <w:r>
        <w:t>ordre du jour qui fait l</w:t>
      </w:r>
      <w:r w:rsidR="00363E69">
        <w:t>’</w:t>
      </w:r>
      <w:r>
        <w:t>objet de l</w:t>
      </w:r>
      <w:r w:rsidR="00363E69">
        <w:t>’</w:t>
      </w:r>
      <w:r>
        <w:t>annexe II du présent rapport.</w:t>
      </w:r>
    </w:p>
    <w:p w14:paraId="261F701E" w14:textId="60429644" w:rsidR="00AA4987" w:rsidRPr="00C95CA3" w:rsidRDefault="00AA4987" w:rsidP="00AA4987">
      <w:pPr>
        <w:pStyle w:val="ONUMFS"/>
      </w:pPr>
      <w:r>
        <w:t>Conformément aux décisions prises par les organes directeurs de l</w:t>
      </w:r>
      <w:r w:rsidR="00363E69">
        <w:t>’</w:t>
      </w:r>
      <w:r>
        <w:t>OMPI lors de leur dixième série de réunions tenue du 24 septembre au 2 </w:t>
      </w:r>
      <w:r w:rsidR="00363E69">
        <w:t>octobre 19</w:t>
      </w:r>
      <w:r>
        <w:t xml:space="preserve">79 (voir les paragraphes 51 et 52 du </w:t>
      </w:r>
      <w:r w:rsidR="00363E69">
        <w:t>document</w:t>
      </w:r>
      <w:r w:rsidR="005E72A2">
        <w:t> </w:t>
      </w:r>
      <w:r w:rsidR="00363E69">
        <w:t>AB</w:t>
      </w:r>
      <w:r>
        <w:t>/X/32), le rapport de la présente session rend compte uniquement des conclusions (décisions, recommandations, opinions, etc.) du comité sans rendre compte en particulier des déclarations de tel ou tel participant, excepté lorsqu</w:t>
      </w:r>
      <w:r w:rsidR="00363E69">
        <w:t>’</w:t>
      </w:r>
      <w:r>
        <w:t>une réserve relative à une conclusion particulière du comité a été émise ou réitérée après l</w:t>
      </w:r>
      <w:r w:rsidR="00363E69">
        <w:t>’</w:t>
      </w:r>
      <w:r>
        <w:t>adoption de cette conclusion.</w:t>
      </w:r>
    </w:p>
    <w:p w14:paraId="1F1CFACE" w14:textId="5EADE8BB" w:rsidR="00AA4987" w:rsidRDefault="00AA4987" w:rsidP="00AA4987">
      <w:pPr>
        <w:pStyle w:val="Heading1"/>
        <w:spacing w:after="240"/>
      </w:pPr>
      <w:r>
        <w:t>Rapport sur la vingt</w:t>
      </w:r>
      <w:r w:rsidR="005E72A2">
        <w:noBreakHyphen/>
      </w:r>
      <w:r>
        <w:t>sept</w:t>
      </w:r>
      <w:r w:rsidR="00363E69">
        <w:t>ième session</w:t>
      </w:r>
      <w:r>
        <w:t xml:space="preserve"> du Groupe de travail (WG1) de l</w:t>
      </w:r>
      <w:r w:rsidR="00363E69">
        <w:t>’</w:t>
      </w:r>
      <w:r>
        <w:t>IP5 sur la classification</w:t>
      </w:r>
    </w:p>
    <w:p w14:paraId="35CE6463" w14:textId="60072509" w:rsidR="00AA4987" w:rsidRDefault="00AA4987" w:rsidP="00AA4987">
      <w:pPr>
        <w:pStyle w:val="ONUMFS"/>
      </w:pPr>
      <w:r>
        <w:t>Le comité a pris note d</w:t>
      </w:r>
      <w:r w:rsidR="00363E69">
        <w:t>’</w:t>
      </w:r>
      <w:r>
        <w:t>un rapport verbal présenté par la République de Corée au nom des offices de l</w:t>
      </w:r>
      <w:r w:rsidR="00363E69">
        <w:t>’</w:t>
      </w:r>
      <w:r>
        <w:t>IP5 sur la vingt</w:t>
      </w:r>
      <w:r w:rsidR="005E72A2">
        <w:noBreakHyphen/>
      </w:r>
      <w:r>
        <w:t>sept</w:t>
      </w:r>
      <w:r w:rsidR="00363E69">
        <w:t>ième session</w:t>
      </w:r>
      <w:r>
        <w:t xml:space="preserve"> du Groupe de travail (WG1) de l</w:t>
      </w:r>
      <w:r w:rsidR="00363E69">
        <w:t>’</w:t>
      </w:r>
      <w:r>
        <w:t>IP5 sur la classification tenue virtuellement du 24 au 30 septembre 2024.</w:t>
      </w:r>
    </w:p>
    <w:p w14:paraId="56AEB66F" w14:textId="544ADA3A" w:rsidR="00363E69" w:rsidRDefault="00AA4987" w:rsidP="00AA4987">
      <w:pPr>
        <w:pStyle w:val="ONUMFS"/>
      </w:pPr>
      <w:r>
        <w:t>Les offices de l</w:t>
      </w:r>
      <w:r w:rsidR="00363E69">
        <w:t>’</w:t>
      </w:r>
      <w:r>
        <w:t>IP5 sont convenus de faire passer à la phase CIB cinq projets de l</w:t>
      </w:r>
      <w:r w:rsidR="00363E69">
        <w:t>’</w:t>
      </w:r>
      <w:r>
        <w:t>IP5 (projets F), dont un issu des secteurs proposés de la Feuille de route pour la révision de la CIB (ci</w:t>
      </w:r>
      <w:r w:rsidR="005E72A2">
        <w:noBreakHyphen/>
      </w:r>
      <w:r>
        <w:t>après dénommée “feuille de route”).</w:t>
      </w:r>
    </w:p>
    <w:p w14:paraId="12D0015E" w14:textId="4C10E8AB" w:rsidR="00AA4987" w:rsidRDefault="00AA4987" w:rsidP="00AA4987">
      <w:pPr>
        <w:pStyle w:val="ONUMFS"/>
      </w:pPr>
      <w:r>
        <w:t>Il a été noté que</w:t>
      </w:r>
      <w:r w:rsidR="00363E69">
        <w:t xml:space="preserve"> le </w:t>
      </w:r>
      <w:proofErr w:type="spellStart"/>
      <w:r w:rsidR="00363E69">
        <w:t>KIP</w:t>
      </w:r>
      <w:r>
        <w:t>O</w:t>
      </w:r>
      <w:proofErr w:type="spellEnd"/>
      <w:r>
        <w:t>, au nom des offices de l</w:t>
      </w:r>
      <w:r w:rsidR="00363E69">
        <w:t>’</w:t>
      </w:r>
      <w:r>
        <w:t>IP5, avait publié sur le forum électronique de</w:t>
      </w:r>
      <w:r w:rsidR="00363E69">
        <w:t xml:space="preserve"> la CIB</w:t>
      </w:r>
      <w:r>
        <w:t xml:space="preserve">, sous le projet </w:t>
      </w:r>
      <w:hyperlink r:id="rId9" w:history="1">
        <w:r>
          <w:rPr>
            <w:rStyle w:val="Hyperlink"/>
          </w:rPr>
          <w:t>CE 456</w:t>
        </w:r>
      </w:hyperlink>
      <w:r>
        <w:t>, les listes actualisées de l</w:t>
      </w:r>
      <w:r w:rsidR="00363E69">
        <w:t>’</w:t>
      </w:r>
      <w:r>
        <w:t>ensemble des projets et propositions en cours des offices de l</w:t>
      </w:r>
      <w:r w:rsidR="00363E69">
        <w:t>’</w:t>
      </w:r>
      <w:r>
        <w:t>IP5 (voir l</w:t>
      </w:r>
      <w:r w:rsidR="00363E69">
        <w:t>’</w:t>
      </w:r>
      <w:r>
        <w:t>annexe 48 du dossier de projet) afin d</w:t>
      </w:r>
      <w:r w:rsidR="00363E69">
        <w:t>’</w:t>
      </w:r>
      <w:r>
        <w:t>éviter tout chevauchement entre les demandes de révision de</w:t>
      </w:r>
      <w:r w:rsidR="00363E69">
        <w:t xml:space="preserve"> la CIB</w:t>
      </w:r>
      <w:r>
        <w:t xml:space="preserve"> et les activités de révision en cours des offices de l</w:t>
      </w:r>
      <w:r w:rsidR="00363E69">
        <w:t>’</w:t>
      </w:r>
      <w:r>
        <w:t>IP5.</w:t>
      </w:r>
    </w:p>
    <w:p w14:paraId="50D13B61" w14:textId="3E720E95" w:rsidR="00AA4987" w:rsidRDefault="00AA4987" w:rsidP="00AA4987">
      <w:pPr>
        <w:pStyle w:val="ONUMFS"/>
      </w:pPr>
      <w:r>
        <w:t>Le comité a également noté que la vingt</w:t>
      </w:r>
      <w:r w:rsidR="005E72A2">
        <w:noBreakHyphen/>
      </w:r>
      <w:r>
        <w:t>huit</w:t>
      </w:r>
      <w:r w:rsidR="00363E69">
        <w:t>ième session</w:t>
      </w:r>
      <w:r>
        <w:t xml:space="preserve"> en présentiel du Groupe de travail WG1 de l</w:t>
      </w:r>
      <w:r w:rsidR="00363E69">
        <w:t>’</w:t>
      </w:r>
      <w:r>
        <w:t>IP5 sera organisée par</w:t>
      </w:r>
      <w:r w:rsidR="00363E69">
        <w:t xml:space="preserve"> le </w:t>
      </w:r>
      <w:proofErr w:type="spellStart"/>
      <w:r w:rsidR="00363E69">
        <w:t>KIP</w:t>
      </w:r>
      <w:r>
        <w:t>O</w:t>
      </w:r>
      <w:proofErr w:type="spellEnd"/>
      <w:r>
        <w:t xml:space="preserve"> du 24 au 28 mars 2025.</w:t>
      </w:r>
    </w:p>
    <w:p w14:paraId="05DFD5FA" w14:textId="3C6EE7E4" w:rsidR="00AA4987" w:rsidRDefault="00AA4987" w:rsidP="00AA4987">
      <w:pPr>
        <w:pStyle w:val="Heading1"/>
        <w:spacing w:after="240"/>
      </w:pPr>
      <w:r>
        <w:t>Rapport sur l</w:t>
      </w:r>
      <w:r w:rsidR="00363E69">
        <w:t>’</w:t>
      </w:r>
      <w:r>
        <w:t>état d</w:t>
      </w:r>
      <w:r w:rsidR="00363E69">
        <w:t>’</w:t>
      </w:r>
      <w:r>
        <w:t>avancement du programme de révision de</w:t>
      </w:r>
      <w:r w:rsidR="00363E69">
        <w:t xml:space="preserve"> la CIB</w:t>
      </w:r>
    </w:p>
    <w:p w14:paraId="77209436" w14:textId="7B1FFDFF" w:rsidR="00AA4987" w:rsidRPr="00F74FB9" w:rsidRDefault="00AA4987" w:rsidP="00AA4987">
      <w:pPr>
        <w:pStyle w:val="ONUMFS"/>
      </w:pPr>
      <w:r>
        <w:t>Le comité a pris note d</w:t>
      </w:r>
      <w:r w:rsidR="00363E69">
        <w:t>’</w:t>
      </w:r>
      <w:r>
        <w:t>un rapport complet sur l</w:t>
      </w:r>
      <w:r w:rsidR="00363E69">
        <w:t>’</w:t>
      </w:r>
      <w:r>
        <w:t>état d</w:t>
      </w:r>
      <w:r w:rsidR="00363E69">
        <w:t>’</w:t>
      </w:r>
      <w:r>
        <w:t>avancement figurant à l</w:t>
      </w:r>
      <w:r w:rsidR="00363E69">
        <w:t>’</w:t>
      </w:r>
      <w:r>
        <w:t xml:space="preserve">annexe 25 du projet de dossier </w:t>
      </w:r>
      <w:hyperlink r:id="rId10" w:history="1">
        <w:r>
          <w:rPr>
            <w:rStyle w:val="Hyperlink"/>
          </w:rPr>
          <w:t>CE 462</w:t>
        </w:r>
      </w:hyperlink>
      <w:r>
        <w:t xml:space="preserve"> établi par le Bureau international et contenant une mise à jour des activités du Groupe de travail sur la révision de</w:t>
      </w:r>
      <w:r w:rsidR="00363E69">
        <w:t xml:space="preserve"> la CIB</w:t>
      </w:r>
      <w:r>
        <w:t xml:space="preserve"> (ci</w:t>
      </w:r>
      <w:r w:rsidR="005E72A2">
        <w:noBreakHyphen/>
      </w:r>
      <w:r>
        <w:t>après dénommé “groupe de travail”) jusqu</w:t>
      </w:r>
      <w:r w:rsidR="00363E69">
        <w:t>’</w:t>
      </w:r>
      <w:r>
        <w:t xml:space="preserve">au début </w:t>
      </w:r>
      <w:r w:rsidR="00363E69">
        <w:t>de 2025</w:t>
      </w:r>
      <w:r>
        <w:t>.</w:t>
      </w:r>
    </w:p>
    <w:p w14:paraId="37E2C4E4" w14:textId="6A67E672" w:rsidR="00AA4987" w:rsidRPr="00F74FB9" w:rsidRDefault="00AA4987" w:rsidP="00AA4987">
      <w:pPr>
        <w:pStyle w:val="ONUMFS"/>
      </w:pPr>
      <w:r>
        <w:t>Le comité a noté que le nombre annuel total de projets de révision par version de</w:t>
      </w:r>
      <w:r w:rsidR="00363E69">
        <w:t xml:space="preserve"> la CIB</w:t>
      </w:r>
      <w:r>
        <w:t xml:space="preserve"> </w:t>
      </w:r>
      <w:proofErr w:type="gramStart"/>
      <w:r>
        <w:t>était</w:t>
      </w:r>
      <w:proofErr w:type="gramEnd"/>
      <w:r>
        <w:t xml:space="preserve"> resté relativement stable, avec une moyenne d</w:t>
      </w:r>
      <w:r w:rsidR="00363E69">
        <w:t>’</w:t>
      </w:r>
      <w:r>
        <w:t>environ 20 projets par versi</w:t>
      </w:r>
      <w:r w:rsidR="005E72A2">
        <w:t>on.  Le</w:t>
      </w:r>
      <w:r>
        <w:t xml:space="preserve"> domaine de l</w:t>
      </w:r>
      <w:r w:rsidR="00363E69">
        <w:t>’</w:t>
      </w:r>
      <w:r>
        <w:t>électricité continue de représenter la plus grande proportion de projets, suivi par les domaines de la mécanique et de la chim</w:t>
      </w:r>
      <w:r w:rsidR="005E72A2">
        <w:t>ie.  L’i</w:t>
      </w:r>
      <w:r>
        <w:t>ntroduction d</w:t>
      </w:r>
      <w:r w:rsidR="00363E69">
        <w:t>’</w:t>
      </w:r>
      <w:r>
        <w:t xml:space="preserve">informations sur des projets liés aux nouvelles technologies émergentes </w:t>
      </w:r>
      <w:r w:rsidR="00C23D05">
        <w:t>(</w:t>
      </w:r>
      <w:r w:rsidR="00DC62D6">
        <w:t>“NET”</w:t>
      </w:r>
      <w:r w:rsidR="00C23D05">
        <w:t xml:space="preserve">) </w:t>
      </w:r>
      <w:r>
        <w:t>a montré qu</w:t>
      </w:r>
      <w:r w:rsidR="00363E69">
        <w:t>’</w:t>
      </w:r>
      <w:r>
        <w:t>il était de plus en plus nécessaire d</w:t>
      </w:r>
      <w:r w:rsidR="00363E69">
        <w:t>’</w:t>
      </w:r>
      <w:r>
        <w:t>adapter les classements de</w:t>
      </w:r>
      <w:r w:rsidR="00363E69">
        <w:t xml:space="preserve"> la CIB</w:t>
      </w:r>
      <w:r>
        <w:t xml:space="preserve"> pour tenir compte de l</w:t>
      </w:r>
      <w:r w:rsidR="00363E69">
        <w:t>’</w:t>
      </w:r>
      <w:r>
        <w:t>évolution technologique.</w:t>
      </w:r>
    </w:p>
    <w:p w14:paraId="11A8409D" w14:textId="3F705A7C" w:rsidR="00AA4987" w:rsidRPr="00F74FB9" w:rsidRDefault="00AA4987" w:rsidP="00AA4987">
      <w:pPr>
        <w:pStyle w:val="ONUMFS"/>
      </w:pPr>
      <w:r>
        <w:t>La participation de divers offices nationaux en tant que rapporteurs et traducteurs a été soulign</w:t>
      </w:r>
      <w:r w:rsidR="005E72A2">
        <w:t>ée.  Ou</w:t>
      </w:r>
      <w:r>
        <w:t>tre les offices de l</w:t>
      </w:r>
      <w:r w:rsidR="00363E69">
        <w:t>’</w:t>
      </w:r>
      <w:r>
        <w:t>IP5, des offices comme l</w:t>
      </w:r>
      <w:r w:rsidR="00363E69">
        <w:t>’</w:t>
      </w:r>
      <w:r>
        <w:t>Allemagne, le Brésil et le Canada avaient présenté des demandes de révision dans le cadre de la feuille de route actualis</w:t>
      </w:r>
      <w:r w:rsidR="005E72A2">
        <w:t>ée.  Le</w:t>
      </w:r>
      <w:r>
        <w:t>s responsabilités en matière de traduction ont été principalement assurées par le Canada, la France, la Suisse et l</w:t>
      </w:r>
      <w:r w:rsidR="00363E69">
        <w:t>’</w:t>
      </w:r>
      <w:proofErr w:type="spellStart"/>
      <w:r>
        <w:t>OEB</w:t>
      </w:r>
      <w:proofErr w:type="spellEnd"/>
      <w:r>
        <w:t xml:space="preserve"> pour la version française de</w:t>
      </w:r>
      <w:r w:rsidR="00363E69">
        <w:t xml:space="preserve"> la CIB</w:t>
      </w:r>
      <w:r>
        <w:t>.</w:t>
      </w:r>
    </w:p>
    <w:p w14:paraId="7EC37C15" w14:textId="40D9E11D" w:rsidR="00AA4987" w:rsidRPr="00F74FB9" w:rsidRDefault="00AA4987" w:rsidP="00AA4987">
      <w:pPr>
        <w:pStyle w:val="ONUMFS"/>
      </w:pPr>
      <w:r>
        <w:t xml:space="preserve">La durée moyenne de la phase CIB est restée stable, à environ 9,4 mois pour les </w:t>
      </w:r>
      <w:r w:rsidR="00285A09">
        <w:t>projets </w:t>
      </w:r>
      <w:r>
        <w:t>F et 12,6 mois pour les projets C.</w:t>
      </w:r>
      <w:r w:rsidR="005E72A2">
        <w:t xml:space="preserve"> </w:t>
      </w:r>
      <w:r>
        <w:t xml:space="preserve"> Une légère augmentation des délais de révision a été observée, en particulier concernant les projets liés aux semi</w:t>
      </w:r>
      <w:r w:rsidR="005E72A2">
        <w:noBreakHyphen/>
      </w:r>
      <w:r>
        <w:t>conducteurs, en raison de leur complexité inhérente.</w:t>
      </w:r>
    </w:p>
    <w:p w14:paraId="2C7C228C" w14:textId="468F47F3" w:rsidR="00AA4987" w:rsidRPr="009224B5" w:rsidRDefault="00AA4987" w:rsidP="00AA4987">
      <w:pPr>
        <w:pStyle w:val="ONUMFS"/>
      </w:pPr>
      <w:r>
        <w:lastRenderedPageBreak/>
        <w:t>Le comité a pris note de la proposition de l</w:t>
      </w:r>
      <w:r w:rsidR="00363E69">
        <w:t>’</w:t>
      </w:r>
      <w:proofErr w:type="spellStart"/>
      <w:r>
        <w:t>OEB</w:t>
      </w:r>
      <w:proofErr w:type="spellEnd"/>
      <w:r>
        <w:t xml:space="preserve"> concernant l</w:t>
      </w:r>
      <w:r w:rsidR="00363E69">
        <w:t>’</w:t>
      </w:r>
      <w:r>
        <w:t>inclusion des entrées supprimées de</w:t>
      </w:r>
      <w:r w:rsidR="00363E69">
        <w:t xml:space="preserve"> la CIB</w:t>
      </w:r>
      <w:r>
        <w:t xml:space="preserve"> dans les futurs rapports sur l</w:t>
      </w:r>
      <w:r w:rsidR="00363E69">
        <w:t>’</w:t>
      </w:r>
      <w:r>
        <w:t>état d</w:t>
      </w:r>
      <w:r w:rsidR="00363E69">
        <w:t>’</w:t>
      </w:r>
      <w:r>
        <w:t>avanceme</w:t>
      </w:r>
      <w:r w:rsidR="005E72A2">
        <w:t>nt.  Il</w:t>
      </w:r>
      <w:r>
        <w:t xml:space="preserve"> est convenu que les futurs rapports devraient viser à présenter une image générale de la révision en incluant des statistiques sur les entrées nouvelles et supprimées, ainsi que le changement net dans les classements de</w:t>
      </w:r>
      <w:r w:rsidR="00363E69">
        <w:t xml:space="preserve"> la CIB</w:t>
      </w:r>
      <w:r>
        <w:t>, ce qui refléterait une évolution plus précise de</w:t>
      </w:r>
      <w:r w:rsidR="00363E69">
        <w:t xml:space="preserve"> la </w:t>
      </w:r>
      <w:r w:rsidR="005E72A2">
        <w:t>CIB.  Le</w:t>
      </w:r>
      <w:r>
        <w:t xml:space="preserve"> Bureau international a été invité à envisager l</w:t>
      </w:r>
      <w:r w:rsidR="00363E69">
        <w:t>’</w:t>
      </w:r>
      <w:r>
        <w:t>intégration de ces informations dans le prochain rapport.</w:t>
      </w:r>
    </w:p>
    <w:p w14:paraId="31462482" w14:textId="4C44FF37" w:rsidR="00AA4987" w:rsidRPr="009224B5" w:rsidRDefault="00AA4987" w:rsidP="00AA4987">
      <w:pPr>
        <w:pStyle w:val="ONUMFS"/>
      </w:pPr>
      <w:r>
        <w:t>Le comité a pris note des préoccupations exprimées sur l</w:t>
      </w:r>
      <w:r w:rsidR="00363E69">
        <w:t>’</w:t>
      </w:r>
      <w:r>
        <w:t>utilisation fréquente des “approbations électroniques” par le groupe de trava</w:t>
      </w:r>
      <w:r w:rsidR="005E72A2">
        <w:t>il.  Ce</w:t>
      </w:r>
      <w:r>
        <w:t>lui</w:t>
      </w:r>
      <w:r w:rsidR="005E72A2">
        <w:noBreakHyphen/>
      </w:r>
      <w:r>
        <w:t>ci a été invité à envisager d</w:t>
      </w:r>
      <w:r w:rsidR="00363E69">
        <w:t>’</w:t>
      </w:r>
      <w:r>
        <w:t>appliquer cette approche avec prudence, par exemple dans des circonstances particulières.</w:t>
      </w:r>
    </w:p>
    <w:p w14:paraId="6AF36C49" w14:textId="212E69D3" w:rsidR="00AA4987" w:rsidRPr="009224B5" w:rsidRDefault="00AA4987" w:rsidP="00AA4987">
      <w:pPr>
        <w:pStyle w:val="ONUMFS"/>
      </w:pPr>
      <w:r>
        <w:t xml:space="preserve">Le comité a discuté de la question des différents termes utilisés dans les décisions </w:t>
      </w:r>
      <w:r w:rsidR="00285A09">
        <w:t xml:space="preserve">du </w:t>
      </w:r>
      <w:r>
        <w:t>groupe de trava</w:t>
      </w:r>
      <w:r w:rsidR="005E72A2">
        <w:t>il.  Il</w:t>
      </w:r>
      <w:r>
        <w:t xml:space="preserve"> a invité le groupe de travail à revoir et à clarifier la terminologie utilisée dans les décisions du groupe de travail afin de garantir la transparence, par exemple en évitant d</w:t>
      </w:r>
      <w:r w:rsidR="00363E69">
        <w:t>’</w:t>
      </w:r>
      <w:r>
        <w:t>utiliser l</w:t>
      </w:r>
      <w:r w:rsidR="00363E69">
        <w:t>’</w:t>
      </w:r>
      <w:r>
        <w:t>expression “provisoirement approuvé” dans les textes des décisions du groupe de trava</w:t>
      </w:r>
      <w:r w:rsidR="005E72A2">
        <w:t>il.  Le</w:t>
      </w:r>
      <w:r>
        <w:t xml:space="preserve">s offices ont été encouragés à formuler des </w:t>
      </w:r>
      <w:r w:rsidR="00285A09">
        <w:t xml:space="preserve">suggestions </w:t>
      </w:r>
      <w:r>
        <w:t>ou des observations sur le forum électronique consacré à</w:t>
      </w:r>
      <w:r w:rsidR="00363E69">
        <w:t xml:space="preserve"> la CIB</w:t>
      </w:r>
      <w:r>
        <w:t xml:space="preserve"> dans le cadre du projet </w:t>
      </w:r>
      <w:hyperlink r:id="rId11" w:history="1">
        <w:proofErr w:type="spellStart"/>
        <w:r w:rsidRPr="00422B9D">
          <w:rPr>
            <w:rStyle w:val="Hyperlink"/>
          </w:rPr>
          <w:t>WG</w:t>
        </w:r>
        <w:proofErr w:type="spellEnd"/>
        <w:r w:rsidRPr="00422B9D">
          <w:rPr>
            <w:rStyle w:val="Hyperlink"/>
          </w:rPr>
          <w:t> 000</w:t>
        </w:r>
      </w:hyperlink>
      <w:r w:rsidRPr="00422B9D">
        <w:t>.</w:t>
      </w:r>
    </w:p>
    <w:p w14:paraId="178E1D4A" w14:textId="6EB88E47" w:rsidR="00AA4987" w:rsidRPr="009224B5" w:rsidRDefault="00AA4987" w:rsidP="00AA4987">
      <w:pPr>
        <w:pStyle w:val="ONUMFS"/>
      </w:pPr>
      <w:r>
        <w:t>Le comité a également pris note des commentaires concernant la nécessité de rendre les documents relatifs aux stratégies et procédures de révision de</w:t>
      </w:r>
      <w:r w:rsidR="00363E69">
        <w:t xml:space="preserve"> la CIB</w:t>
      </w:r>
      <w:r>
        <w:t xml:space="preserve"> plus facilement accessibles aux offic</w:t>
      </w:r>
      <w:r w:rsidR="005E72A2">
        <w:t>es.  Le</w:t>
      </w:r>
      <w:r>
        <w:t xml:space="preserve"> Bureau international a ensuite été invité à compiler les documents pertinents et à étudier les moyens de les rendre plus visibles, par exemple pour les </w:t>
      </w:r>
      <w:r w:rsidR="00285A09">
        <w:t>nouveaux </w:t>
      </w:r>
      <w:r>
        <w:t>arrivants.</w:t>
      </w:r>
    </w:p>
    <w:p w14:paraId="627902F8" w14:textId="7BDF0CE0" w:rsidR="00363E69" w:rsidRDefault="00AA4987" w:rsidP="00AA4987">
      <w:pPr>
        <w:pStyle w:val="ONUMFS"/>
      </w:pPr>
      <w:r>
        <w:t>Le comité a également pris note d</w:t>
      </w:r>
      <w:r w:rsidR="00363E69">
        <w:t>’</w:t>
      </w:r>
      <w:r>
        <w:t>une proposition visant à programmer la session de printemps du groupe de travail plus tôt, de préférence au cours de la deuxième moitié du mois d</w:t>
      </w:r>
      <w:r w:rsidR="00363E69">
        <w:t>’</w:t>
      </w:r>
      <w:r>
        <w:t>avril ou au tout début du mois de m</w:t>
      </w:r>
      <w:r w:rsidR="005E72A2">
        <w:t>ai.  Le</w:t>
      </w:r>
      <w:r>
        <w:t xml:space="preserve"> Bureau international a été invité à examiner cette proposition lors de la planification des futures réunions, tout en reconnaissant les difficultés potentielles liées aux jours fériés à l</w:t>
      </w:r>
      <w:r w:rsidR="00363E69">
        <w:t>’</w:t>
      </w:r>
      <w:r>
        <w:t>OMPI et aux jours fériés nationaux.</w:t>
      </w:r>
    </w:p>
    <w:p w14:paraId="09DAE987" w14:textId="6C6D9351" w:rsidR="00AA4987" w:rsidRPr="00F74FB9" w:rsidRDefault="00AA4987" w:rsidP="00AA4987">
      <w:pPr>
        <w:pStyle w:val="ONUMFS"/>
      </w:pPr>
      <w:r>
        <w:t>Le comité s</w:t>
      </w:r>
      <w:r w:rsidR="00363E69">
        <w:t>’</w:t>
      </w:r>
      <w:r>
        <w:t>est déclaré satisfait de l</w:t>
      </w:r>
      <w:r w:rsidR="00363E69">
        <w:t>’</w:t>
      </w:r>
      <w:r>
        <w:t>efficacité et de l</w:t>
      </w:r>
      <w:r w:rsidR="00363E69">
        <w:t>’</w:t>
      </w:r>
      <w:r>
        <w:t>orientation stratégique de la révision de</w:t>
      </w:r>
      <w:r w:rsidR="00363E69">
        <w:t xml:space="preserve"> la CIB</w:t>
      </w:r>
      <w:r>
        <w:t xml:space="preserve"> menée par le groupe de travail, il a encouragé les offices à participer davantage au processus de révision dans le cadre de la feuille de route et a souligné l</w:t>
      </w:r>
      <w:r w:rsidR="00363E69">
        <w:t>’</w:t>
      </w:r>
      <w:r>
        <w:t>importance de maintenir un équilibre entre la qualité et l</w:t>
      </w:r>
      <w:r w:rsidR="00363E69">
        <w:t>’</w:t>
      </w:r>
      <w:r>
        <w:t>efficacité de la révision de</w:t>
      </w:r>
      <w:r w:rsidR="00363E69">
        <w:t xml:space="preserve"> la CIB</w:t>
      </w:r>
      <w:r>
        <w:t>.</w:t>
      </w:r>
    </w:p>
    <w:p w14:paraId="2E3D8356" w14:textId="28F24BCC" w:rsidR="00AA4987" w:rsidRPr="00F74FB9" w:rsidRDefault="00AA4987" w:rsidP="00AA4987">
      <w:pPr>
        <w:pStyle w:val="ONUMFS"/>
      </w:pPr>
      <w:r>
        <w:t>Le comité a invité le groupe de travail à poursuivre ses efforts pour faire en sorte que les révisions de</w:t>
      </w:r>
      <w:r w:rsidR="00363E69">
        <w:t xml:space="preserve"> la CIB</w:t>
      </w:r>
      <w:r>
        <w:t xml:space="preserve"> reflètent l</w:t>
      </w:r>
      <w:r w:rsidR="00363E69">
        <w:t>’</w:t>
      </w:r>
      <w:r>
        <w:t>évolution technologique, en mettant particulièrement l</w:t>
      </w:r>
      <w:r w:rsidR="00363E69">
        <w:t>’</w:t>
      </w:r>
      <w:r>
        <w:t>accent sur l</w:t>
      </w:r>
      <w:r w:rsidR="00363E69">
        <w:t>’</w:t>
      </w:r>
      <w:r>
        <w:t xml:space="preserve">intégration des nouvelles technologies émergentes </w:t>
      </w:r>
      <w:r w:rsidR="00DC62D6">
        <w:t>(“NET”)</w:t>
      </w:r>
      <w:r w:rsidR="00B645FC">
        <w:t xml:space="preserve"> </w:t>
      </w:r>
      <w:r>
        <w:t>et l</w:t>
      </w:r>
      <w:r w:rsidR="00363E69">
        <w:t>’</w:t>
      </w:r>
      <w:r>
        <w:t>amélioration continue de la cohérence de la classification.</w:t>
      </w:r>
    </w:p>
    <w:p w14:paraId="08E442ED" w14:textId="295DDD0E" w:rsidR="00AA4987" w:rsidRPr="0049015F" w:rsidRDefault="00AA4987" w:rsidP="00AA4987">
      <w:pPr>
        <w:pStyle w:val="Heading1"/>
        <w:spacing w:after="240"/>
      </w:pPr>
      <w:r>
        <w:t>Rapport du Groupe d</w:t>
      </w:r>
      <w:r w:rsidR="00363E69">
        <w:t>’</w:t>
      </w:r>
      <w:r>
        <w:t>experts sur la technologie des semi</w:t>
      </w:r>
      <w:r w:rsidR="005E72A2">
        <w:noBreakHyphen/>
      </w:r>
      <w:r>
        <w:t>conducteurs</w:t>
      </w:r>
    </w:p>
    <w:p w14:paraId="37E838EB" w14:textId="4F1B48F2" w:rsidR="00AA4987" w:rsidRDefault="00AA4987" w:rsidP="00AA4987">
      <w:pPr>
        <w:pStyle w:val="ONUMFS"/>
      </w:pPr>
      <w:r>
        <w:t>Le comité a pris note d</w:t>
      </w:r>
      <w:r w:rsidR="00363E69">
        <w:t>’</w:t>
      </w:r>
      <w:r>
        <w:t>un rapport sur l</w:t>
      </w:r>
      <w:r w:rsidR="00363E69">
        <w:t>’</w:t>
      </w:r>
      <w:r>
        <w:t>état d</w:t>
      </w:r>
      <w:r w:rsidR="00363E69">
        <w:t>’</w:t>
      </w:r>
      <w:r>
        <w:t>avancement des travaux établi par l</w:t>
      </w:r>
      <w:r w:rsidR="00363E69">
        <w:t>’</w:t>
      </w:r>
      <w:proofErr w:type="spellStart"/>
      <w:r>
        <w:t>OEB</w:t>
      </w:r>
      <w:proofErr w:type="spellEnd"/>
      <w:r>
        <w:t>, qui présidait le groupe d</w:t>
      </w:r>
      <w:r w:rsidR="00363E69">
        <w:t>’</w:t>
      </w:r>
      <w:r>
        <w:t>experts.</w:t>
      </w:r>
    </w:p>
    <w:p w14:paraId="2ECCA01D" w14:textId="27039F60" w:rsidR="00363E69" w:rsidRDefault="00AA4987" w:rsidP="00AA4987">
      <w:pPr>
        <w:pStyle w:val="ONUMFS"/>
      </w:pPr>
      <w:r>
        <w:t>Il a été informé que trois nouvelles sous</w:t>
      </w:r>
      <w:r w:rsidR="005E72A2">
        <w:noBreakHyphen/>
      </w:r>
      <w:r>
        <w:t xml:space="preserve">classes pour la nouvelle classe H10, </w:t>
      </w:r>
      <w:r w:rsidR="00363E69">
        <w:t>à savoir</w:t>
      </w:r>
      <w:r>
        <w:t> H10D, H10F et H10H, avaient été approuvées et étaient entrées en vigueur dans la version 2025.01 de la </w:t>
      </w:r>
      <w:r w:rsidR="005E72A2">
        <w:t>CIB.  De</w:t>
      </w:r>
      <w:r>
        <w:t>ux</w:t>
      </w:r>
      <w:r w:rsidR="00D61116">
        <w:t> </w:t>
      </w:r>
      <w:r>
        <w:t xml:space="preserve">autres projets, </w:t>
      </w:r>
      <w:r w:rsidR="00363E69">
        <w:t>à savoir</w:t>
      </w:r>
      <w:r>
        <w:t xml:space="preserve"> les projets </w:t>
      </w:r>
      <w:hyperlink r:id="rId12" w:history="1">
        <w:r>
          <w:rPr>
            <w:rStyle w:val="Hyperlink"/>
          </w:rPr>
          <w:t>C 517</w:t>
        </w:r>
      </w:hyperlink>
      <w:r>
        <w:t xml:space="preserve"> et </w:t>
      </w:r>
      <w:hyperlink r:id="rId13" w:history="1">
        <w:r>
          <w:rPr>
            <w:rStyle w:val="Hyperlink"/>
          </w:rPr>
          <w:t>C 518</w:t>
        </w:r>
      </w:hyperlink>
      <w:r>
        <w:t>, contenant les deux</w:t>
      </w:r>
      <w:r w:rsidR="00D61116">
        <w:t> </w:t>
      </w:r>
      <w:r>
        <w:t>nouvelles sous</w:t>
      </w:r>
      <w:r w:rsidR="005E72A2">
        <w:noBreakHyphen/>
      </w:r>
      <w:r>
        <w:t xml:space="preserve">classes H10P et H10W, étaient </w:t>
      </w:r>
      <w:r w:rsidR="00926887">
        <w:t>en cours de discussion</w:t>
      </w:r>
      <w:r>
        <w:t xml:space="preserve"> sur le forum électronique consacré à</w:t>
      </w:r>
      <w:r w:rsidR="00363E69">
        <w:t xml:space="preserve"> la CIB</w:t>
      </w:r>
      <w:r>
        <w:t xml:space="preserve"> en vue de la version 2026.01 de</w:t>
      </w:r>
      <w:r w:rsidR="00363E69">
        <w:t xml:space="preserve"> la CIB</w:t>
      </w:r>
      <w:r>
        <w:t>.</w:t>
      </w:r>
    </w:p>
    <w:p w14:paraId="3A5E8994" w14:textId="6CBD67EB" w:rsidR="00AA4987" w:rsidRDefault="00AA4987" w:rsidP="00AA4987">
      <w:pPr>
        <w:pStyle w:val="ONUMFS"/>
      </w:pPr>
      <w:r>
        <w:t>Le comité a noté que le Groupe d</w:t>
      </w:r>
      <w:r w:rsidR="00363E69">
        <w:t>’</w:t>
      </w:r>
      <w:r>
        <w:t>experts sur la technologie des semi</w:t>
      </w:r>
      <w:r w:rsidR="005E72A2">
        <w:noBreakHyphen/>
      </w:r>
      <w:r>
        <w:t>conducteurs avait pratiquement atteint tous ses objectifs en créant une classe H10 et ses sept sous</w:t>
      </w:r>
      <w:r w:rsidR="005E72A2">
        <w:noBreakHyphen/>
      </w:r>
      <w:r>
        <w:t xml:space="preserve">classes, </w:t>
      </w:r>
      <w:r w:rsidR="009F3881">
        <w:t>dont</w:t>
      </w:r>
      <w:r>
        <w:t xml:space="preserve"> cinq sous</w:t>
      </w:r>
      <w:r w:rsidR="005E72A2">
        <w:noBreakHyphen/>
      </w:r>
      <w:r>
        <w:t>classes sont entrées en vigueur dans les versions 2023.01 et 2025.01 de</w:t>
      </w:r>
      <w:r w:rsidR="00363E69">
        <w:t xml:space="preserve"> la CIB</w:t>
      </w:r>
      <w:r>
        <w:t>, deux</w:t>
      </w:r>
      <w:r w:rsidR="00D61116">
        <w:t> </w:t>
      </w:r>
      <w:r>
        <w:t>autres sous</w:t>
      </w:r>
      <w:r w:rsidR="005E72A2">
        <w:noBreakHyphen/>
      </w:r>
      <w:r>
        <w:t>classes étant prévues pour la version 2026.01 de</w:t>
      </w:r>
      <w:r w:rsidR="00363E69">
        <w:t xml:space="preserve"> la CIB</w:t>
      </w:r>
      <w:r>
        <w:t>, ce qui constituerait une étape importante.</w:t>
      </w:r>
    </w:p>
    <w:p w14:paraId="57D0BF57" w14:textId="6F31C4B0" w:rsidR="00AA4987" w:rsidRDefault="00AA4987" w:rsidP="00AA4987">
      <w:pPr>
        <w:pStyle w:val="ONUMFS"/>
      </w:pPr>
      <w:r>
        <w:lastRenderedPageBreak/>
        <w:t>Il a adressé ses remerciements profonds et sincères à tous les membres du groupe d</w:t>
      </w:r>
      <w:r w:rsidR="00363E69">
        <w:t>’</w:t>
      </w:r>
      <w:r>
        <w:t>experts et en particulier à l</w:t>
      </w:r>
      <w:r w:rsidR="00363E69">
        <w:t>’</w:t>
      </w:r>
      <w:proofErr w:type="spellStart"/>
      <w:r>
        <w:t>OEB</w:t>
      </w:r>
      <w:proofErr w:type="spellEnd"/>
      <w:r w:rsidR="009F3881">
        <w:t>,</w:t>
      </w:r>
      <w:r>
        <w:t xml:space="preserve"> qui présidait le groupe d</w:t>
      </w:r>
      <w:r w:rsidR="00363E69">
        <w:t>’</w:t>
      </w:r>
      <w:r>
        <w:t>experts, pour leur dévouement et leurs contributions inestimables, ainsi que pour les résultats remarquables obtenus au cours des dernières années.</w:t>
      </w:r>
    </w:p>
    <w:p w14:paraId="7E495EDE" w14:textId="6C83946B" w:rsidR="00AA4987" w:rsidRDefault="00AA4987" w:rsidP="00AA4987">
      <w:pPr>
        <w:pStyle w:val="ONUMFS"/>
      </w:pPr>
      <w:r>
        <w:t xml:space="preserve">Il a également noté la possibilité de clôturer le projet </w:t>
      </w:r>
      <w:hyperlink r:id="rId14" w:history="1">
        <w:r>
          <w:rPr>
            <w:rStyle w:val="Hyperlink"/>
          </w:rPr>
          <w:t>CE 481</w:t>
        </w:r>
      </w:hyperlink>
      <w:r>
        <w:t xml:space="preserve"> lors de sa prochaine session.</w:t>
      </w:r>
    </w:p>
    <w:p w14:paraId="5FC96AED" w14:textId="05F8D1CF" w:rsidR="00AA4987" w:rsidRDefault="00AA4987" w:rsidP="00AA4987">
      <w:pPr>
        <w:pStyle w:val="Heading1"/>
        <w:spacing w:after="240"/>
      </w:pPr>
      <w:r>
        <w:t>Rapport sur l</w:t>
      </w:r>
      <w:r w:rsidR="00363E69">
        <w:t>’</w:t>
      </w:r>
      <w:r>
        <w:t>état d</w:t>
      </w:r>
      <w:r w:rsidR="00363E69">
        <w:t>’</w:t>
      </w:r>
      <w:r>
        <w:t>avancement des programmes de révision de</w:t>
      </w:r>
      <w:r w:rsidR="00363E69">
        <w:t xml:space="preserve"> la </w:t>
      </w:r>
      <w:proofErr w:type="spellStart"/>
      <w:r w:rsidR="00363E69">
        <w:t>CPC</w:t>
      </w:r>
      <w:proofErr w:type="spellEnd"/>
      <w:r>
        <w:t xml:space="preserve"> et de la FI</w:t>
      </w:r>
    </w:p>
    <w:p w14:paraId="4D17DEBD" w14:textId="6991245C" w:rsidR="00AA4987" w:rsidRDefault="00AA4987" w:rsidP="00AA4987">
      <w:pPr>
        <w:pStyle w:val="ONUMFS"/>
      </w:pPr>
      <w:r>
        <w:t>Le comité a pris note d</w:t>
      </w:r>
      <w:r w:rsidR="00363E69">
        <w:t>’</w:t>
      </w:r>
      <w:r>
        <w:t xml:space="preserve">un </w:t>
      </w:r>
      <w:hyperlink r:id="rId15" w:history="1">
        <w:r>
          <w:rPr>
            <w:rStyle w:val="Hyperlink"/>
          </w:rPr>
          <w:t>exposé</w:t>
        </w:r>
      </w:hyperlink>
      <w:r>
        <w:t xml:space="preserve"> présenté par l</w:t>
      </w:r>
      <w:r w:rsidR="00363E69">
        <w:t>’</w:t>
      </w:r>
      <w:proofErr w:type="spellStart"/>
      <w:r>
        <w:t>OEB</w:t>
      </w:r>
      <w:proofErr w:type="spellEnd"/>
      <w:r>
        <w:t xml:space="preserve"> sur les récentes mises à jour de</w:t>
      </w:r>
      <w:r w:rsidR="00363E69">
        <w:t xml:space="preserve"> la </w:t>
      </w:r>
      <w:proofErr w:type="spellStart"/>
      <w:r w:rsidR="00363E69">
        <w:t>CPC</w:t>
      </w:r>
      <w:proofErr w:type="spellEnd"/>
      <w:r>
        <w:t xml:space="preserve"> et d</w:t>
      </w:r>
      <w:r w:rsidR="00363E69">
        <w:t>’</w:t>
      </w:r>
      <w:r>
        <w:t xml:space="preserve">un </w:t>
      </w:r>
      <w:hyperlink r:id="rId16" w:history="1">
        <w:r>
          <w:rPr>
            <w:rStyle w:val="Hyperlink"/>
          </w:rPr>
          <w:t>exposé</w:t>
        </w:r>
      </w:hyperlink>
      <w:r>
        <w:t xml:space="preserve"> présenté par</w:t>
      </w:r>
      <w:r w:rsidR="00363E69">
        <w:t xml:space="preserve"> le </w:t>
      </w:r>
      <w:proofErr w:type="spellStart"/>
      <w:r w:rsidR="00363E69">
        <w:t>JPO</w:t>
      </w:r>
      <w:proofErr w:type="spellEnd"/>
      <w:r>
        <w:t xml:space="preserve"> sur les récents progrès et évolutions du système FI/F</w:t>
      </w:r>
      <w:r w:rsidR="005E72A2">
        <w:noBreakHyphen/>
      </w:r>
      <w:proofErr w:type="spellStart"/>
      <w:r>
        <w:t>term</w:t>
      </w:r>
      <w:proofErr w:type="spellEnd"/>
      <w:r>
        <w:t>.</w:t>
      </w:r>
    </w:p>
    <w:p w14:paraId="11160B4C" w14:textId="0CBB382A" w:rsidR="00363E69" w:rsidRDefault="00AA4987" w:rsidP="00AA4987">
      <w:pPr>
        <w:pStyle w:val="ONUMFS"/>
      </w:pPr>
      <w:r>
        <w:t>Il a noté qu</w:t>
      </w:r>
      <w:r w:rsidR="00363E69">
        <w:t>’</w:t>
      </w:r>
      <w:r>
        <w:t>au 2 </w:t>
      </w:r>
      <w:r w:rsidR="00363E69">
        <w:t>février 20</w:t>
      </w:r>
      <w:r>
        <w:t>25, la couverture des données de</w:t>
      </w:r>
      <w:r w:rsidR="00363E69">
        <w:t xml:space="preserve"> la </w:t>
      </w:r>
      <w:proofErr w:type="spellStart"/>
      <w:r w:rsidR="00363E69">
        <w:t>CPC</w:t>
      </w:r>
      <w:proofErr w:type="spellEnd"/>
      <w:r>
        <w:t xml:space="preserve"> a été portée à environ 78 millions de documents de brevet, dont 2,7 millions de documents de la littérature non</w:t>
      </w:r>
      <w:r w:rsidR="005E72A2">
        <w:noBreakHyphen/>
      </w:r>
      <w:r>
        <w:t>brevet, grâce à l</w:t>
      </w:r>
      <w:r w:rsidR="00363E69">
        <w:t>’</w:t>
      </w:r>
      <w:r>
        <w:t>utilisation de l</w:t>
      </w:r>
      <w:r w:rsidR="00363E69">
        <w:t>’</w:t>
      </w:r>
      <w:r>
        <w:t>intelligence artificielle (IA).</w:t>
      </w:r>
    </w:p>
    <w:p w14:paraId="2F2577D3" w14:textId="69F520B8" w:rsidR="00363E69" w:rsidRDefault="00AA4987" w:rsidP="00AA4987">
      <w:pPr>
        <w:pStyle w:val="ONUMFS"/>
      </w:pPr>
      <w:r>
        <w:t>Le comité a également été informé de l</w:t>
      </w:r>
      <w:r w:rsidR="00363E69">
        <w:t>’</w:t>
      </w:r>
      <w:r>
        <w:t>intégration de la version 2025.01 de</w:t>
      </w:r>
      <w:r w:rsidR="00363E69">
        <w:t xml:space="preserve"> la CIB</w:t>
      </w:r>
      <w:r>
        <w:t xml:space="preserve"> dans la version de</w:t>
      </w:r>
      <w:r w:rsidR="00363E69">
        <w:t xml:space="preserve"> la </w:t>
      </w:r>
      <w:proofErr w:type="spellStart"/>
      <w:r w:rsidR="00363E69">
        <w:t>CPC</w:t>
      </w:r>
      <w:proofErr w:type="spellEnd"/>
      <w:r>
        <w:t xml:space="preserve"> du</w:t>
      </w:r>
      <w:r w:rsidR="00363E69">
        <w:t xml:space="preserve"> 1</w:t>
      </w:r>
      <w:r w:rsidR="00363E69" w:rsidRPr="00363E69">
        <w:rPr>
          <w:vertAlign w:val="superscript"/>
        </w:rPr>
        <w:t>er</w:t>
      </w:r>
      <w:r w:rsidR="00363E69">
        <w:t> janvier 20</w:t>
      </w:r>
      <w:r>
        <w:t>25, ce qui signifie qu</w:t>
      </w:r>
      <w:r w:rsidR="00363E69">
        <w:t>’</w:t>
      </w:r>
      <w:r>
        <w:t>il n</w:t>
      </w:r>
      <w:r w:rsidR="00363E69">
        <w:t>’</w:t>
      </w:r>
      <w:r>
        <w:t>y aura plus que trois</w:t>
      </w:r>
      <w:r w:rsidR="00D61116">
        <w:t> </w:t>
      </w:r>
      <w:r>
        <w:t>versions de</w:t>
      </w:r>
      <w:r w:rsidR="00363E69">
        <w:t xml:space="preserve"> la </w:t>
      </w:r>
      <w:proofErr w:type="spellStart"/>
      <w:r w:rsidR="00363E69">
        <w:t>CPC</w:t>
      </w:r>
      <w:proofErr w:type="spellEnd"/>
      <w:r>
        <w:t xml:space="preserve"> </w:t>
      </w:r>
      <w:r w:rsidR="00363E69">
        <w:t>en 2025</w:t>
      </w:r>
      <w:r>
        <w:t xml:space="preserve"> au lieu de quatre, c</w:t>
      </w:r>
      <w:r w:rsidR="00363E69">
        <w:t>’</w:t>
      </w:r>
      <w:r>
        <w:t>est</w:t>
      </w:r>
      <w:r w:rsidR="005E72A2">
        <w:noBreakHyphen/>
      </w:r>
      <w:r>
        <w:t>à</w:t>
      </w:r>
      <w:r w:rsidR="005E72A2">
        <w:noBreakHyphen/>
      </w:r>
      <w:r>
        <w:t>dire le</w:t>
      </w:r>
      <w:r w:rsidR="00363E69">
        <w:t xml:space="preserve"> 1</w:t>
      </w:r>
      <w:r w:rsidR="00363E69" w:rsidRPr="00363E69">
        <w:rPr>
          <w:vertAlign w:val="superscript"/>
        </w:rPr>
        <w:t>er</w:t>
      </w:r>
      <w:r w:rsidR="00363E69">
        <w:t> </w:t>
      </w:r>
      <w:r>
        <w:t>janvier, le</w:t>
      </w:r>
      <w:r w:rsidR="00363E69">
        <w:t xml:space="preserve"> 1</w:t>
      </w:r>
      <w:r w:rsidR="00363E69" w:rsidRPr="00363E69">
        <w:rPr>
          <w:vertAlign w:val="superscript"/>
        </w:rPr>
        <w:t>er</w:t>
      </w:r>
      <w:r w:rsidR="00363E69">
        <w:t> </w:t>
      </w:r>
      <w:r>
        <w:t>mai et le</w:t>
      </w:r>
      <w:r w:rsidR="00363E69">
        <w:t xml:space="preserve"> 1</w:t>
      </w:r>
      <w:r w:rsidR="00363E69" w:rsidRPr="00363E69">
        <w:rPr>
          <w:vertAlign w:val="superscript"/>
        </w:rPr>
        <w:t>er</w:t>
      </w:r>
      <w:r w:rsidR="00363E69">
        <w:t> </w:t>
      </w:r>
      <w:r>
        <w:t>août.</w:t>
      </w:r>
    </w:p>
    <w:p w14:paraId="6D09ABC1" w14:textId="31E9C801" w:rsidR="00363E69" w:rsidRDefault="00AA4987" w:rsidP="00AA4987">
      <w:pPr>
        <w:pStyle w:val="ONUMFS"/>
      </w:pPr>
      <w:r>
        <w:t>Il a été informé que la révision de la FI dans la version 2025.01 couvrait 300 groupes principaux, tandis que la révision du système F</w:t>
      </w:r>
      <w:r w:rsidR="005E72A2">
        <w:noBreakHyphen/>
      </w:r>
      <w:proofErr w:type="spellStart"/>
      <w:r>
        <w:t>term</w:t>
      </w:r>
      <w:proofErr w:type="spellEnd"/>
      <w:r>
        <w:t xml:space="preserve"> portait sur 18 thèmes dans la version 2024.04.  Il a été informé qu</w:t>
      </w:r>
      <w:r w:rsidR="00363E69">
        <w:t>’</w:t>
      </w:r>
      <w:r>
        <w:t xml:space="preserve">une liste de secteurs proposés </w:t>
      </w:r>
      <w:r w:rsidR="00C30CF8">
        <w:t xml:space="preserve">pour </w:t>
      </w:r>
      <w:r>
        <w:t>la révision de la FI avait été établie, semblable à la liste de secteurs de</w:t>
      </w:r>
      <w:r w:rsidR="00363E69">
        <w:t xml:space="preserve"> la CIB</w:t>
      </w:r>
      <w:r>
        <w:t xml:space="preserve"> </w:t>
      </w:r>
      <w:r w:rsidR="00A80FA5">
        <w:t xml:space="preserve">proposés </w:t>
      </w:r>
      <w:r>
        <w:t>dans le cadre de la feuille de route pour la révision de</w:t>
      </w:r>
      <w:r w:rsidR="00363E69">
        <w:t xml:space="preserve"> la CIB</w:t>
      </w:r>
      <w:r>
        <w:t>.</w:t>
      </w:r>
    </w:p>
    <w:p w14:paraId="37DE3BBB" w14:textId="59542B01" w:rsidR="00AA4987" w:rsidRDefault="00AA4987" w:rsidP="00AA4987">
      <w:pPr>
        <w:pStyle w:val="ONUMFS"/>
      </w:pPr>
      <w:r>
        <w:t>Le comité a également noté que les méthodes de reclassement de la FI continuaient d</w:t>
      </w:r>
      <w:r w:rsidR="00363E69">
        <w:t>’</w:t>
      </w:r>
      <w:r>
        <w:t>inclure l</w:t>
      </w:r>
      <w:r w:rsidR="00363E69">
        <w:t>’</w:t>
      </w:r>
      <w:r>
        <w:t>apprentissage automatique, l</w:t>
      </w:r>
      <w:r w:rsidR="00363E69">
        <w:t>’</w:t>
      </w:r>
      <w:r>
        <w:t xml:space="preserve">expression logique de la recherche et le </w:t>
      </w:r>
      <w:r w:rsidR="00C30CF8">
        <w:t>reclassement </w:t>
      </w:r>
      <w:r>
        <w:t>intellectuel.</w:t>
      </w:r>
    </w:p>
    <w:p w14:paraId="63A657B0" w14:textId="20E27052" w:rsidR="00AA4987" w:rsidRDefault="00AA4987" w:rsidP="00AA4987">
      <w:pPr>
        <w:pStyle w:val="ONUMFS"/>
      </w:pPr>
      <w:r>
        <w:t>Il a exprimé ses remerciements à l</w:t>
      </w:r>
      <w:r w:rsidR="00363E69">
        <w:t>’</w:t>
      </w:r>
      <w:proofErr w:type="spellStart"/>
      <w:r>
        <w:t>OEB</w:t>
      </w:r>
      <w:proofErr w:type="spellEnd"/>
      <w:r>
        <w:t xml:space="preserve"> et</w:t>
      </w:r>
      <w:r w:rsidR="00363E69">
        <w:t xml:space="preserve"> au </w:t>
      </w:r>
      <w:proofErr w:type="spellStart"/>
      <w:r w:rsidR="00363E69">
        <w:t>JPO</w:t>
      </w:r>
      <w:proofErr w:type="spellEnd"/>
      <w:r>
        <w:t xml:space="preserve"> pour leurs efforts en vue d</w:t>
      </w:r>
      <w:r w:rsidR="00363E69">
        <w:t>’</w:t>
      </w:r>
      <w:r>
        <w:t>intégrer la version 2025.01 de</w:t>
      </w:r>
      <w:r w:rsidR="00363E69">
        <w:t xml:space="preserve"> la CIB</w:t>
      </w:r>
      <w:r>
        <w:t xml:space="preserve"> dans</w:t>
      </w:r>
      <w:r w:rsidR="00363E69">
        <w:t xml:space="preserve"> la </w:t>
      </w:r>
      <w:proofErr w:type="spellStart"/>
      <w:r w:rsidR="00363E69">
        <w:t>CPC</w:t>
      </w:r>
      <w:proofErr w:type="spellEnd"/>
      <w:r>
        <w:t xml:space="preserve"> et la FI en </w:t>
      </w:r>
      <w:r w:rsidR="00363E69">
        <w:t>janvier 20</w:t>
      </w:r>
      <w:r>
        <w:t>25 et a réaffirmé l</w:t>
      </w:r>
      <w:r w:rsidR="00363E69">
        <w:t>’</w:t>
      </w:r>
      <w:r>
        <w:t>opinion commune que la cohérence entre la CIB et les schémas de classement fondés sur</w:t>
      </w:r>
      <w:r w:rsidR="00363E69">
        <w:t xml:space="preserve"> la CIB</w:t>
      </w:r>
      <w:r>
        <w:t xml:space="preserve"> était essentielle et que les efforts pour renforcer et conserver cette cohérence devaient se poursuivre, en particulier dans le domaine des nouvelles technologies émergentes.</w:t>
      </w:r>
    </w:p>
    <w:p w14:paraId="7F7EE435" w14:textId="6ECAC023" w:rsidR="00AA4987" w:rsidRPr="001D79A3" w:rsidRDefault="00AA4987" w:rsidP="00AA4987">
      <w:pPr>
        <w:pStyle w:val="Heading1"/>
        <w:spacing w:after="240"/>
      </w:pPr>
      <w:r>
        <w:t>Modifications à apporter au Guide d</w:t>
      </w:r>
      <w:r w:rsidR="00363E69">
        <w:t>’</w:t>
      </w:r>
      <w:r>
        <w:t>utilisation de</w:t>
      </w:r>
      <w:r w:rsidR="00363E69">
        <w:t xml:space="preserve"> la CIB</w:t>
      </w:r>
      <w:r>
        <w:t xml:space="preserve"> et aux autres documents de base de</w:t>
      </w:r>
      <w:r w:rsidR="00363E69">
        <w:t xml:space="preserve"> la CIB</w:t>
      </w:r>
    </w:p>
    <w:p w14:paraId="05E762F9" w14:textId="53B7FAE0" w:rsidR="00363E69" w:rsidRDefault="00AA4987" w:rsidP="00AA4987">
      <w:pPr>
        <w:pStyle w:val="ONUMFS"/>
      </w:pPr>
      <w:r>
        <w:t>Les délibérations ont également eu lieu sur la base de l</w:t>
      </w:r>
      <w:r w:rsidR="00363E69">
        <w:t>’</w:t>
      </w:r>
      <w:r>
        <w:t>annexe 109 du dossier de projet </w:t>
      </w:r>
      <w:hyperlink r:id="rId17" w:history="1">
        <w:r>
          <w:rPr>
            <w:rStyle w:val="Hyperlink"/>
          </w:rPr>
          <w:t>CE 454</w:t>
        </w:r>
      </w:hyperlink>
      <w:r>
        <w:t xml:space="preserve"> contenant le rapport du rapporteur avec une compilation des propositions de modification du Guide d</w:t>
      </w:r>
      <w:r w:rsidR="00363E69">
        <w:t>’</w:t>
      </w:r>
      <w:r>
        <w:t>utilisation de</w:t>
      </w:r>
      <w:r w:rsidR="00363E69">
        <w:t xml:space="preserve"> la CIB</w:t>
      </w:r>
      <w:r>
        <w:t xml:space="preserve"> (ci</w:t>
      </w:r>
      <w:r w:rsidR="005E72A2">
        <w:noBreakHyphen/>
      </w:r>
      <w:r>
        <w:t>après dénommé le “guide”) assorties de commentaires, en particulier dans les annexes 98 à 108 du dossier de projet, soumises respectivement par le Canada, l</w:t>
      </w:r>
      <w:r w:rsidR="00363E69">
        <w:t>’</w:t>
      </w:r>
      <w:proofErr w:type="spellStart"/>
      <w:r>
        <w:t>OEB</w:t>
      </w:r>
      <w:proofErr w:type="spellEnd"/>
      <w:r>
        <w:t>, la Fédération de Russie, la République de Corée, la Chine, le Bureau international et le Royaume</w:t>
      </w:r>
      <w:r w:rsidR="005E72A2">
        <w:noBreakHyphen/>
      </w:r>
      <w:r>
        <w:t>Uni.</w:t>
      </w:r>
    </w:p>
    <w:p w14:paraId="73A2BD98" w14:textId="3E757C28" w:rsidR="00AA4987" w:rsidRDefault="00AA4987" w:rsidP="00AA4987">
      <w:pPr>
        <w:pStyle w:val="ONUMFS"/>
      </w:pPr>
      <w:r>
        <w:t>Le comité a adopté, sous réserve de certaines modifications, les propositions de modification de l</w:t>
      </w:r>
      <w:r w:rsidR="00363E69">
        <w:t>’</w:t>
      </w:r>
      <w:r>
        <w:t>intitulé de la première page, des paragraphes 37, 37</w:t>
      </w:r>
      <w:r>
        <w:rPr>
          <w:i/>
          <w:iCs/>
        </w:rPr>
        <w:t>bis</w:t>
      </w:r>
      <w:r>
        <w:t>, 42, du titre de la section VII, des paragraphes 72, 74</w:t>
      </w:r>
      <w:r>
        <w:rPr>
          <w:i/>
          <w:iCs/>
        </w:rPr>
        <w:t>bis</w:t>
      </w:r>
      <w:r>
        <w:t xml:space="preserve"> et son intitulé, 107</w:t>
      </w:r>
      <w:r>
        <w:rPr>
          <w:i/>
          <w:iCs/>
        </w:rPr>
        <w:t>bis</w:t>
      </w:r>
      <w:r>
        <w:t>, 111, 182</w:t>
      </w:r>
      <w:r>
        <w:rPr>
          <w:i/>
          <w:iCs/>
        </w:rPr>
        <w:t>bis</w:t>
      </w:r>
      <w:r>
        <w:t xml:space="preserve">, 183 et 187 du </w:t>
      </w:r>
      <w:r w:rsidR="00C30CF8">
        <w:t>guide</w:t>
      </w:r>
      <w:r>
        <w:t>, figurant aux annexes 111 et 112 du dossier de proj</w:t>
      </w:r>
      <w:r w:rsidR="005E72A2">
        <w:t>et.  Ce</w:t>
      </w:r>
      <w:r>
        <w:t>s modifications seront incluses dans la version 2025 du guide.</w:t>
      </w:r>
    </w:p>
    <w:p w14:paraId="45506542" w14:textId="740FE494" w:rsidR="00AA4987" w:rsidRDefault="00AA4987" w:rsidP="00EF0CD2">
      <w:pPr>
        <w:pStyle w:val="ONUMFS"/>
        <w:keepLines/>
      </w:pPr>
      <w:r>
        <w:lastRenderedPageBreak/>
        <w:t>Les délibérations ont également eu lieu sur la base de l</w:t>
      </w:r>
      <w:r w:rsidR="00363E69">
        <w:t>’</w:t>
      </w:r>
      <w:r>
        <w:t>annexe 108 du dossier de projet </w:t>
      </w:r>
      <w:hyperlink r:id="rId18" w:history="1">
        <w:r>
          <w:rPr>
            <w:rStyle w:val="Hyperlink"/>
          </w:rPr>
          <w:t>CE 455</w:t>
        </w:r>
      </w:hyperlink>
      <w:r>
        <w:t xml:space="preserve"> contenant le rapport du rapporteur avec une compilation des propositions de modification des Principes directeurs pour la révision de</w:t>
      </w:r>
      <w:r w:rsidR="00363E69">
        <w:t xml:space="preserve"> la CIB</w:t>
      </w:r>
      <w:r>
        <w:t xml:space="preserve"> (ci</w:t>
      </w:r>
      <w:r w:rsidR="005E72A2">
        <w:noBreakHyphen/>
      </w:r>
      <w:r>
        <w:t>après dénommés “principes directeurs”), assorties de commentaires, en particulier dans les annexes 103 à 107 du dossier de projet, soumises respectivement par le Canada, la Chine, l</w:t>
      </w:r>
      <w:r w:rsidR="00363E69">
        <w:t>’</w:t>
      </w:r>
      <w:proofErr w:type="spellStart"/>
      <w:r>
        <w:t>OEB</w:t>
      </w:r>
      <w:proofErr w:type="spellEnd"/>
      <w:r>
        <w:t>, la République de Corée et le Bureau international.</w:t>
      </w:r>
    </w:p>
    <w:p w14:paraId="38496454" w14:textId="5746BF90" w:rsidR="00AA4987" w:rsidRDefault="00AA4987" w:rsidP="00AA4987">
      <w:pPr>
        <w:pStyle w:val="ONUMFS"/>
      </w:pPr>
      <w:r>
        <w:t>Le comité a adopté, sous réserve de certaines modifications, les propositions de modification de l</w:t>
      </w:r>
      <w:r w:rsidR="00363E69">
        <w:t>’</w:t>
      </w:r>
      <w:r>
        <w:t>intitulé de la première page et des paragraphes 61</w:t>
      </w:r>
      <w:r>
        <w:rPr>
          <w:i/>
          <w:iCs/>
        </w:rPr>
        <w:t>bis</w:t>
      </w:r>
      <w:r>
        <w:t>, 70</w:t>
      </w:r>
      <w:r>
        <w:rPr>
          <w:i/>
          <w:iCs/>
        </w:rPr>
        <w:t>bis</w:t>
      </w:r>
      <w:r>
        <w:t>, 99, 109, 109</w:t>
      </w:r>
      <w:r>
        <w:rPr>
          <w:i/>
        </w:rPr>
        <w:t>bis</w:t>
      </w:r>
      <w:r>
        <w:t xml:space="preserve"> et 109</w:t>
      </w:r>
      <w:r>
        <w:rPr>
          <w:i/>
        </w:rPr>
        <w:t>ter</w:t>
      </w:r>
      <w:r>
        <w:t xml:space="preserve"> des principes directeurs, figurant aux annexes 109 et 110 du dossier de projet.</w:t>
      </w:r>
    </w:p>
    <w:p w14:paraId="7ECAB4DC" w14:textId="7A0D1243" w:rsidR="00363E69" w:rsidRDefault="00AA4987" w:rsidP="00AA4987">
      <w:pPr>
        <w:pStyle w:val="Heading1"/>
        <w:spacing w:after="240"/>
      </w:pPr>
      <w:r>
        <w:t xml:space="preserve">Intégration de nouvelles technologies émergentes </w:t>
      </w:r>
      <w:r w:rsidR="00C30CF8">
        <w:t xml:space="preserve">(“NET”) </w:t>
      </w:r>
      <w:r>
        <w:t>dans les secteurs proposés de la Feuille de route pour la révision de la CIB</w:t>
      </w:r>
    </w:p>
    <w:p w14:paraId="32B9F348" w14:textId="266FC489" w:rsidR="00AA4987" w:rsidRDefault="00AA4987" w:rsidP="00AA4987">
      <w:pPr>
        <w:pStyle w:val="ONUMFS"/>
        <w:rPr>
          <w:rStyle w:val="Hyperlink"/>
        </w:rPr>
      </w:pPr>
      <w:r>
        <w:t>Les délibérations ont eu lieu sur la base du rapport du rapporteur figurant à l</w:t>
      </w:r>
      <w:r w:rsidR="00363E69">
        <w:t>’</w:t>
      </w:r>
      <w:r>
        <w:t xml:space="preserve">annexe 5, présenté par le Bureau international et contenant des observations formulées par le Brésil et la Chine dans les annexes 3 et 4 du dossier de projet </w:t>
      </w:r>
      <w:hyperlink r:id="rId19" w:history="1">
        <w:r>
          <w:rPr>
            <w:rStyle w:val="Hyperlink"/>
          </w:rPr>
          <w:t>CE 551</w:t>
        </w:r>
      </w:hyperlink>
      <w:r>
        <w:t>.</w:t>
      </w:r>
    </w:p>
    <w:p w14:paraId="4EB6DCC0" w14:textId="56C382FE" w:rsidR="00363E69" w:rsidRDefault="00AA4987" w:rsidP="00AA4987">
      <w:pPr>
        <w:pStyle w:val="ONUMFS"/>
      </w:pPr>
      <w:r>
        <w:t>Le comité a rappelé la proposition initiale du Bureau international (annexe 1 du dossier de projet </w:t>
      </w:r>
      <w:hyperlink r:id="rId20" w:history="1">
        <w:r>
          <w:rPr>
            <w:rStyle w:val="Hyperlink"/>
          </w:rPr>
          <w:t>CE 551</w:t>
        </w:r>
      </w:hyperlink>
      <w:r>
        <w:t>) lors de sa dernière session visant à promouvoir la transparence et la visibilité des nouvelles technologies émergentes en les intégrant dans les secteurs proposés actuels de la Feuille de route pour la révision de</w:t>
      </w:r>
      <w:r w:rsidR="00363E69">
        <w:t xml:space="preserve"> la </w:t>
      </w:r>
      <w:r w:rsidR="005E72A2">
        <w:t>CIB.  Il</w:t>
      </w:r>
      <w:r>
        <w:t xml:space="preserve"> a noté qu</w:t>
      </w:r>
      <w:r w:rsidR="00363E69">
        <w:t>’</w:t>
      </w:r>
      <w:r>
        <w:t>il était communément admis qu</w:t>
      </w:r>
      <w:r w:rsidR="00363E69">
        <w:t>’</w:t>
      </w:r>
      <w:r>
        <w:t>il était important d</w:t>
      </w:r>
      <w:r w:rsidR="00363E69">
        <w:t>’</w:t>
      </w:r>
      <w:r>
        <w:t>identifier les secteurs liés aux nouvelles technologies émergentes dans le contexte de la feuille de route et, par conséquent, que cela aiderait à visualiser les activités de révision du groupe de travail dans les secteurs en rapport avec les nouvelles technologies émergent</w:t>
      </w:r>
      <w:r w:rsidR="005E72A2">
        <w:t>es.  Ce</w:t>
      </w:r>
      <w:r>
        <w:t>pendant, certains offices se sont également interrogés sur l</w:t>
      </w:r>
      <w:r w:rsidR="00363E69">
        <w:t>’</w:t>
      </w:r>
      <w:r>
        <w:t>opportunité de consacrer trop d</w:t>
      </w:r>
      <w:r w:rsidR="00363E69">
        <w:t>’</w:t>
      </w:r>
      <w:r>
        <w:t>efforts à l</w:t>
      </w:r>
      <w:r w:rsidR="00363E69">
        <w:t>’</w:t>
      </w:r>
      <w:r>
        <w:t>élaboration de critères objectifs potentiels pour l</w:t>
      </w:r>
      <w:r w:rsidR="00363E69">
        <w:t>’</w:t>
      </w:r>
      <w:r>
        <w:t xml:space="preserve">identification des nouvelles technologies émergentes, étant donné que ces critères seraient simplement indicatifs et </w:t>
      </w:r>
      <w:r w:rsidR="00DF19E7">
        <w:t>non </w:t>
      </w:r>
      <w:r>
        <w:t>contraignants.</w:t>
      </w:r>
    </w:p>
    <w:p w14:paraId="5A8AF689" w14:textId="7FB31F1C" w:rsidR="00AA4987" w:rsidRDefault="00AA4987" w:rsidP="00AA4987">
      <w:pPr>
        <w:pStyle w:val="ONUMFS"/>
        <w:rPr>
          <w:rStyle w:val="Hyperlink"/>
        </w:rPr>
      </w:pPr>
      <w:r>
        <w:t>Le comité a de nouveau confirmé la décision prise à sa dernière session selon laquelle la pratique actuelle concernant la révision des nouvelles technologies émergentes devrait continuer à être mise en œuvre et appliquée lors de la présentation de nouvelles demandes de révision au moyen du modèle de révision de</w:t>
      </w:r>
      <w:r w:rsidR="00363E69">
        <w:t xml:space="preserve"> la </w:t>
      </w:r>
      <w:r w:rsidR="005E72A2">
        <w:t>CIB.  Le</w:t>
      </w:r>
      <w:r>
        <w:t xml:space="preserve"> Bureau international prendra les mesures nécessaires pour que ces demandes ou projets soient visibles sur le forum électronique consacré à</w:t>
      </w:r>
      <w:r w:rsidR="00363E69">
        <w:t xml:space="preserve"> la CIB</w:t>
      </w:r>
      <w:r>
        <w:t>, tandis que les discussions sur les critères objectifs potentiels pour l</w:t>
      </w:r>
      <w:r w:rsidR="00363E69">
        <w:t>’</w:t>
      </w:r>
      <w:r>
        <w:t xml:space="preserve">identification des nouvelles technologies émergentes se poursuivront dans le cadre du projet </w:t>
      </w:r>
      <w:hyperlink r:id="rId21" w:history="1">
        <w:r>
          <w:rPr>
            <w:rStyle w:val="Hyperlink"/>
          </w:rPr>
          <w:t>CE 551</w:t>
        </w:r>
      </w:hyperlink>
      <w:r>
        <w:t>.</w:t>
      </w:r>
    </w:p>
    <w:p w14:paraId="2020DB7C" w14:textId="694791DE" w:rsidR="00AA4987" w:rsidRPr="001D79A3" w:rsidRDefault="00AA4987" w:rsidP="00AA4987">
      <w:pPr>
        <w:pStyle w:val="Heading1"/>
        <w:spacing w:after="240"/>
      </w:pPr>
      <w:r>
        <w:t>Représentation des schémas de classement supplémentaire dans</w:t>
      </w:r>
      <w:r w:rsidR="00363E69">
        <w:t xml:space="preserve"> la CIB</w:t>
      </w:r>
    </w:p>
    <w:p w14:paraId="2790E53C" w14:textId="25E0FD30" w:rsidR="00AA4987" w:rsidRPr="00AB06DA" w:rsidRDefault="00AA4987" w:rsidP="00AA4987">
      <w:pPr>
        <w:pStyle w:val="ONUMFS"/>
      </w:pPr>
      <w:r>
        <w:t xml:space="preserve">Les délibérations ont eu lieu sur la base des annexes 12 et 13 </w:t>
      </w:r>
      <w:proofErr w:type="gramStart"/>
      <w:r>
        <w:t>contenant</w:t>
      </w:r>
      <w:proofErr w:type="gramEnd"/>
      <w:r>
        <w:t xml:space="preserve"> le rapport du rapporteur et une proposition de la Chine concernant la représentation et l</w:t>
      </w:r>
      <w:r w:rsidR="00363E69">
        <w:t>’</w:t>
      </w:r>
      <w:r>
        <w:t>unification des formats de numérotation pour les symboles de classement supplémentaire dans</w:t>
      </w:r>
      <w:r w:rsidR="00363E69">
        <w:t xml:space="preserve"> la </w:t>
      </w:r>
      <w:r w:rsidR="005E72A2">
        <w:t>CIB.  Le</w:t>
      </w:r>
      <w:r>
        <w:t xml:space="preserve"> projet visait à remédier aux incohérences entre les schémas de classement secondaire et les codes d</w:t>
      </w:r>
      <w:r w:rsidR="00363E69">
        <w:t>’</w:t>
      </w:r>
      <w:r>
        <w:t>indexation, en clarifiant leur rôle et en améliorant l</w:t>
      </w:r>
      <w:r w:rsidR="00363E69">
        <w:t>’</w:t>
      </w:r>
      <w:r>
        <w:t>efficacité du classeme</w:t>
      </w:r>
      <w:r w:rsidR="005E72A2">
        <w:t>nt.  La</w:t>
      </w:r>
      <w:r>
        <w:t xml:space="preserve"> proposition réaffirmait que l</w:t>
      </w:r>
      <w:r w:rsidR="00363E69">
        <w:t>’</w:t>
      </w:r>
      <w:r>
        <w:t>unification proposée ne modifierait pas la fonction des schémas d</w:t>
      </w:r>
      <w:r w:rsidR="00363E69">
        <w:t>’</w:t>
      </w:r>
      <w:r>
        <w:t>indexation ou du classement secondaire, mais viserait à normaliser leur représentation pour en faciliter l</w:t>
      </w:r>
      <w:r w:rsidR="00363E69">
        <w:t>’</w:t>
      </w:r>
      <w:r>
        <w:t>utilisati</w:t>
      </w:r>
      <w:r w:rsidR="005E72A2">
        <w:t>on.  Il</w:t>
      </w:r>
      <w:r>
        <w:t xml:space="preserve"> est également suggéré que des méthodes automatisées pourraient faciliter le reclassement avec un investissement minimal en termes de ressources.</w:t>
      </w:r>
    </w:p>
    <w:p w14:paraId="7CB709AE" w14:textId="649B82DB" w:rsidR="00AA4987" w:rsidRPr="00AB06DA" w:rsidRDefault="00AA4987" w:rsidP="00C92808">
      <w:pPr>
        <w:pStyle w:val="ONUMFS"/>
        <w:keepLines/>
      </w:pPr>
      <w:r>
        <w:lastRenderedPageBreak/>
        <w:t>La Chine a présenté une proposition visant à unifier la numérotation des symboles de classement supplémentaire, c</w:t>
      </w:r>
      <w:r w:rsidR="00363E69">
        <w:t>’</w:t>
      </w:r>
      <w:r>
        <w:t>est</w:t>
      </w:r>
      <w:r w:rsidR="005E72A2">
        <w:noBreakHyphen/>
      </w:r>
      <w:r>
        <w:t>à</w:t>
      </w:r>
      <w:r w:rsidR="005E72A2">
        <w:noBreakHyphen/>
      </w:r>
      <w:r>
        <w:t>dire à attribuer 6000 numéros d</w:t>
      </w:r>
      <w:r w:rsidR="00363E69">
        <w:t>’</w:t>
      </w:r>
      <w:r>
        <w:t>ordre aux symboles combinés avec les symboles de classement primaire de plusieurs sections et 8000 numéros d</w:t>
      </w:r>
      <w:r w:rsidR="00363E69">
        <w:t>’</w:t>
      </w:r>
      <w:r>
        <w:t>ordre à ceux combinés uniquement avec les symboles de classement primaire de la même secti</w:t>
      </w:r>
      <w:r w:rsidR="005E72A2">
        <w:t>on.  El</w:t>
      </w:r>
      <w:r>
        <w:t>le a souligné que cette approche permettrait d</w:t>
      </w:r>
      <w:r w:rsidR="00363E69">
        <w:t>’</w:t>
      </w:r>
      <w:r>
        <w:t>améliorer la précision du classement, de réduire les erreurs de classement et d</w:t>
      </w:r>
      <w:r w:rsidR="00363E69">
        <w:t>’</w:t>
      </w:r>
      <w:r>
        <w:t>améliorer l</w:t>
      </w:r>
      <w:r w:rsidR="00363E69">
        <w:t>’</w:t>
      </w:r>
      <w:r>
        <w:t>utilisation de</w:t>
      </w:r>
      <w:r w:rsidR="00363E69">
        <w:t xml:space="preserve"> la CIB</w:t>
      </w:r>
      <w:r>
        <w:t xml:space="preserve"> par les utilisateurs publics et les systèmes automatisés.</w:t>
      </w:r>
    </w:p>
    <w:p w14:paraId="1C1F6BE5" w14:textId="5B0F33B7" w:rsidR="00363E69" w:rsidRDefault="00AA4987" w:rsidP="00AA4987">
      <w:pPr>
        <w:pStyle w:val="ONUMFS"/>
      </w:pPr>
      <w:r>
        <w:t>Le comité a reconnu le bien</w:t>
      </w:r>
      <w:r w:rsidR="005E72A2">
        <w:noBreakHyphen/>
      </w:r>
      <w:r>
        <w:t>fondé de la proposition de la Chine visant à améliorer la convivialité de</w:t>
      </w:r>
      <w:r w:rsidR="00363E69">
        <w:t xml:space="preserve"> la </w:t>
      </w:r>
      <w:r w:rsidR="005E72A2">
        <w:t>CIB.  To</w:t>
      </w:r>
      <w:r>
        <w:t>utefois, des offices ont également exprimé leurs préoccupations concernant la nécessité d</w:t>
      </w:r>
      <w:r w:rsidR="00363E69">
        <w:t>’</w:t>
      </w:r>
      <w:r>
        <w:t>apporter les modifications proposées, leur incidence sur les systèmes informatiques des offices et la charge de travail qu</w:t>
      </w:r>
      <w:r w:rsidR="00363E69">
        <w:t>’</w:t>
      </w:r>
      <w:r>
        <w:t>entraîne le reclasseme</w:t>
      </w:r>
      <w:r w:rsidR="005E72A2">
        <w:t>nt.  Ce</w:t>
      </w:r>
      <w:r>
        <w:t>rtains offices se sont demandé si les avantages potentiels des modifications proposées l</w:t>
      </w:r>
      <w:r w:rsidR="00363E69">
        <w:t>’</w:t>
      </w:r>
      <w:r>
        <w:t>emporteraient sur les coûts et les efforts associ</w:t>
      </w:r>
      <w:r w:rsidR="005E72A2">
        <w:t>és.  En</w:t>
      </w:r>
      <w:r>
        <w:t xml:space="preserve"> outre, il a été mentionné que l</w:t>
      </w:r>
      <w:r w:rsidR="00363E69">
        <w:t>’</w:t>
      </w:r>
      <w:r>
        <w:t xml:space="preserve">intelligence artificielle (IA) pourrait éventuellement réduire le besoin de codes de classement secondaire et de </w:t>
      </w:r>
      <w:r w:rsidR="00681E37">
        <w:t>codes </w:t>
      </w:r>
      <w:r>
        <w:t>d</w:t>
      </w:r>
      <w:r w:rsidR="00363E69">
        <w:t>’</w:t>
      </w:r>
      <w:r>
        <w:t>indexation.</w:t>
      </w:r>
    </w:p>
    <w:p w14:paraId="15AD188F" w14:textId="1ECE66E6" w:rsidR="00363E69" w:rsidRDefault="00AA4987" w:rsidP="00AA4987">
      <w:pPr>
        <w:pStyle w:val="ONUMFS"/>
      </w:pPr>
      <w:r>
        <w:t xml:space="preserve">Le comité a décidé de maintenir le projet </w:t>
      </w:r>
      <w:hyperlink r:id="rId22" w:history="1">
        <w:r>
          <w:rPr>
            <w:rStyle w:val="Hyperlink"/>
          </w:rPr>
          <w:t>CE 552</w:t>
        </w:r>
      </w:hyperlink>
      <w:r>
        <w:t xml:space="preserve"> actif pour de plus amples discussions, qui fourniraient des informations précieuses sur les défis plus larges en matière de classeme</w:t>
      </w:r>
      <w:r w:rsidR="005E72A2">
        <w:t>nt.  Il</w:t>
      </w:r>
      <w:r>
        <w:t xml:space="preserve"> a en outre été décidé de remplacer le titre “Représentation du classement supplémentaire dans</w:t>
      </w:r>
      <w:r w:rsidR="00363E69">
        <w:t xml:space="preserve"> la CIB</w:t>
      </w:r>
      <w:r>
        <w:t>” par “Schémas de classement secondaire et d</w:t>
      </w:r>
      <w:r w:rsidR="00363E69">
        <w:t>’</w:t>
      </w:r>
      <w:r>
        <w:t>indexation dans</w:t>
      </w:r>
      <w:r w:rsidR="00363E69">
        <w:t xml:space="preserve"> la CIB</w:t>
      </w:r>
      <w:r>
        <w:t>” afin de mieux refléter le champ d</w:t>
      </w:r>
      <w:r w:rsidR="00363E69">
        <w:t>’</w:t>
      </w:r>
      <w:r>
        <w:t>application des discussions.</w:t>
      </w:r>
    </w:p>
    <w:p w14:paraId="350521A0" w14:textId="2A9AAF4A" w:rsidR="00AA4987" w:rsidRDefault="00AA4987" w:rsidP="00AA4987">
      <w:pPr>
        <w:pStyle w:val="ONUMFS"/>
      </w:pPr>
      <w:r>
        <w:t>Le comité a noté avec satisfaction que l</w:t>
      </w:r>
      <w:r w:rsidR="00363E69">
        <w:t>’</w:t>
      </w:r>
      <w:r>
        <w:t>Allemagne s</w:t>
      </w:r>
      <w:r w:rsidR="00363E69">
        <w:t>’</w:t>
      </w:r>
      <w:r>
        <w:t>est portée volontaire pour dresser une liste des schémas d</w:t>
      </w:r>
      <w:r w:rsidR="00363E69">
        <w:t>’</w:t>
      </w:r>
      <w:r>
        <w:t>indexation existants (voir l</w:t>
      </w:r>
      <w:r w:rsidR="00363E69">
        <w:t>’</w:t>
      </w:r>
      <w:r>
        <w:t xml:space="preserve">annexe 14 dans le cadre du projet </w:t>
      </w:r>
      <w:hyperlink r:id="rId23" w:history="1">
        <w:r>
          <w:rPr>
            <w:rStyle w:val="Hyperlink"/>
          </w:rPr>
          <w:t>CE 552</w:t>
        </w:r>
      </w:hyperlink>
      <w:r>
        <w:t>) afin de faciliter les délibérations ultérieures, tandis que les offices continueront de recueillir des commentaires, notamment de la part des utilisateurs publics, concernant la facilité d</w:t>
      </w:r>
      <w:r w:rsidR="00363E69">
        <w:t>’</w:t>
      </w:r>
      <w:r>
        <w:t>utilisation et les améliorations potentielles de</w:t>
      </w:r>
      <w:r w:rsidR="00363E69">
        <w:t xml:space="preserve"> la CIB</w:t>
      </w:r>
      <w:r>
        <w:t>.</w:t>
      </w:r>
    </w:p>
    <w:p w14:paraId="20E7B7F1" w14:textId="1A61117A" w:rsidR="00AA4987" w:rsidRPr="003956D8" w:rsidRDefault="00AA4987" w:rsidP="00AA4987">
      <w:pPr>
        <w:pStyle w:val="ONUMFS"/>
      </w:pPr>
      <w:r>
        <w:t>Le Bureau international a été invité à dresser une liste de projets antérieurs couvrant des questions connexes afin de faire état de toutes les discussions passées, d</w:t>
      </w:r>
      <w:r w:rsidR="00363E69">
        <w:t>’</w:t>
      </w:r>
      <w:r>
        <w:t>assurer la continuité et d</w:t>
      </w:r>
      <w:r w:rsidR="00363E69">
        <w:t>’</w:t>
      </w:r>
      <w:r>
        <w:t>éviter la répétition des travaux.</w:t>
      </w:r>
    </w:p>
    <w:p w14:paraId="74885098" w14:textId="411E0DA6" w:rsidR="00AA4987" w:rsidRPr="001D79A3" w:rsidRDefault="00AA4987" w:rsidP="00AA4987">
      <w:pPr>
        <w:pStyle w:val="Heading1"/>
        <w:spacing w:after="240"/>
      </w:pPr>
      <w:r>
        <w:t>Rapport sur l</w:t>
      </w:r>
      <w:r w:rsidR="00363E69">
        <w:t>’</w:t>
      </w:r>
      <w:r>
        <w:t>état d</w:t>
      </w:r>
      <w:r w:rsidR="00363E69">
        <w:t>’</w:t>
      </w:r>
      <w:r>
        <w:t>avancement du reclassement et du traitement des documents de brevet non reclassés</w:t>
      </w:r>
    </w:p>
    <w:p w14:paraId="2C88D254" w14:textId="24046806" w:rsidR="00AA4987" w:rsidRPr="009224B5" w:rsidRDefault="00AA4987" w:rsidP="00AA4987">
      <w:pPr>
        <w:pStyle w:val="ONUMFS"/>
      </w:pPr>
      <w:r>
        <w:t>Les délibérations ont eu lieu sur la base de l</w:t>
      </w:r>
      <w:r w:rsidR="00363E69">
        <w:t>’</w:t>
      </w:r>
      <w:r>
        <w:t xml:space="preserve">annexe 5 du dossier de projet </w:t>
      </w:r>
      <w:hyperlink r:id="rId24" w:history="1">
        <w:r>
          <w:rPr>
            <w:rStyle w:val="Hyperlink"/>
          </w:rPr>
          <w:t>CE 532</w:t>
        </w:r>
      </w:hyperlink>
      <w:r>
        <w:t>, contenant le rapport du rapporteur présenté par le Bureau international sur le thème “reclassement de</w:t>
      </w:r>
      <w:r w:rsidR="00363E69">
        <w:t xml:space="preserve"> la CIB</w:t>
      </w:r>
      <w:r>
        <w:t xml:space="preserve"> fondé sur l</w:t>
      </w:r>
      <w:r w:rsidR="00363E69">
        <w:t>’</w:t>
      </w:r>
      <w:r>
        <w:t>IA et documents connexes”, et de l</w:t>
      </w:r>
      <w:r w:rsidR="00363E69">
        <w:t>’</w:t>
      </w:r>
      <w:r>
        <w:t xml:space="preserve">annexe 3 du dossier de projet </w:t>
      </w:r>
      <w:hyperlink r:id="rId25" w:history="1">
        <w:r>
          <w:rPr>
            <w:rStyle w:val="Hyperlink"/>
          </w:rPr>
          <w:t>CE 569</w:t>
        </w:r>
      </w:hyperlink>
      <w:r>
        <w:t>, contenant un rapport sur l</w:t>
      </w:r>
      <w:r w:rsidR="00363E69">
        <w:t>’</w:t>
      </w:r>
      <w:r>
        <w:t>état d</w:t>
      </w:r>
      <w:r w:rsidR="00363E69">
        <w:t>’</w:t>
      </w:r>
      <w:r>
        <w:t>avancement du reclassement de l</w:t>
      </w:r>
      <w:r w:rsidR="00363E69">
        <w:t>’</w:t>
      </w:r>
      <w:proofErr w:type="spellStart"/>
      <w:r>
        <w:t>IPCWLMS</w:t>
      </w:r>
      <w:proofErr w:type="spellEnd"/>
      <w:r>
        <w:t>, présenté par le Bureau international.</w:t>
      </w:r>
    </w:p>
    <w:p w14:paraId="17F9A4C7" w14:textId="137B05F4" w:rsidR="00AA4987" w:rsidRDefault="00AA4987" w:rsidP="00AA4987">
      <w:pPr>
        <w:pStyle w:val="ONUMFS"/>
      </w:pPr>
      <w:r>
        <w:t>Le comité a pris note de la mise à jour du service de reclassement de</w:t>
      </w:r>
      <w:r w:rsidR="00363E69">
        <w:t xml:space="preserve"> la CIB</w:t>
      </w:r>
      <w:r>
        <w:t xml:space="preserve"> fondé sur l</w:t>
      </w:r>
      <w:r w:rsidR="00363E69">
        <w:t>’</w:t>
      </w:r>
      <w:r>
        <w:t>IA, qui vise à remplacer le mécanisme de “transfert par défaut” par un système automatisé s</w:t>
      </w:r>
      <w:r w:rsidR="00363E69">
        <w:t>’</w:t>
      </w:r>
      <w:r>
        <w:t xml:space="preserve">appuyant sur les données de la base de données </w:t>
      </w:r>
      <w:proofErr w:type="spellStart"/>
      <w:r>
        <w:t>DocDB</w:t>
      </w:r>
      <w:proofErr w:type="spellEnd"/>
      <w:r>
        <w:t xml:space="preserve"> et la technologie </w:t>
      </w:r>
      <w:proofErr w:type="spellStart"/>
      <w:r>
        <w:t>IPCCAT</w:t>
      </w:r>
      <w:proofErr w:type="spellEnd"/>
      <w:r>
        <w:t>.</w:t>
      </w:r>
    </w:p>
    <w:p w14:paraId="5F332BFA" w14:textId="62273DE6" w:rsidR="00AA4987" w:rsidRPr="008B3289" w:rsidRDefault="00AA4987" w:rsidP="00AA4987">
      <w:pPr>
        <w:pStyle w:val="ONUMFS"/>
      </w:pPr>
      <w:r>
        <w:t>Il a pris acte des réalisations accomplies à ce jour dans le cadre du projet, tout en notant les défis techniques importants, en particulier la complexité du traitement des données et les délais d</w:t>
      </w:r>
      <w:r w:rsidR="00363E69">
        <w:t>’</w:t>
      </w:r>
      <w:r>
        <w:t>exécution plus longs que prévu.</w:t>
      </w:r>
    </w:p>
    <w:p w14:paraId="492AECD0" w14:textId="4DF6963C" w:rsidR="00AA4987" w:rsidRPr="008B3289" w:rsidRDefault="00AA4987" w:rsidP="00AA4987">
      <w:pPr>
        <w:pStyle w:val="ONUMFS"/>
      </w:pPr>
      <w:r>
        <w:t>Le comité s</w:t>
      </w:r>
      <w:r w:rsidR="00363E69">
        <w:t>’</w:t>
      </w:r>
      <w:r>
        <w:t>est félicité des efforts déployés par le Bureau international et a encouragé la poursuite de l</w:t>
      </w:r>
      <w:r w:rsidR="00363E69">
        <w:t>’</w:t>
      </w:r>
      <w:r>
        <w:t>exploration des solutions fondées sur l</w:t>
      </w:r>
      <w:r w:rsidR="00363E69">
        <w:t>’</w:t>
      </w:r>
      <w:r>
        <w:t>IA tout en assurant la fiabilité et la transparence du processus décisionnel.</w:t>
      </w:r>
    </w:p>
    <w:p w14:paraId="0ECBBCFC" w14:textId="6E7A6F16" w:rsidR="00AA4987" w:rsidRPr="008B3289" w:rsidRDefault="00AA4987" w:rsidP="00C92808">
      <w:pPr>
        <w:pStyle w:val="ONUMFS"/>
        <w:keepLines/>
      </w:pPr>
      <w:r>
        <w:lastRenderedPageBreak/>
        <w:t>Il a également pris note des dernières statistiques relatives au reclassement de</w:t>
      </w:r>
      <w:r w:rsidR="00363E69">
        <w:t xml:space="preserve"> la CIB</w:t>
      </w:r>
      <w:r>
        <w:t xml:space="preserve"> fournies par l</w:t>
      </w:r>
      <w:r w:rsidR="00363E69">
        <w:t>’</w:t>
      </w:r>
      <w:proofErr w:type="spellStart"/>
      <w:r>
        <w:t>IPCWLMS</w:t>
      </w:r>
      <w:proofErr w:type="spellEnd"/>
      <w:r>
        <w:t>, qui indiquent qu</w:t>
      </w:r>
      <w:r w:rsidR="00363E69">
        <w:t>’</w:t>
      </w:r>
      <w:r>
        <w:t>un nombre croissant de familles de brevets doivent encore être reclassées pour certaines versions de</w:t>
      </w:r>
      <w:r w:rsidR="00363E69">
        <w:t xml:space="preserve"> la CIB</w:t>
      </w:r>
      <w:r>
        <w:t xml:space="preserve">, en particulier à partir </w:t>
      </w:r>
      <w:r w:rsidR="00363E69">
        <w:t>de 2017</w:t>
      </w:r>
      <w:r>
        <w:t>.  Il a été observé que le problème de l</w:t>
      </w:r>
      <w:r w:rsidR="00363E69">
        <w:t>’</w:t>
      </w:r>
      <w:r>
        <w:t>augmentation de l</w:t>
      </w:r>
      <w:r w:rsidR="00363E69">
        <w:t>’</w:t>
      </w:r>
      <w:r>
        <w:t>arriéré pouvait résulter d</w:t>
      </w:r>
      <w:r w:rsidR="00363E69">
        <w:t>’</w:t>
      </w:r>
      <w:r>
        <w:t>un problème de qualité des données, tel que des données de reclassement mal formatées ou une application incorrecte des indicateurs de l</w:t>
      </w:r>
      <w:r w:rsidR="00363E69">
        <w:t>’</w:t>
      </w:r>
      <w:r>
        <w:t>état d</w:t>
      </w:r>
      <w:r w:rsidR="00363E69">
        <w:t>’</w:t>
      </w:r>
      <w:r>
        <w:t>avancement du reclassement, par exemple l</w:t>
      </w:r>
      <w:r w:rsidR="00363E69">
        <w:t>’</w:t>
      </w:r>
      <w:r>
        <w:t>utilisation de la lettre “B” au lieu de “R” pour les symboles reclass</w:t>
      </w:r>
      <w:r w:rsidR="005E72A2">
        <w:t>és.  Il</w:t>
      </w:r>
      <w:r>
        <w:t xml:space="preserve"> a également été noté que le Bureau international examinerait ces augmentations plus en détail, avec l</w:t>
      </w:r>
      <w:r w:rsidR="00363E69">
        <w:t>’</w:t>
      </w:r>
      <w:r>
        <w:t>aide de l</w:t>
      </w:r>
      <w:r w:rsidR="00363E69">
        <w:t>’</w:t>
      </w:r>
      <w:proofErr w:type="spellStart"/>
      <w:r>
        <w:t>OEB</w:t>
      </w:r>
      <w:proofErr w:type="spellEnd"/>
      <w:r>
        <w:t>, et essaierait de trouver une solution au problème.</w:t>
      </w:r>
    </w:p>
    <w:p w14:paraId="3E960171" w14:textId="1DBBD53B" w:rsidR="00363E69" w:rsidRDefault="00AA4987" w:rsidP="00AA4987">
      <w:pPr>
        <w:pStyle w:val="ONUMFS"/>
      </w:pPr>
      <w:r>
        <w:t>Le comité a noté avec satisfaction l</w:t>
      </w:r>
      <w:r w:rsidR="00363E69">
        <w:t>’</w:t>
      </w:r>
      <w:r>
        <w:t>intention de l</w:t>
      </w:r>
      <w:r w:rsidR="00363E69">
        <w:t>’</w:t>
      </w:r>
      <w:proofErr w:type="spellStart"/>
      <w:r>
        <w:t>OEB</w:t>
      </w:r>
      <w:proofErr w:type="spellEnd"/>
      <w:r>
        <w:t xml:space="preserve"> de propager les données de reclassement de</w:t>
      </w:r>
      <w:r w:rsidR="00363E69">
        <w:t xml:space="preserve"> la </w:t>
      </w:r>
      <w:proofErr w:type="spellStart"/>
      <w:r w:rsidR="00363E69">
        <w:t>CPC</w:t>
      </w:r>
      <w:proofErr w:type="spellEnd"/>
      <w:r>
        <w:t xml:space="preserve"> dans</w:t>
      </w:r>
      <w:r w:rsidR="00363E69">
        <w:t xml:space="preserve"> la CIB</w:t>
      </w:r>
      <w:r>
        <w:t>, ce qui pourrait contribuer à réduire la charge de travail liée au reclassement dans</w:t>
      </w:r>
      <w:r w:rsidR="00363E69">
        <w:t xml:space="preserve"> la CIB</w:t>
      </w:r>
      <w:r>
        <w:t>.</w:t>
      </w:r>
    </w:p>
    <w:p w14:paraId="59DFEF6B" w14:textId="7A17F1FF" w:rsidR="00363E69" w:rsidRDefault="00AA4987" w:rsidP="00AA4987">
      <w:pPr>
        <w:pStyle w:val="ONUMFS"/>
      </w:pPr>
      <w:r>
        <w:t>Après avoir examiné l</w:t>
      </w:r>
      <w:r w:rsidR="00363E69">
        <w:t>’</w:t>
      </w:r>
      <w:r>
        <w:t>ensemble des statistiques de reclassement et noté que certaines versions de</w:t>
      </w:r>
      <w:r w:rsidR="00363E69">
        <w:t xml:space="preserve"> la CIB</w:t>
      </w:r>
      <w:r>
        <w:t xml:space="preserve"> qui restent à reclasser datent de plus de 10 ans et qu</w:t>
      </w:r>
      <w:r w:rsidR="00363E69">
        <w:t>’</w:t>
      </w:r>
      <w:r>
        <w:t>il n</w:t>
      </w:r>
      <w:r w:rsidR="00363E69">
        <w:t>’</w:t>
      </w:r>
      <w:r>
        <w:t>y a pas eu de progrès significatifs en matière de reclassement intellectuel au cours des dernières années, le comité a décidé d</w:t>
      </w:r>
      <w:r w:rsidR="00363E69">
        <w:t>’</w:t>
      </w:r>
      <w:r>
        <w:t>appliquer des transferts par défaut pour les versions 2009.01 à 2015.01 de</w:t>
      </w:r>
      <w:r w:rsidR="00363E69">
        <w:t xml:space="preserve"> la CIB</w:t>
      </w:r>
      <w:r>
        <w:t xml:space="preserve"> afin d</w:t>
      </w:r>
      <w:r w:rsidR="00363E69">
        <w:t>’</w:t>
      </w:r>
      <w:r>
        <w:t>améliorer l</w:t>
      </w:r>
      <w:r w:rsidR="00363E69">
        <w:t>’</w:t>
      </w:r>
      <w:r>
        <w:t xml:space="preserve">efficacité de la recherche et de diminuer le nombre de dossiers </w:t>
      </w:r>
      <w:r w:rsidR="00761D41">
        <w:t>en </w:t>
      </w:r>
      <w:r>
        <w:t>suspens.</w:t>
      </w:r>
    </w:p>
    <w:p w14:paraId="03D81A9F" w14:textId="2DDC0DAF" w:rsidR="00363E69" w:rsidRDefault="00AA4987" w:rsidP="00AA4987">
      <w:pPr>
        <w:pStyle w:val="ONUMFS"/>
      </w:pPr>
      <w:r>
        <w:t>Il a pris acte des préoccupations des offices concernant la faible précision des données de reclassement après l</w:t>
      </w:r>
      <w:r w:rsidR="00363E69">
        <w:t>’</w:t>
      </w:r>
      <w:r>
        <w:t>application des transferts par défaut et de la confirmation par l</w:t>
      </w:r>
      <w:r w:rsidR="00363E69">
        <w:t>’</w:t>
      </w:r>
      <w:proofErr w:type="spellStart"/>
      <w:r>
        <w:t>OEB</w:t>
      </w:r>
      <w:proofErr w:type="spellEnd"/>
      <w:r>
        <w:t xml:space="preserve"> qu</w:t>
      </w:r>
      <w:r w:rsidR="00363E69">
        <w:t>’</w:t>
      </w:r>
      <w:r>
        <w:t xml:space="preserve">il serait possible de signaler ces familles de transferts par défaut dans la </w:t>
      </w:r>
      <w:proofErr w:type="spellStart"/>
      <w:r>
        <w:t>DocDB</w:t>
      </w:r>
      <w:proofErr w:type="spellEnd"/>
      <w:r>
        <w:t xml:space="preserve"> en vue d</w:t>
      </w:r>
      <w:r w:rsidR="00363E69">
        <w:t>’</w:t>
      </w:r>
      <w:r>
        <w:t>un réexamen ultérieur lorsqu</w:t>
      </w:r>
      <w:r w:rsidR="00363E69">
        <w:t>’</w:t>
      </w:r>
      <w:r>
        <w:t xml:space="preserve">une meilleure solution sera trouvée, par exemple quand de meilleurs outils de reclassement seront disponibles. </w:t>
      </w:r>
      <w:r w:rsidR="00D61116">
        <w:t xml:space="preserve"> </w:t>
      </w:r>
    </w:p>
    <w:p w14:paraId="5B03D6A8" w14:textId="146077D4" w:rsidR="00363E69" w:rsidRDefault="00AA4987" w:rsidP="00AA4987">
      <w:pPr>
        <w:pStyle w:val="ONUMFS"/>
      </w:pPr>
      <w:r>
        <w:t>Il est également convenu de créer une équipe d</w:t>
      </w:r>
      <w:r w:rsidR="00363E69">
        <w:t>’</w:t>
      </w:r>
      <w:r>
        <w:t>experts chargée d</w:t>
      </w:r>
      <w:r w:rsidR="00363E69">
        <w:t>’</w:t>
      </w:r>
      <w:r>
        <w:t>examiner les défis actuels et futurs en matière de reclassement, de rendre compte des difficultés rencontrées en matière de reclassement dans les offices et de proposer des solutio</w:t>
      </w:r>
      <w:r w:rsidR="005E72A2">
        <w:t>ns.  Le</w:t>
      </w:r>
      <w:r>
        <w:t>s offices suivants ont souhaité y participer</w:t>
      </w:r>
      <w:r w:rsidR="00363E69">
        <w:t> :</w:t>
      </w:r>
      <w:r>
        <w:t xml:space="preserve"> Brésil, Chine, </w:t>
      </w:r>
      <w:proofErr w:type="spellStart"/>
      <w:r>
        <w:t>OEB</w:t>
      </w:r>
      <w:proofErr w:type="spellEnd"/>
      <w:r>
        <w:t>, République de Corée et Suè</w:t>
      </w:r>
      <w:r w:rsidR="005E72A2">
        <w:t>de.  Le</w:t>
      </w:r>
      <w:r>
        <w:t xml:space="preserve"> comité est convenu que d</w:t>
      </w:r>
      <w:r w:rsidR="00363E69">
        <w:t>’</w:t>
      </w:r>
      <w:r>
        <w:t>autres membres pourraient ultérieurement rejoindre l</w:t>
      </w:r>
      <w:r w:rsidR="00363E69">
        <w:t>’</w:t>
      </w:r>
      <w:r>
        <w:t>équipe d</w:t>
      </w:r>
      <w:r w:rsidR="00363E69">
        <w:t>’</w:t>
      </w:r>
      <w:r>
        <w:t>experts à tout mome</w:t>
      </w:r>
      <w:r w:rsidR="005E72A2">
        <w:t>nt.  Le</w:t>
      </w:r>
      <w:r>
        <w:t xml:space="preserve"> nouveau projet </w:t>
      </w:r>
      <w:hyperlink r:id="rId26" w:history="1">
        <w:r>
          <w:rPr>
            <w:rStyle w:val="Hyperlink"/>
          </w:rPr>
          <w:t>CE 562</w:t>
        </w:r>
      </w:hyperlink>
      <w:r>
        <w:t xml:space="preserve"> a été créé pour faciliter les discussions, avec l</w:t>
      </w:r>
      <w:r w:rsidR="00363E69">
        <w:t>’</w:t>
      </w:r>
      <w:proofErr w:type="spellStart"/>
      <w:r>
        <w:t>OEB</w:t>
      </w:r>
      <w:proofErr w:type="spellEnd"/>
      <w:r>
        <w:t xml:space="preserve"> et le Bureau international en tant que </w:t>
      </w:r>
      <w:proofErr w:type="spellStart"/>
      <w:r>
        <w:t>co</w:t>
      </w:r>
      <w:r w:rsidR="005E72A2">
        <w:noBreakHyphen/>
      </w:r>
      <w:r>
        <w:t>rapporteurs</w:t>
      </w:r>
      <w:proofErr w:type="spellEnd"/>
      <w:r>
        <w:t>.</w:t>
      </w:r>
    </w:p>
    <w:p w14:paraId="1D7639E2" w14:textId="1C781476" w:rsidR="00AA4987" w:rsidRPr="009224B5" w:rsidRDefault="00AA4987" w:rsidP="00AA4987">
      <w:pPr>
        <w:pStyle w:val="ONUMFS"/>
      </w:pPr>
      <w:r>
        <w:t>Le comité a reconnu l</w:t>
      </w:r>
      <w:r w:rsidR="00363E69">
        <w:t>’</w:t>
      </w:r>
      <w:r>
        <w:t>importance de veiller à ce que</w:t>
      </w:r>
      <w:r w:rsidR="00363E69">
        <w:t xml:space="preserve"> la CIB</w:t>
      </w:r>
      <w:r>
        <w:t xml:space="preserve"> reste un système de classement fiable et efficace et réaffirmé sa volonté de résoudre les problèmes liés au reclassement avec des stratégies à la fois immédiates et à long ter</w:t>
      </w:r>
      <w:r w:rsidR="005E72A2">
        <w:t>me.  Il</w:t>
      </w:r>
      <w:r>
        <w:t xml:space="preserve"> a encouragé les offices à soumettre les données de reclassement à l</w:t>
      </w:r>
      <w:r w:rsidR="00363E69">
        <w:t>’</w:t>
      </w:r>
      <w:proofErr w:type="spellStart"/>
      <w:r>
        <w:t>IPCWLMS</w:t>
      </w:r>
      <w:proofErr w:type="spellEnd"/>
      <w:r>
        <w:t xml:space="preserve"> dans le bon format, </w:t>
      </w:r>
      <w:r w:rsidR="00363E69">
        <w:t>y compris</w:t>
      </w:r>
      <w:r>
        <w:t xml:space="preserve"> les caractéristiques appropriées pour les symboles de</w:t>
      </w:r>
      <w:r w:rsidR="00363E69">
        <w:t xml:space="preserve"> la CIB</w:t>
      </w:r>
      <w:r>
        <w:t xml:space="preserve"> déjà reclassés et désactivés, ainsi que les indicateurs de version correspondants, afin d</w:t>
      </w:r>
      <w:r w:rsidR="00363E69">
        <w:t>’</w:t>
      </w:r>
      <w:r>
        <w:t>améliorer l</w:t>
      </w:r>
      <w:r w:rsidR="00363E69">
        <w:t>’</w:t>
      </w:r>
      <w:r>
        <w:t>efficacité de leur traitement.</w:t>
      </w:r>
    </w:p>
    <w:p w14:paraId="5B975231" w14:textId="60A35BBC" w:rsidR="00AA4987" w:rsidRPr="009224B5" w:rsidRDefault="00AA4987" w:rsidP="00AA4987">
      <w:pPr>
        <w:pStyle w:val="Heading1"/>
        <w:spacing w:after="240"/>
      </w:pPr>
      <w:r>
        <w:t>Rapport sur les systèmes informatiques liés à</w:t>
      </w:r>
      <w:r w:rsidR="00363E69">
        <w:t xml:space="preserve"> la CIB</w:t>
      </w:r>
    </w:p>
    <w:p w14:paraId="5738F964" w14:textId="708CCB03" w:rsidR="00AA4987" w:rsidRPr="009224B5" w:rsidRDefault="00AA4987" w:rsidP="00AA4987">
      <w:pPr>
        <w:pStyle w:val="ONUMFS"/>
      </w:pPr>
      <w:r>
        <w:t>Le Secrétariat a donné un aperçu général des faits nouveaux concernant les systèmes informatiques liés à</w:t>
      </w:r>
      <w:r w:rsidR="00363E69">
        <w:t xml:space="preserve"> la CIB</w:t>
      </w:r>
      <w:r>
        <w:t>, notamment certaines modifications relatives à la présentation harmonisée de l</w:t>
      </w:r>
      <w:r w:rsidR="00363E69">
        <w:t>’</w:t>
      </w:r>
      <w:proofErr w:type="spellStart"/>
      <w:r>
        <w:t>IPCPUB</w:t>
      </w:r>
      <w:proofErr w:type="spellEnd"/>
      <w:r>
        <w:t xml:space="preserve"> de l</w:t>
      </w:r>
      <w:r w:rsidR="00363E69">
        <w:t>’</w:t>
      </w:r>
      <w:r>
        <w:t>OMPI, suivi d</w:t>
      </w:r>
      <w:r w:rsidR="00363E69">
        <w:t>’</w:t>
      </w:r>
      <w:r>
        <w:t xml:space="preserve">une démonstration permettant de visualiser </w:t>
      </w:r>
      <w:r w:rsidR="00237E95">
        <w:t>ces </w:t>
      </w:r>
      <w:r>
        <w:t>modifications.</w:t>
      </w:r>
    </w:p>
    <w:p w14:paraId="4590D26A" w14:textId="1356C9F8" w:rsidR="00363E69" w:rsidRDefault="00AA4987" w:rsidP="00AA4987">
      <w:pPr>
        <w:pStyle w:val="ONUMFS"/>
      </w:pPr>
      <w:r>
        <w:t>Le comité a pris note des préoccupations exprimées par certains offices au sujet de la faible visibilité de plusieurs fonctions dans la présentation harmonisée de l</w:t>
      </w:r>
      <w:r w:rsidR="00363E69">
        <w:t>’</w:t>
      </w:r>
      <w:proofErr w:type="spellStart"/>
      <w:r>
        <w:t>IPCPUB</w:t>
      </w:r>
      <w:proofErr w:type="spellEnd"/>
      <w:r>
        <w:t>, qui étaient mieux présentées dans l</w:t>
      </w:r>
      <w:r w:rsidR="00363E69">
        <w:t>’</w:t>
      </w:r>
      <w:r>
        <w:t>ancienne version de l</w:t>
      </w:r>
      <w:r w:rsidR="00363E69">
        <w:t>’</w:t>
      </w:r>
      <w:proofErr w:type="spellStart"/>
      <w:r>
        <w:t>IPC</w:t>
      </w:r>
      <w:r w:rsidR="005E72A2">
        <w:t>PUB</w:t>
      </w:r>
      <w:proofErr w:type="spellEnd"/>
      <w:r w:rsidR="005E72A2">
        <w:t>.  Il</w:t>
      </w:r>
      <w:r>
        <w:t xml:space="preserve"> a invité les offices à formuler leurs observations ou suggestions par écrit au forum électronique consacré à</w:t>
      </w:r>
      <w:r w:rsidR="00363E69">
        <w:t xml:space="preserve"> la CIB</w:t>
      </w:r>
      <w:r>
        <w:t xml:space="preserve"> dans le cadre du projet </w:t>
      </w:r>
      <w:hyperlink r:id="rId27" w:history="1">
        <w:r>
          <w:rPr>
            <w:rStyle w:val="Hyperlink"/>
          </w:rPr>
          <w:t>CE 447</w:t>
        </w:r>
      </w:hyperlink>
      <w:r>
        <w:t xml:space="preserve"> (“Observations en vue de l</w:t>
      </w:r>
      <w:r w:rsidR="00363E69">
        <w:t>’</w:t>
      </w:r>
      <w:r>
        <w:t>amélioration de la publication de</w:t>
      </w:r>
      <w:r w:rsidR="00363E69">
        <w:t xml:space="preserve"> la CIB</w:t>
      </w:r>
      <w:r>
        <w:t xml:space="preserve"> sur Internet”) afin que le Bureau international les étudie plus en détail.</w:t>
      </w:r>
    </w:p>
    <w:p w14:paraId="6A75CBEB" w14:textId="3D654EAC" w:rsidR="00AA4987" w:rsidRPr="009224B5" w:rsidRDefault="00AA4987" w:rsidP="00AA4987">
      <w:pPr>
        <w:pStyle w:val="ONUMFS"/>
      </w:pPr>
      <w:r>
        <w:lastRenderedPageBreak/>
        <w:t>Le Secrétariat a expliqué que la présentation harmonisée de l</w:t>
      </w:r>
      <w:r w:rsidR="00363E69">
        <w:t>’</w:t>
      </w:r>
      <w:r>
        <w:t>OMPI relevait du nouveau portail officiel de propriété intellectuelle de l</w:t>
      </w:r>
      <w:r w:rsidR="00363E69">
        <w:t>’</w:t>
      </w:r>
      <w:r>
        <w:t>OMPI lancé dans toute l</w:t>
      </w:r>
      <w:r w:rsidR="00363E69">
        <w:t>’</w:t>
      </w:r>
      <w:r>
        <w:t>Organisation pour assurer une plus grande cohérence, par exemple une navigation unifiée pour faciliter le passage d</w:t>
      </w:r>
      <w:r w:rsidR="00363E69">
        <w:t>’</w:t>
      </w:r>
      <w:r>
        <w:t>un service de propriété intellectuelle de l</w:t>
      </w:r>
      <w:r w:rsidR="00363E69">
        <w:t>’</w:t>
      </w:r>
      <w:r>
        <w:t>OMPI à un autre et moderniser la présentation pour mettre en œuvre une interface utilisateur commune afin de proposer aux utilisateurs une expérience homogène, etc.</w:t>
      </w:r>
    </w:p>
    <w:p w14:paraId="441CDFB8" w14:textId="61B485D8" w:rsidR="00AA4987" w:rsidRPr="009224B5" w:rsidRDefault="00AA4987" w:rsidP="00AA4987">
      <w:pPr>
        <w:pStyle w:val="Heading1"/>
        <w:spacing w:after="240"/>
      </w:pPr>
      <w:r>
        <w:t>Expérience des offices en matière de classement assisté par ordinateur (par exemple, fondé sur l</w:t>
      </w:r>
      <w:r w:rsidR="00363E69">
        <w:t>’</w:t>
      </w:r>
      <w:r>
        <w:t>intelligence artificielle)</w:t>
      </w:r>
    </w:p>
    <w:p w14:paraId="22BF7E85" w14:textId="5FDD6695" w:rsidR="00AA4987" w:rsidRPr="009224B5" w:rsidRDefault="00AA4987" w:rsidP="00AA4987">
      <w:pPr>
        <w:pStyle w:val="ONUMFS"/>
      </w:pPr>
      <w:r>
        <w:t>Le comité a pris note, avec satisfaction, des exposés sur l</w:t>
      </w:r>
      <w:r w:rsidR="00363E69">
        <w:t>’</w:t>
      </w:r>
      <w:r>
        <w:t>expérience acquise en matière de classement assisté par ordinateur (par exemple, fondé sur l</w:t>
      </w:r>
      <w:r w:rsidR="00363E69">
        <w:t>’</w:t>
      </w:r>
      <w:r>
        <w:t>intelligence artificielle) présentés par l</w:t>
      </w:r>
      <w:r w:rsidR="00363E69">
        <w:t>’</w:t>
      </w:r>
      <w:proofErr w:type="spellStart"/>
      <w:r>
        <w:t>OEB</w:t>
      </w:r>
      <w:proofErr w:type="spellEnd"/>
      <w:r>
        <w:t xml:space="preserve"> et</w:t>
      </w:r>
      <w:r w:rsidR="00363E69">
        <w:t xml:space="preserve"> le </w:t>
      </w:r>
      <w:proofErr w:type="spellStart"/>
      <w:r w:rsidR="00363E69">
        <w:t>JPO</w:t>
      </w:r>
      <w:proofErr w:type="spellEnd"/>
      <w:r>
        <w:t>.</w:t>
      </w:r>
    </w:p>
    <w:p w14:paraId="3A252FEF" w14:textId="6AF697B7" w:rsidR="00363E69" w:rsidRDefault="00AA4987" w:rsidP="00AA4987">
      <w:pPr>
        <w:pStyle w:val="ONUMFS"/>
      </w:pPr>
      <w:r>
        <w:t>Il a fait observer que les deux</w:t>
      </w:r>
      <w:r w:rsidR="00D61116">
        <w:t> </w:t>
      </w:r>
      <w:r>
        <w:t>offices avaient réalisé des progrès significatifs dans l</w:t>
      </w:r>
      <w:r w:rsidR="00363E69">
        <w:t>’</w:t>
      </w:r>
      <w:r>
        <w:t>application de l</w:t>
      </w:r>
      <w:r w:rsidR="00363E69">
        <w:t>’</w:t>
      </w:r>
      <w:r>
        <w:t xml:space="preserve">IA pour le </w:t>
      </w:r>
      <w:proofErr w:type="spellStart"/>
      <w:r>
        <w:t>préclassement</w:t>
      </w:r>
      <w:proofErr w:type="spellEnd"/>
      <w:r>
        <w:t xml:space="preserve">, le classement et le reclassement des documents </w:t>
      </w:r>
      <w:r w:rsidR="00814A4A">
        <w:t>de </w:t>
      </w:r>
      <w:r>
        <w:t>brevet.</w:t>
      </w:r>
    </w:p>
    <w:p w14:paraId="1336A16D" w14:textId="0C33264D" w:rsidR="00363E69" w:rsidRDefault="00AA4987" w:rsidP="00AA4987">
      <w:pPr>
        <w:pStyle w:val="ONUMFS"/>
      </w:pPr>
      <w:r>
        <w:t>L</w:t>
      </w:r>
      <w:r w:rsidR="00363E69">
        <w:t>’</w:t>
      </w:r>
      <w:proofErr w:type="spellStart"/>
      <w:r>
        <w:t>OEB</w:t>
      </w:r>
      <w:proofErr w:type="spellEnd"/>
      <w:r>
        <w:t xml:space="preserve"> a présenté son expérience en matière de classement fondé sur l</w:t>
      </w:r>
      <w:r w:rsidR="00363E69">
        <w:t>’</w:t>
      </w:r>
      <w:r>
        <w:t xml:space="preserve">IA, en soulignant son approche structurée du </w:t>
      </w:r>
      <w:proofErr w:type="spellStart"/>
      <w:r>
        <w:t>préclassement</w:t>
      </w:r>
      <w:proofErr w:type="spellEnd"/>
      <w:r>
        <w:t xml:space="preserve">, du classement et du reclassement, </w:t>
      </w:r>
      <w:r w:rsidR="00363E69">
        <w:t>y compris</w:t>
      </w:r>
      <w:r>
        <w:t xml:space="preserve"> la poursuite de l</w:t>
      </w:r>
      <w:r w:rsidR="00363E69">
        <w:t>’</w:t>
      </w:r>
      <w:r>
        <w:t>amélioration du “logiciel de classement des textes selon la </w:t>
      </w:r>
      <w:proofErr w:type="spellStart"/>
      <w:r>
        <w:t>CPC</w:t>
      </w:r>
      <w:proofErr w:type="spellEnd"/>
      <w:r>
        <w:t>” fonctionnant grâce à l</w:t>
      </w:r>
      <w:r w:rsidR="00363E69">
        <w:t>’</w:t>
      </w:r>
      <w:r>
        <w:t xml:space="preserve">IA et accessible au public pour le </w:t>
      </w:r>
      <w:proofErr w:type="spellStart"/>
      <w:r>
        <w:t>préclassement</w:t>
      </w:r>
      <w:proofErr w:type="spellEnd"/>
      <w:r>
        <w:t xml:space="preserve"> selon</w:t>
      </w:r>
      <w:r w:rsidR="00363E69">
        <w:t xml:space="preserve"> la </w:t>
      </w:r>
      <w:proofErr w:type="spellStart"/>
      <w:r w:rsidR="00363E69">
        <w:t>CPC</w:t>
      </w:r>
      <w:proofErr w:type="spellEnd"/>
      <w:r>
        <w:t>, le processus de reclassement, dans lequel l</w:t>
      </w:r>
      <w:r w:rsidR="00363E69">
        <w:t>’</w:t>
      </w:r>
      <w:r>
        <w:t>IA apporte une aide aux examinateurs pour le traitement par lots, et son balisage dynamique généré par l</w:t>
      </w:r>
      <w:r w:rsidR="00363E69">
        <w:t>’</w:t>
      </w:r>
      <w:r>
        <w:t xml:space="preserve">IA pour les classements de la </w:t>
      </w:r>
      <w:r w:rsidR="00363E69">
        <w:t>section Y</w:t>
      </w:r>
      <w:r>
        <w:t>.</w:t>
      </w:r>
    </w:p>
    <w:p w14:paraId="616E2A2A" w14:textId="00787B90" w:rsidR="00AA4987" w:rsidRPr="009224B5" w:rsidRDefault="00AA4987" w:rsidP="00AA4987">
      <w:pPr>
        <w:pStyle w:val="ONUMFS"/>
      </w:pPr>
      <w:r>
        <w:t xml:space="preserve">Le </w:t>
      </w:r>
      <w:proofErr w:type="spellStart"/>
      <w:r>
        <w:t>JPO</w:t>
      </w:r>
      <w:proofErr w:type="spellEnd"/>
      <w:r>
        <w:t xml:space="preserve"> a présenté ses initiatives en matière d</w:t>
      </w:r>
      <w:r w:rsidR="00363E69">
        <w:t>’</w:t>
      </w:r>
      <w:r>
        <w:t>IA, notamment ses modèles d</w:t>
      </w:r>
      <w:r w:rsidR="00363E69">
        <w:t>’</w:t>
      </w:r>
      <w:r>
        <w:t>apprentissage automatique pour attribuer des symboles FI et F</w:t>
      </w:r>
      <w:r w:rsidR="005E72A2">
        <w:noBreakHyphen/>
      </w:r>
      <w:proofErr w:type="spellStart"/>
      <w:r>
        <w:t>term</w:t>
      </w:r>
      <w:proofErr w:type="spellEnd"/>
      <w:r>
        <w:t xml:space="preserve"> aux documents de </w:t>
      </w:r>
      <w:r w:rsidR="00D61116">
        <w:t>brevet</w:t>
      </w:r>
      <w:r>
        <w:t xml:space="preserve"> étrangers, permettant des recherches complètes sur l</w:t>
      </w:r>
      <w:r w:rsidR="00363E69">
        <w:t>’</w:t>
      </w:r>
      <w:r>
        <w:t>état de la technique pour les documents japonais et étrangers, ainsi qu</w:t>
      </w:r>
      <w:r w:rsidR="00363E69">
        <w:t>’</w:t>
      </w:r>
      <w:r>
        <w:t>une méthode de classement des brevets par apprentissage automatique utilisant la valeur F et la nécessité de disposer de mesures normalisées pour le classement grâce à l</w:t>
      </w:r>
      <w:r w:rsidR="00363E69">
        <w:t>’</w:t>
      </w:r>
      <w:r>
        <w:t>IA dans tous les offic</w:t>
      </w:r>
      <w:r w:rsidR="005E72A2">
        <w:t>es.  Le</w:t>
      </w:r>
      <w:r>
        <w:t xml:space="preserve"> comité a salué les efforts déployés par</w:t>
      </w:r>
      <w:r w:rsidR="00363E69">
        <w:t xml:space="preserve"> le </w:t>
      </w:r>
      <w:proofErr w:type="spellStart"/>
      <w:r w:rsidR="00363E69">
        <w:t>JPO</w:t>
      </w:r>
      <w:proofErr w:type="spellEnd"/>
      <w:r>
        <w:t xml:space="preserve"> pour étudier l</w:t>
      </w:r>
      <w:r w:rsidR="00363E69">
        <w:t>’</w:t>
      </w:r>
      <w:r>
        <w:t>utilisation de l</w:t>
      </w:r>
      <w:r w:rsidR="00363E69">
        <w:t>’</w:t>
      </w:r>
      <w:r>
        <w:t>IA en vue de créer de nouveaux classements.</w:t>
      </w:r>
    </w:p>
    <w:p w14:paraId="5A5478C7" w14:textId="79B74698" w:rsidR="00AA4987" w:rsidRPr="006A7047" w:rsidRDefault="00AA4987" w:rsidP="00AA4987">
      <w:pPr>
        <w:pStyle w:val="ONUMFS"/>
      </w:pPr>
      <w:r>
        <w:t>Le comité a examiné les défis auxquels sont confrontés les offices, notamment les disparités en matière de performances de l</w:t>
      </w:r>
      <w:r w:rsidR="00363E69">
        <w:t>’</w:t>
      </w:r>
      <w:r>
        <w:t>IA entre les différents domaines techniques, les limites dans le traitement de certains secteurs de classement (par exemple, ceux qui reposent fortement sur des chiffres), la nécessité de disposer de données d</w:t>
      </w:r>
      <w:r w:rsidR="00363E69">
        <w:t>’</w:t>
      </w:r>
      <w:r>
        <w:t>apprentissage de qualité et de tirer parti des commentaires des examinateurs pour améliorer la précision des classements au fil du tem</w:t>
      </w:r>
      <w:r w:rsidR="005E72A2">
        <w:t>ps.  L’a</w:t>
      </w:r>
      <w:r>
        <w:t>bsence de mesures normalisées d</w:t>
      </w:r>
      <w:r w:rsidR="00363E69">
        <w:t>’</w:t>
      </w:r>
      <w:r>
        <w:t>évaluation de la qualité concernant le classement fondé sur l</w:t>
      </w:r>
      <w:r w:rsidR="00363E69">
        <w:t>’</w:t>
      </w:r>
      <w:r>
        <w:t>IA a également été soulignée.</w:t>
      </w:r>
    </w:p>
    <w:p w14:paraId="75AA5D3B" w14:textId="7A4A970E" w:rsidR="00AA4987" w:rsidRPr="006A7047" w:rsidRDefault="00AA4987" w:rsidP="00AA4987">
      <w:pPr>
        <w:pStyle w:val="ONUMFS"/>
      </w:pPr>
      <w:r>
        <w:t>Le comité a reconnu qu</w:t>
      </w:r>
      <w:r w:rsidR="00363E69">
        <w:t>’</w:t>
      </w:r>
      <w:r>
        <w:t>il était important de poursuivre l</w:t>
      </w:r>
      <w:r w:rsidR="00363E69">
        <w:t>’</w:t>
      </w:r>
      <w:r>
        <w:t>échange d</w:t>
      </w:r>
      <w:r w:rsidR="00363E69">
        <w:t>’</w:t>
      </w:r>
      <w:r>
        <w:t>informations dans ce domaine et a encouragé la poursuite de la collaboration entre les offic</w:t>
      </w:r>
      <w:r w:rsidR="005E72A2">
        <w:t>es.  Le</w:t>
      </w:r>
      <w:r w:rsidR="00363E69">
        <w:t> </w:t>
      </w:r>
      <w:proofErr w:type="spellStart"/>
      <w:r w:rsidR="00363E69">
        <w:t>JPO</w:t>
      </w:r>
      <w:proofErr w:type="spellEnd"/>
      <w:r>
        <w:t xml:space="preserve"> a proposé l</w:t>
      </w:r>
      <w:r w:rsidR="00363E69">
        <w:t>’</w:t>
      </w:r>
      <w:r>
        <w:t>établissement de critères normalisés pour le classement grâce à l</w:t>
      </w:r>
      <w:r w:rsidR="00363E69">
        <w:t>’</w:t>
      </w:r>
      <w:r>
        <w:t>IA, notamment des données d</w:t>
      </w:r>
      <w:r w:rsidR="00363E69">
        <w:t>’</w:t>
      </w:r>
      <w:r>
        <w:t>apprentissage et des paramètres d</w:t>
      </w:r>
      <w:r w:rsidR="00363E69">
        <w:t>’</w:t>
      </w:r>
      <w:r>
        <w:t>évaluation normalisés, afin de permettre la comparaison des résultats entre les offices.</w:t>
      </w:r>
    </w:p>
    <w:p w14:paraId="23C792B4" w14:textId="1AE494BB" w:rsidR="00AA4987" w:rsidRPr="006A7047" w:rsidRDefault="00AA4987" w:rsidP="00AA4987">
      <w:pPr>
        <w:pStyle w:val="ONUMFS"/>
      </w:pPr>
      <w:r>
        <w:t>Le comité a invité d</w:t>
      </w:r>
      <w:r w:rsidR="00363E69">
        <w:t>’</w:t>
      </w:r>
      <w:r>
        <w:t>autres offices à partager leurs données d</w:t>
      </w:r>
      <w:r w:rsidR="00363E69">
        <w:t>’</w:t>
      </w:r>
      <w:r>
        <w:t>expérience et leurs points de vue sur le classement fondé sur l</w:t>
      </w:r>
      <w:r w:rsidR="00363E69">
        <w:t>’</w:t>
      </w:r>
      <w:r>
        <w:t>IA lors de sa prochaine sessi</w:t>
      </w:r>
      <w:r w:rsidR="005E72A2">
        <w:t>on.  Il</w:t>
      </w:r>
      <w:r>
        <w:t xml:space="preserve"> a été informé que tous les documents relatifs aux exposés, </w:t>
      </w:r>
      <w:r w:rsidR="00363E69">
        <w:t>y compris</w:t>
      </w:r>
      <w:r>
        <w:t xml:space="preserve"> les documents antérieurs, sont mis à disposition sur le forum électronique consacré à la CIB dans le cadre du projet </w:t>
      </w:r>
      <w:hyperlink r:id="rId28" w:history="1">
        <w:r>
          <w:rPr>
            <w:rStyle w:val="Hyperlink"/>
          </w:rPr>
          <w:t>CE 524</w:t>
        </w:r>
      </w:hyperlink>
      <w:r>
        <w:t>.</w:t>
      </w:r>
    </w:p>
    <w:p w14:paraId="3A53B704" w14:textId="03C60D9D" w:rsidR="00AA4987" w:rsidRPr="000F1F4E" w:rsidRDefault="00AA4987" w:rsidP="000F1F4E">
      <w:pPr>
        <w:pStyle w:val="Heading1"/>
        <w:spacing w:after="240"/>
      </w:pPr>
      <w:r w:rsidRPr="000F1F4E">
        <w:lastRenderedPageBreak/>
        <w:t>Prochaine session du comité d</w:t>
      </w:r>
      <w:r w:rsidR="00363E69" w:rsidRPr="000F1F4E">
        <w:t>’</w:t>
      </w:r>
      <w:r w:rsidRPr="000F1F4E">
        <w:t>experts</w:t>
      </w:r>
    </w:p>
    <w:p w14:paraId="4F7F43E2" w14:textId="55D072B3" w:rsidR="00363E69" w:rsidRDefault="00AA4987" w:rsidP="00AA4987">
      <w:pPr>
        <w:pStyle w:val="ONUMFS"/>
      </w:pPr>
      <w:r>
        <w:t>Le comité a noté que la prochaine session (cinquante</w:t>
      </w:r>
      <w:r w:rsidR="005E72A2">
        <w:noBreakHyphen/>
      </w:r>
      <w:r>
        <w:t xml:space="preserve">septième) se tiendrait à Genève au début </w:t>
      </w:r>
      <w:r w:rsidR="00363E69">
        <w:t>de 2026</w:t>
      </w:r>
      <w:r>
        <w:t>, sous réserve du calendrier des réunions de l</w:t>
      </w:r>
      <w:r w:rsidR="00363E69">
        <w:t>’</w:t>
      </w:r>
      <w:r>
        <w:t>OMPI, notamment des principaux comités.</w:t>
      </w:r>
    </w:p>
    <w:p w14:paraId="11BFDAF7" w14:textId="31DB9210" w:rsidR="00AA4987" w:rsidRPr="000F1F4E" w:rsidRDefault="00AA4987" w:rsidP="000F1F4E">
      <w:pPr>
        <w:pStyle w:val="Heading1"/>
        <w:spacing w:after="240"/>
      </w:pPr>
      <w:r w:rsidRPr="000F1F4E">
        <w:t>CLÔTURE DE LA SESSION</w:t>
      </w:r>
    </w:p>
    <w:p w14:paraId="083FDE58" w14:textId="77777777" w:rsidR="00AA4987" w:rsidRPr="0000656D" w:rsidRDefault="00AA4987" w:rsidP="00045AF6">
      <w:pPr>
        <w:pStyle w:val="ONUMFS"/>
        <w:keepNext/>
        <w:rPr>
          <w:szCs w:val="22"/>
        </w:rPr>
      </w:pPr>
      <w:r>
        <w:t>Le président a prononcé la clôture de la session.</w:t>
      </w:r>
    </w:p>
    <w:p w14:paraId="15419AAE" w14:textId="65CB6C87" w:rsidR="00AA4987" w:rsidRPr="00AA4987" w:rsidRDefault="00AA4987" w:rsidP="00AA4987">
      <w:pPr>
        <w:pStyle w:val="ONUMFS"/>
        <w:ind w:left="5533"/>
        <w:rPr>
          <w:i/>
          <w:szCs w:val="22"/>
        </w:rPr>
      </w:pPr>
      <w:r w:rsidRPr="00AA4987">
        <w:rPr>
          <w:i/>
        </w:rPr>
        <w:t>Le Comité d</w:t>
      </w:r>
      <w:r w:rsidR="00363E69">
        <w:rPr>
          <w:i/>
        </w:rPr>
        <w:t>’</w:t>
      </w:r>
      <w:r w:rsidRPr="00AA4987">
        <w:rPr>
          <w:i/>
        </w:rPr>
        <w:t>experts a adopté le présent rapport à l</w:t>
      </w:r>
      <w:r w:rsidR="00363E69">
        <w:rPr>
          <w:i/>
        </w:rPr>
        <w:t>’</w:t>
      </w:r>
      <w:r w:rsidRPr="00AA4987">
        <w:rPr>
          <w:i/>
        </w:rPr>
        <w:t>unanimité par voie électronique le 17 </w:t>
      </w:r>
      <w:r w:rsidR="00363E69" w:rsidRPr="00AA4987">
        <w:rPr>
          <w:i/>
        </w:rPr>
        <w:t>mars</w:t>
      </w:r>
      <w:r w:rsidR="00363E69">
        <w:rPr>
          <w:i/>
        </w:rPr>
        <w:t> </w:t>
      </w:r>
      <w:r w:rsidR="00363E69" w:rsidRPr="00AA4987">
        <w:rPr>
          <w:i/>
        </w:rPr>
        <w:t>20</w:t>
      </w:r>
      <w:r w:rsidRPr="00AA4987">
        <w:rPr>
          <w:i/>
        </w:rPr>
        <w:t>25.</w:t>
      </w:r>
    </w:p>
    <w:p w14:paraId="10D7CE58" w14:textId="77777777" w:rsidR="00AA4987" w:rsidRPr="00F52E9C" w:rsidRDefault="00AA4987" w:rsidP="00AA4987">
      <w:pPr>
        <w:pStyle w:val="Endofdocument-Annex"/>
        <w:spacing w:before="720"/>
        <w:rPr>
          <w:caps/>
          <w:kern w:val="32"/>
          <w:szCs w:val="32"/>
        </w:rPr>
      </w:pPr>
      <w:r>
        <w:t xml:space="preserve">[Les annexes </w:t>
      </w:r>
      <w:proofErr w:type="spellStart"/>
      <w:r>
        <w:t>suivent</w:t>
      </w:r>
      <w:proofErr w:type="spellEnd"/>
      <w:r>
        <w:t>]</w:t>
      </w:r>
    </w:p>
    <w:sectPr w:rsidR="00AA4987" w:rsidRPr="00F52E9C" w:rsidSect="00AA4987">
      <w:headerReference w:type="default" r:id="rId2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1986E" w14:textId="77777777" w:rsidR="00E62190" w:rsidRDefault="00E62190">
      <w:r>
        <w:separator/>
      </w:r>
    </w:p>
  </w:endnote>
  <w:endnote w:type="continuationSeparator" w:id="0">
    <w:p w14:paraId="70B72FE3" w14:textId="77777777" w:rsidR="00E62190" w:rsidRPr="009D30E6" w:rsidRDefault="00E62190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3EB51DA9" w14:textId="77777777" w:rsidR="00E62190" w:rsidRPr="009D30E6" w:rsidRDefault="00E62190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3A165843" w14:textId="77777777" w:rsidR="00E62190" w:rsidRPr="009D30E6" w:rsidRDefault="00E62190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0AC42" w14:textId="77777777" w:rsidR="00E62190" w:rsidRDefault="00E62190">
      <w:r>
        <w:separator/>
      </w:r>
    </w:p>
  </w:footnote>
  <w:footnote w:type="continuationSeparator" w:id="0">
    <w:p w14:paraId="1BF6E1F8" w14:textId="77777777" w:rsidR="00E62190" w:rsidRDefault="00E62190" w:rsidP="007461F1">
      <w:r>
        <w:separator/>
      </w:r>
    </w:p>
    <w:p w14:paraId="6947A1D6" w14:textId="77777777" w:rsidR="00E62190" w:rsidRPr="009D30E6" w:rsidRDefault="00E62190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51C6D2E6" w14:textId="77777777" w:rsidR="00E62190" w:rsidRPr="009D30E6" w:rsidRDefault="00E62190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478B8" w14:textId="7619E913" w:rsidR="00F16975" w:rsidRPr="00B45C15" w:rsidRDefault="00AA4987" w:rsidP="00477D6B">
    <w:pPr>
      <w:jc w:val="right"/>
      <w:rPr>
        <w:caps/>
      </w:rPr>
    </w:pPr>
    <w:bookmarkStart w:id="5" w:name="Code2"/>
    <w:bookmarkEnd w:id="5"/>
    <w:r>
      <w:rPr>
        <w:caps/>
      </w:rPr>
      <w:t>IPC/CE/56/2</w:t>
    </w:r>
  </w:p>
  <w:p w14:paraId="0917E3F1" w14:textId="3C325601" w:rsidR="00F16975" w:rsidRDefault="00F16975" w:rsidP="00C67DD2">
    <w:pPr>
      <w:spacing w:after="480"/>
      <w:jc w:val="right"/>
    </w:pPr>
    <w:proofErr w:type="gramStart"/>
    <w:r>
      <w:t>page</w:t>
    </w:r>
    <w:proofErr w:type="gramEnd"/>
    <w:r w:rsidR="005E72A2">
      <w:t> </w:t>
    </w:r>
    <w:r>
      <w:fldChar w:fldCharType="begin"/>
    </w:r>
    <w:r>
      <w:instrText xml:space="preserve"> PAGE  \* MERGEFORMAT </w:instrText>
    </w:r>
    <w:r>
      <w:fldChar w:fldCharType="separate"/>
    </w:r>
    <w:r w:rsidR="00B45C1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F69AFBB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0427434">
    <w:abstractNumId w:val="2"/>
  </w:num>
  <w:num w:numId="2" w16cid:durableId="87628188">
    <w:abstractNumId w:val="4"/>
  </w:num>
  <w:num w:numId="3" w16cid:durableId="957175231">
    <w:abstractNumId w:val="0"/>
  </w:num>
  <w:num w:numId="4" w16cid:durableId="1107774267">
    <w:abstractNumId w:val="5"/>
  </w:num>
  <w:num w:numId="5" w16cid:durableId="558707724">
    <w:abstractNumId w:val="1"/>
  </w:num>
  <w:num w:numId="6" w16cid:durableId="1356731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87"/>
    <w:rsid w:val="0000417E"/>
    <w:rsid w:val="00011B7D"/>
    <w:rsid w:val="00045AF6"/>
    <w:rsid w:val="00075432"/>
    <w:rsid w:val="0009458A"/>
    <w:rsid w:val="000D3213"/>
    <w:rsid w:val="000F1F4E"/>
    <w:rsid w:val="000F5E56"/>
    <w:rsid w:val="001362EE"/>
    <w:rsid w:val="001832A6"/>
    <w:rsid w:val="00195C6E"/>
    <w:rsid w:val="001B266A"/>
    <w:rsid w:val="001B488E"/>
    <w:rsid w:val="001B77C6"/>
    <w:rsid w:val="001C198B"/>
    <w:rsid w:val="001C6508"/>
    <w:rsid w:val="001D3D56"/>
    <w:rsid w:val="00237D65"/>
    <w:rsid w:val="00237E95"/>
    <w:rsid w:val="00240654"/>
    <w:rsid w:val="002634C4"/>
    <w:rsid w:val="00285A09"/>
    <w:rsid w:val="002956DE"/>
    <w:rsid w:val="002B7CCB"/>
    <w:rsid w:val="002C530A"/>
    <w:rsid w:val="002D745F"/>
    <w:rsid w:val="002E4D1A"/>
    <w:rsid w:val="002F16BC"/>
    <w:rsid w:val="002F4E68"/>
    <w:rsid w:val="00322C0B"/>
    <w:rsid w:val="003236F0"/>
    <w:rsid w:val="00324761"/>
    <w:rsid w:val="00363E69"/>
    <w:rsid w:val="00381798"/>
    <w:rsid w:val="003845C1"/>
    <w:rsid w:val="003A5246"/>
    <w:rsid w:val="003A67A3"/>
    <w:rsid w:val="003F448D"/>
    <w:rsid w:val="004008A2"/>
    <w:rsid w:val="004025DF"/>
    <w:rsid w:val="0040540C"/>
    <w:rsid w:val="00422B9D"/>
    <w:rsid w:val="00423E3E"/>
    <w:rsid w:val="00427AF4"/>
    <w:rsid w:val="00440A54"/>
    <w:rsid w:val="004647DA"/>
    <w:rsid w:val="00477D6B"/>
    <w:rsid w:val="004D6471"/>
    <w:rsid w:val="0051455D"/>
    <w:rsid w:val="00525B63"/>
    <w:rsid w:val="00525E59"/>
    <w:rsid w:val="00533A69"/>
    <w:rsid w:val="00541348"/>
    <w:rsid w:val="005421DD"/>
    <w:rsid w:val="00554FA5"/>
    <w:rsid w:val="00555405"/>
    <w:rsid w:val="00567A4C"/>
    <w:rsid w:val="00574036"/>
    <w:rsid w:val="005821E0"/>
    <w:rsid w:val="00595F07"/>
    <w:rsid w:val="005C0DE8"/>
    <w:rsid w:val="005E6516"/>
    <w:rsid w:val="005E72A2"/>
    <w:rsid w:val="00605827"/>
    <w:rsid w:val="00616671"/>
    <w:rsid w:val="00650AFE"/>
    <w:rsid w:val="00662987"/>
    <w:rsid w:val="00681E37"/>
    <w:rsid w:val="00697FBB"/>
    <w:rsid w:val="006B0DB5"/>
    <w:rsid w:val="006D2C0A"/>
    <w:rsid w:val="00705F8A"/>
    <w:rsid w:val="007461F1"/>
    <w:rsid w:val="00761D41"/>
    <w:rsid w:val="007D6961"/>
    <w:rsid w:val="007E00FB"/>
    <w:rsid w:val="007F07CB"/>
    <w:rsid w:val="00810CEF"/>
    <w:rsid w:val="0081208D"/>
    <w:rsid w:val="00814A4A"/>
    <w:rsid w:val="008204B1"/>
    <w:rsid w:val="008334E4"/>
    <w:rsid w:val="008B2CC1"/>
    <w:rsid w:val="008E7930"/>
    <w:rsid w:val="0090731E"/>
    <w:rsid w:val="00926887"/>
    <w:rsid w:val="00966A22"/>
    <w:rsid w:val="00974CD6"/>
    <w:rsid w:val="009D30E6"/>
    <w:rsid w:val="009E3F6F"/>
    <w:rsid w:val="009F3881"/>
    <w:rsid w:val="009F499F"/>
    <w:rsid w:val="009F7294"/>
    <w:rsid w:val="00A002FD"/>
    <w:rsid w:val="00A11D74"/>
    <w:rsid w:val="00A80FA5"/>
    <w:rsid w:val="00AA4987"/>
    <w:rsid w:val="00AC0AE4"/>
    <w:rsid w:val="00AD61DB"/>
    <w:rsid w:val="00B1090C"/>
    <w:rsid w:val="00B3451A"/>
    <w:rsid w:val="00B35AF5"/>
    <w:rsid w:val="00B45C15"/>
    <w:rsid w:val="00B51619"/>
    <w:rsid w:val="00B645FC"/>
    <w:rsid w:val="00B81D9C"/>
    <w:rsid w:val="00BE0BE0"/>
    <w:rsid w:val="00C23D05"/>
    <w:rsid w:val="00C30CF8"/>
    <w:rsid w:val="00C664C8"/>
    <w:rsid w:val="00C67DD2"/>
    <w:rsid w:val="00C92808"/>
    <w:rsid w:val="00CA2142"/>
    <w:rsid w:val="00CC47E2"/>
    <w:rsid w:val="00CE75E3"/>
    <w:rsid w:val="00CF0460"/>
    <w:rsid w:val="00D43E0F"/>
    <w:rsid w:val="00D45252"/>
    <w:rsid w:val="00D61116"/>
    <w:rsid w:val="00D71B4D"/>
    <w:rsid w:val="00D75C1E"/>
    <w:rsid w:val="00D93D55"/>
    <w:rsid w:val="00DB0DD6"/>
    <w:rsid w:val="00DB1C48"/>
    <w:rsid w:val="00DC62D6"/>
    <w:rsid w:val="00DD4917"/>
    <w:rsid w:val="00DD6A16"/>
    <w:rsid w:val="00DF19E7"/>
    <w:rsid w:val="00E0091A"/>
    <w:rsid w:val="00E036FA"/>
    <w:rsid w:val="00E05F2E"/>
    <w:rsid w:val="00E11627"/>
    <w:rsid w:val="00E203AA"/>
    <w:rsid w:val="00E42201"/>
    <w:rsid w:val="00E5217A"/>
    <w:rsid w:val="00E527A5"/>
    <w:rsid w:val="00E62190"/>
    <w:rsid w:val="00E76456"/>
    <w:rsid w:val="00EC6D9D"/>
    <w:rsid w:val="00EE71CB"/>
    <w:rsid w:val="00EF0CD2"/>
    <w:rsid w:val="00F12801"/>
    <w:rsid w:val="00F16975"/>
    <w:rsid w:val="00F66152"/>
    <w:rsid w:val="00FE19E9"/>
    <w:rsid w:val="00FE7120"/>
    <w:rsid w:val="00FF3CD7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947FBD"/>
  <w15:docId w15:val="{C41CFD88-B1BF-4FE9-90DA-B89AD80B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rsid w:val="00AA498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A4987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ONUMEChar">
    <w:name w:val="ONUM E Char"/>
    <w:link w:val="ONUME"/>
    <w:rsid w:val="00AA4987"/>
    <w:rPr>
      <w:rFonts w:ascii="Arial" w:eastAsia="SimSun" w:hAnsi="Arial" w:cs="Arial"/>
      <w:sz w:val="22"/>
      <w:lang w:eastAsia="zh-CN"/>
    </w:rPr>
  </w:style>
  <w:style w:type="paragraph" w:styleId="Revision">
    <w:name w:val="Revision"/>
    <w:hidden/>
    <w:uiPriority w:val="99"/>
    <w:semiHidden/>
    <w:rsid w:val="00C23D05"/>
    <w:rPr>
      <w:rFonts w:ascii="Arial" w:eastAsia="SimSun" w:hAnsi="Arial" w:cs="Arial"/>
      <w:sz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422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3.wipo.int/classifications/ipc/ipcef/public/fr/project/C518" TargetMode="External"/><Relationship Id="rId18" Type="http://schemas.openxmlformats.org/officeDocument/2006/relationships/hyperlink" Target="https://www3.wipo.int/classifications/ipc/ipcef/public/fr/project/CE455" TargetMode="External"/><Relationship Id="rId26" Type="http://schemas.openxmlformats.org/officeDocument/2006/relationships/hyperlink" Target="https://www3.wipo.int/classifications/ipc/ipcef/public/fr/project/CE562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3.wipo.int/classifications/ipc/ipcef/public/fr/project/CE55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3.wipo.int/classifications/ipc/ipcef/public/fr/project/C517" TargetMode="External"/><Relationship Id="rId17" Type="http://schemas.openxmlformats.org/officeDocument/2006/relationships/hyperlink" Target="https://www3.wipo.int/classifications/ipc/ipcef/public/fr/project/CE454" TargetMode="External"/><Relationship Id="rId25" Type="http://schemas.openxmlformats.org/officeDocument/2006/relationships/hyperlink" Target="https://www3.wipo.int/classifications/ipc/ipcef/public/fr/project/CE56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ipo.int/edocs/mdocs/classifications/en/ipc_ce_56/ipc_ce_56_p2.pdf" TargetMode="External"/><Relationship Id="rId20" Type="http://schemas.openxmlformats.org/officeDocument/2006/relationships/hyperlink" Target="https://www3.wipo.int/classifications/ipc/ipcef/public/fr/project/CE551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classifications/ipc/ipcef/public/en/project/WG000" TargetMode="External"/><Relationship Id="rId24" Type="http://schemas.openxmlformats.org/officeDocument/2006/relationships/hyperlink" Target="https://www3.wipo.int/classifications/ipc/ipcef/public/fr/project/CE5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ipo.int/edocs/mdocs/classifications/en/ipc_ce_56/ipc_ce_56_p1.pdf" TargetMode="External"/><Relationship Id="rId23" Type="http://schemas.openxmlformats.org/officeDocument/2006/relationships/hyperlink" Target="https://www3.wipo.int/classifications/ipc/ipcef/private/fr/project/CE552" TargetMode="External"/><Relationship Id="rId28" Type="http://schemas.openxmlformats.org/officeDocument/2006/relationships/hyperlink" Target="https://www3.wipo.int/classifications/ipc/ipcef/public/fr/project/CE524" TargetMode="External"/><Relationship Id="rId10" Type="http://schemas.openxmlformats.org/officeDocument/2006/relationships/hyperlink" Target="https://www3.wipo.int/classifications/ipc/ipcef/public/fr/project/CE462" TargetMode="External"/><Relationship Id="rId19" Type="http://schemas.openxmlformats.org/officeDocument/2006/relationships/hyperlink" Target="https://www3.wipo.int/classifications/ipc/ipcef/public/fr/project/CE551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3.wipo.int/classifications/ipc/ipcef/public/fr/project/CE456" TargetMode="External"/><Relationship Id="rId14" Type="http://schemas.openxmlformats.org/officeDocument/2006/relationships/hyperlink" Target="https://www3.wipo.int/classifications/ipc/ipcef/public/fr/project/CE481" TargetMode="External"/><Relationship Id="rId22" Type="http://schemas.openxmlformats.org/officeDocument/2006/relationships/hyperlink" Target="https://www3.wipo.int/classifications/ipc/ipcef/private/fr/project/CE552" TargetMode="External"/><Relationship Id="rId27" Type="http://schemas.openxmlformats.org/officeDocument/2006/relationships/hyperlink" Target="https://www3.wipo.int/classifications/ipc/ipcef/public/fr/project/CE447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_CE_56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DE7B5-3DB0-4555-A2B0-47FF212C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IPC_CE_56 (F).dotm</Template>
  <TotalTime>5</TotalTime>
  <Pages>9</Pages>
  <Words>4559</Words>
  <Characters>24168</Characters>
  <Application>Microsoft Office Word</Application>
  <DocSecurity>0</DocSecurity>
  <Lines>371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IPC/CE/56/2</vt:lpstr>
    </vt:vector>
  </TitlesOfParts>
  <Company>WIPO</Company>
  <LinksUpToDate>false</LinksUpToDate>
  <CharactersWithSpaces>28612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IPC/CE/56/2</dc:title>
  <dc:subject/>
  <dc:creator>LE GUEN Haude</dc:creator>
  <cp:keywords>FOR OFFICIAL USE ONLY</cp:keywords>
  <dc:description/>
  <cp:lastModifiedBy>MALANGA SALAZAR Isabelle</cp:lastModifiedBy>
  <cp:revision>6</cp:revision>
  <cp:lastPrinted>2011-05-19T12:37:00Z</cp:lastPrinted>
  <dcterms:created xsi:type="dcterms:W3CDTF">2025-03-27T09:11:00Z</dcterms:created>
  <dcterms:modified xsi:type="dcterms:W3CDTF">2025-03-27T13:12:00Z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98f63ae5-c6ef-42ec-b19f-e555236411db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2025-03-21T16:35:29Z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24d72b6a-ee40-41eb-a777-1d351f0741ef</vt:lpwstr>
  </property>
  <property fmtid="{D5CDD505-2E9C-101B-9397-08002B2CF9AE}" pid="13" name="MSIP_Label_20773ee6-353b-4fb9-a59d-0b94c8c67bea_ContentBits">
    <vt:lpwstr>0</vt:lpwstr>
  </property>
  <property fmtid="{D5CDD505-2E9C-101B-9397-08002B2CF9AE}" pid="14" name="MSIP_Label_20773ee6-353b-4fb9-a59d-0b94c8c67bea_Tag">
    <vt:lpwstr>10, 0, 1, 1</vt:lpwstr>
  </property>
</Properties>
</file>