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94A5" w14:textId="7D58253F" w:rsidR="00A62416" w:rsidRPr="00E2413C" w:rsidRDefault="00A62416" w:rsidP="00A62416">
      <w:pPr>
        <w:pStyle w:val="Header"/>
        <w:jc w:val="right"/>
        <w:rPr>
          <w:rFonts w:ascii="SimSun" w:hAnsi="SimSun"/>
          <w:szCs w:val="22"/>
          <w:lang w:val="fr-FR"/>
        </w:rPr>
      </w:pPr>
      <w:r w:rsidRPr="00E2413C">
        <w:rPr>
          <w:rFonts w:ascii="SimSun" w:hAnsi="SimSun"/>
          <w:szCs w:val="22"/>
          <w:lang w:val="fr-FR"/>
        </w:rPr>
        <w:t>IPC/CE/5</w:t>
      </w:r>
      <w:r w:rsidR="00FB0965" w:rsidRPr="00E2413C">
        <w:rPr>
          <w:rFonts w:ascii="SimSun" w:hAnsi="SimSun"/>
          <w:szCs w:val="22"/>
          <w:lang w:val="fr-FR"/>
        </w:rPr>
        <w:t>6</w:t>
      </w:r>
      <w:r w:rsidRPr="00E2413C">
        <w:rPr>
          <w:rFonts w:ascii="SimSun" w:hAnsi="SimSun"/>
          <w:szCs w:val="22"/>
          <w:lang w:val="fr-FR"/>
        </w:rPr>
        <w:t>/2</w:t>
      </w:r>
    </w:p>
    <w:p w14:paraId="7CDC2C3E" w14:textId="77405C80" w:rsidR="00A62416" w:rsidRPr="00E2413C" w:rsidRDefault="00D46D8F" w:rsidP="00A62416">
      <w:pPr>
        <w:pStyle w:val="Header"/>
        <w:jc w:val="right"/>
        <w:rPr>
          <w:rFonts w:ascii="SimSun" w:hAnsi="SimSun"/>
          <w:szCs w:val="22"/>
          <w:lang w:val="fr-FR"/>
        </w:rPr>
      </w:pPr>
      <w:r w:rsidRPr="00E2413C">
        <w:rPr>
          <w:rFonts w:ascii="SimSun" w:hAnsi="SimSun" w:hint="eastAsia"/>
          <w:szCs w:val="22"/>
          <w:lang w:val="fr-FR"/>
        </w:rPr>
        <w:t>附件二</w:t>
      </w:r>
    </w:p>
    <w:p w14:paraId="28B80C92" w14:textId="5046BFBC" w:rsidR="00A62416" w:rsidRPr="00E2413C" w:rsidRDefault="00D46D8F" w:rsidP="00E2413C">
      <w:pPr>
        <w:spacing w:afterLines="100" w:after="240"/>
        <w:rPr>
          <w:rFonts w:ascii="KaiTi" w:eastAsia="KaiTi" w:hAnsi="KaiTi" w:cs="Times New Roman"/>
          <w:b/>
          <w:kern w:val="2"/>
          <w:szCs w:val="22"/>
          <w:lang w:eastAsia="en-US"/>
        </w:rPr>
      </w:pPr>
      <w:r w:rsidRPr="00E2413C">
        <w:rPr>
          <w:rFonts w:ascii="KaiTi" w:eastAsia="KaiTi" w:hAnsi="KaiTi" w:cs="Times New Roman" w:hint="eastAsia"/>
          <w:b/>
          <w:kern w:val="2"/>
          <w:szCs w:val="22"/>
          <w:lang w:eastAsia="en-US"/>
        </w:rPr>
        <w:t>议</w:t>
      </w:r>
      <w:r w:rsidR="00E2413C">
        <w:rPr>
          <w:rFonts w:ascii="KaiTi" w:eastAsia="KaiTi" w:hAnsi="KaiTi" w:cs="Times New Roman" w:hint="eastAsia"/>
          <w:b/>
          <w:kern w:val="2"/>
          <w:szCs w:val="22"/>
        </w:rPr>
        <w:t xml:space="preserve">　</w:t>
      </w:r>
      <w:r w:rsidRPr="00E2413C">
        <w:rPr>
          <w:rFonts w:ascii="KaiTi" w:eastAsia="KaiTi" w:hAnsi="KaiTi" w:cs="Times New Roman" w:hint="eastAsia"/>
          <w:b/>
          <w:kern w:val="2"/>
          <w:szCs w:val="22"/>
          <w:lang w:eastAsia="en-US"/>
        </w:rPr>
        <w:t>程</w:t>
      </w:r>
    </w:p>
    <w:p w14:paraId="54CE2FB5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会议开幕</w:t>
      </w:r>
    </w:p>
    <w:p w14:paraId="0509197C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选举主席和两名副主席</w:t>
      </w:r>
    </w:p>
    <w:p w14:paraId="6CF2CD69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五局合作第一工作组——分类工作组第二十七届会议的报告</w:t>
      </w:r>
      <w:r w:rsidRPr="00E2413C">
        <w:rPr>
          <w:rFonts w:ascii="SimSun" w:hAnsi="SimSun"/>
          <w:szCs w:val="22"/>
        </w:rPr>
        <w:br/>
      </w:r>
      <w:r w:rsidRPr="00E2413C">
        <w:rPr>
          <w:rFonts w:ascii="SimSun" w:hAnsi="SimSun" w:hint="eastAsia"/>
          <w:szCs w:val="22"/>
        </w:rPr>
        <w:t>由韩国特许厅代表五局进行口头报告。</w:t>
      </w:r>
    </w:p>
    <w:p w14:paraId="39BF1D72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IPC修订计划进展报告</w:t>
      </w:r>
      <w:r w:rsidRPr="00E2413C">
        <w:rPr>
          <w:rFonts w:ascii="SimSun" w:hAnsi="SimSun"/>
          <w:szCs w:val="22"/>
        </w:rPr>
        <w:br/>
        <w:t>见项目</w:t>
      </w:r>
      <w:hyperlink r:id="rId8" w:history="1">
        <w:r w:rsidRPr="00E2413C">
          <w:rPr>
            <w:rStyle w:val="Hyperlink"/>
            <w:rFonts w:ascii="SimSun" w:hAnsi="SimSun"/>
            <w:szCs w:val="22"/>
          </w:rPr>
          <w:t>CE</w:t>
        </w:r>
        <w:r w:rsidRPr="00E2413C">
          <w:rPr>
            <w:rStyle w:val="Hyperlink"/>
            <w:szCs w:val="22"/>
          </w:rPr>
          <w:t> </w:t>
        </w:r>
        <w:r w:rsidRPr="00E2413C">
          <w:rPr>
            <w:rStyle w:val="Hyperlink"/>
            <w:rFonts w:ascii="SimSun" w:hAnsi="SimSun"/>
            <w:szCs w:val="22"/>
          </w:rPr>
          <w:t>462</w:t>
        </w:r>
      </w:hyperlink>
      <w:r w:rsidRPr="00E2413C">
        <w:rPr>
          <w:rFonts w:ascii="SimSun" w:hAnsi="SimSun"/>
          <w:szCs w:val="22"/>
        </w:rPr>
        <w:t>。</w:t>
      </w:r>
    </w:p>
    <w:p w14:paraId="73D97242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半导体技术专家组（</w:t>
      </w:r>
      <w:proofErr w:type="spellStart"/>
      <w:r w:rsidRPr="00E2413C">
        <w:rPr>
          <w:rFonts w:ascii="SimSun" w:hAnsi="SimSun" w:hint="eastAsia"/>
          <w:szCs w:val="22"/>
        </w:rPr>
        <w:t>EGST</w:t>
      </w:r>
      <w:proofErr w:type="spellEnd"/>
      <w:r w:rsidRPr="00E2413C">
        <w:rPr>
          <w:rFonts w:ascii="SimSun" w:hAnsi="SimSun" w:hint="eastAsia"/>
          <w:szCs w:val="22"/>
        </w:rPr>
        <w:t>）的报告</w:t>
      </w:r>
      <w:r w:rsidRPr="00E2413C">
        <w:rPr>
          <w:rFonts w:ascii="SimSun" w:hAnsi="SimSun"/>
          <w:szCs w:val="22"/>
        </w:rPr>
        <w:br/>
        <w:t>见项目</w:t>
      </w:r>
      <w:hyperlink r:id="rId9" w:history="1">
        <w:r w:rsidRPr="00E2413C">
          <w:rPr>
            <w:rStyle w:val="Hyperlink"/>
            <w:rFonts w:ascii="SimSun" w:hAnsi="SimSun"/>
            <w:szCs w:val="22"/>
          </w:rPr>
          <w:t>CE</w:t>
        </w:r>
        <w:r w:rsidRPr="00E2413C">
          <w:rPr>
            <w:rStyle w:val="Hyperlink"/>
            <w:szCs w:val="22"/>
          </w:rPr>
          <w:t> </w:t>
        </w:r>
        <w:r w:rsidRPr="00E2413C">
          <w:rPr>
            <w:rStyle w:val="Hyperlink"/>
            <w:rFonts w:ascii="SimSun" w:hAnsi="SimSun"/>
            <w:szCs w:val="22"/>
          </w:rPr>
          <w:t>481</w:t>
        </w:r>
      </w:hyperlink>
      <w:r w:rsidRPr="00E2413C">
        <w:rPr>
          <w:rFonts w:ascii="SimSun" w:hAnsi="SimSun"/>
          <w:szCs w:val="22"/>
        </w:rPr>
        <w:t>。</w:t>
      </w:r>
    </w:p>
    <w:p w14:paraId="780131A1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CPC和FI修订计划进展报告</w:t>
      </w:r>
      <w:r w:rsidRPr="00E2413C">
        <w:rPr>
          <w:rFonts w:ascii="SimSun" w:hAnsi="SimSun"/>
          <w:szCs w:val="22"/>
        </w:rPr>
        <w:br/>
      </w:r>
      <w:r w:rsidRPr="00E2413C">
        <w:rPr>
          <w:rFonts w:ascii="SimSun" w:hAnsi="SimSun" w:hint="eastAsia"/>
          <w:szCs w:val="22"/>
        </w:rPr>
        <w:t>CPC由欧专局和美国专商局报告，FI由日本特许厅报告。</w:t>
      </w:r>
    </w:p>
    <w:p w14:paraId="60D9DDCE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《IPC指南》和其他IPC基本文件的修正</w:t>
      </w:r>
      <w:r w:rsidRPr="00E2413C">
        <w:rPr>
          <w:rFonts w:ascii="SimSun" w:hAnsi="SimSun"/>
          <w:szCs w:val="22"/>
        </w:rPr>
        <w:br/>
        <w:t>见项目</w:t>
      </w:r>
      <w:hyperlink r:id="rId10" w:history="1">
        <w:r w:rsidRPr="00E2413C">
          <w:rPr>
            <w:rStyle w:val="Hyperlink"/>
            <w:rFonts w:ascii="SimSun" w:hAnsi="SimSun"/>
            <w:szCs w:val="22"/>
          </w:rPr>
          <w:t>CE</w:t>
        </w:r>
        <w:r w:rsidRPr="00E2413C">
          <w:rPr>
            <w:rStyle w:val="Hyperlink"/>
            <w:szCs w:val="22"/>
          </w:rPr>
          <w:t> </w:t>
        </w:r>
        <w:r w:rsidRPr="00E2413C">
          <w:rPr>
            <w:rStyle w:val="Hyperlink"/>
            <w:rFonts w:ascii="SimSun" w:hAnsi="SimSun"/>
            <w:szCs w:val="22"/>
          </w:rPr>
          <w:t>454</w:t>
        </w:r>
      </w:hyperlink>
      <w:r w:rsidRPr="00E2413C">
        <w:rPr>
          <w:rFonts w:ascii="SimSun" w:hAnsi="SimSun"/>
          <w:szCs w:val="22"/>
        </w:rPr>
        <w:t>和</w:t>
      </w:r>
      <w:hyperlink r:id="rId11" w:history="1">
        <w:r w:rsidRPr="00E2413C">
          <w:rPr>
            <w:rStyle w:val="Hyperlink"/>
            <w:rFonts w:ascii="SimSun" w:hAnsi="SimSun"/>
            <w:szCs w:val="22"/>
          </w:rPr>
          <w:t>CE</w:t>
        </w:r>
        <w:r w:rsidRPr="00E2413C">
          <w:rPr>
            <w:rStyle w:val="Hyperlink"/>
            <w:szCs w:val="22"/>
          </w:rPr>
          <w:t> </w:t>
        </w:r>
        <w:r w:rsidRPr="00E2413C">
          <w:rPr>
            <w:rStyle w:val="Hyperlink"/>
            <w:rFonts w:ascii="SimSun" w:hAnsi="SimSun"/>
            <w:szCs w:val="22"/>
          </w:rPr>
          <w:t>455</w:t>
        </w:r>
      </w:hyperlink>
      <w:r w:rsidRPr="00E2413C">
        <w:rPr>
          <w:rFonts w:ascii="SimSun" w:hAnsi="SimSun"/>
          <w:szCs w:val="22"/>
        </w:rPr>
        <w:t>。</w:t>
      </w:r>
    </w:p>
    <w:p w14:paraId="211F0C78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将新兴技术（NET）纳入IPC修订路线图的候选修订领域</w:t>
      </w:r>
      <w:r w:rsidRPr="00E2413C">
        <w:rPr>
          <w:rFonts w:ascii="SimSun" w:hAnsi="SimSun"/>
          <w:szCs w:val="22"/>
        </w:rPr>
        <w:br/>
        <w:t>见项目</w:t>
      </w:r>
      <w:hyperlink r:id="rId12" w:history="1">
        <w:r w:rsidRPr="00E2413C">
          <w:rPr>
            <w:rStyle w:val="Hyperlink"/>
            <w:rFonts w:ascii="SimSun" w:hAnsi="SimSun"/>
            <w:szCs w:val="22"/>
          </w:rPr>
          <w:t>CE</w:t>
        </w:r>
        <w:r w:rsidRPr="00E2413C">
          <w:rPr>
            <w:rStyle w:val="Hyperlink"/>
            <w:szCs w:val="22"/>
          </w:rPr>
          <w:t> </w:t>
        </w:r>
        <w:r w:rsidRPr="00E2413C">
          <w:rPr>
            <w:rStyle w:val="Hyperlink"/>
            <w:rFonts w:ascii="SimSun" w:hAnsi="SimSun"/>
            <w:szCs w:val="22"/>
          </w:rPr>
          <w:t>551</w:t>
        </w:r>
      </w:hyperlink>
      <w:r w:rsidRPr="00E2413C">
        <w:rPr>
          <w:rFonts w:ascii="SimSun" w:hAnsi="SimSun"/>
          <w:szCs w:val="22"/>
        </w:rPr>
        <w:t>。</w:t>
      </w:r>
    </w:p>
    <w:p w14:paraId="3F2E08E6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补充分类在IPC中的表示法</w:t>
      </w:r>
      <w:r w:rsidRPr="00E2413C">
        <w:rPr>
          <w:rFonts w:ascii="SimSun" w:hAnsi="SimSun"/>
          <w:szCs w:val="22"/>
        </w:rPr>
        <w:br/>
        <w:t>见项目</w:t>
      </w:r>
      <w:hyperlink r:id="rId13" w:history="1">
        <w:r w:rsidRPr="00E2413C">
          <w:rPr>
            <w:rStyle w:val="Hyperlink"/>
            <w:rFonts w:ascii="SimSun" w:hAnsi="SimSun"/>
            <w:szCs w:val="22"/>
          </w:rPr>
          <w:t>CE</w:t>
        </w:r>
        <w:r w:rsidRPr="00E2413C">
          <w:rPr>
            <w:rStyle w:val="Hyperlink"/>
            <w:szCs w:val="22"/>
          </w:rPr>
          <w:t> </w:t>
        </w:r>
        <w:r w:rsidRPr="00E2413C">
          <w:rPr>
            <w:rStyle w:val="Hyperlink"/>
            <w:rFonts w:ascii="SimSun" w:hAnsi="SimSun"/>
            <w:szCs w:val="22"/>
          </w:rPr>
          <w:t>552</w:t>
        </w:r>
      </w:hyperlink>
      <w:r w:rsidRPr="00E2413C">
        <w:rPr>
          <w:rFonts w:ascii="SimSun" w:hAnsi="SimSun"/>
          <w:szCs w:val="22"/>
        </w:rPr>
        <w:t>。</w:t>
      </w:r>
    </w:p>
    <w:p w14:paraId="641826F6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再分类状态报告和未再分类专利文献的处理</w:t>
      </w:r>
      <w:r w:rsidRPr="00E2413C">
        <w:rPr>
          <w:rFonts w:ascii="SimSun" w:hAnsi="SimSun"/>
          <w:szCs w:val="22"/>
        </w:rPr>
        <w:br/>
        <w:t>见项目</w:t>
      </w:r>
      <w:hyperlink r:id="rId14" w:history="1">
        <w:r w:rsidRPr="00E2413C">
          <w:rPr>
            <w:rStyle w:val="Hyperlink"/>
            <w:rFonts w:ascii="SimSun" w:hAnsi="SimSun"/>
            <w:szCs w:val="22"/>
          </w:rPr>
          <w:t>CE</w:t>
        </w:r>
        <w:r w:rsidRPr="00E2413C">
          <w:rPr>
            <w:rStyle w:val="Hyperlink"/>
            <w:szCs w:val="22"/>
          </w:rPr>
          <w:t> </w:t>
        </w:r>
        <w:r w:rsidRPr="00E2413C">
          <w:rPr>
            <w:rStyle w:val="Hyperlink"/>
            <w:rFonts w:ascii="SimSun" w:hAnsi="SimSun"/>
            <w:szCs w:val="22"/>
          </w:rPr>
          <w:t>569</w:t>
        </w:r>
      </w:hyperlink>
      <w:r w:rsidRPr="00E2413C">
        <w:rPr>
          <w:rFonts w:ascii="SimSun" w:hAnsi="SimSun"/>
          <w:szCs w:val="22"/>
        </w:rPr>
        <w:t>和</w:t>
      </w:r>
      <w:hyperlink r:id="rId15" w:history="1">
        <w:r w:rsidRPr="00E2413C">
          <w:rPr>
            <w:rStyle w:val="Hyperlink"/>
            <w:rFonts w:ascii="SimSun" w:hAnsi="SimSun"/>
            <w:szCs w:val="22"/>
          </w:rPr>
          <w:t>CE</w:t>
        </w:r>
        <w:r w:rsidRPr="00E2413C">
          <w:rPr>
            <w:rStyle w:val="Hyperlink"/>
            <w:szCs w:val="22"/>
          </w:rPr>
          <w:t> </w:t>
        </w:r>
        <w:r w:rsidRPr="00E2413C">
          <w:rPr>
            <w:rStyle w:val="Hyperlink"/>
            <w:rFonts w:ascii="SimSun" w:hAnsi="SimSun"/>
            <w:szCs w:val="22"/>
          </w:rPr>
          <w:t>532</w:t>
        </w:r>
      </w:hyperlink>
      <w:r w:rsidRPr="00E2413C">
        <w:rPr>
          <w:rFonts w:ascii="SimSun" w:hAnsi="SimSun"/>
          <w:szCs w:val="22"/>
        </w:rPr>
        <w:t>。</w:t>
      </w:r>
    </w:p>
    <w:p w14:paraId="22EA6D13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关于IPC相关信息技术系统的报告</w:t>
      </w:r>
      <w:r w:rsidRPr="00E2413C">
        <w:rPr>
          <w:rFonts w:ascii="SimSun" w:hAnsi="SimSun"/>
          <w:szCs w:val="22"/>
        </w:rPr>
        <w:br/>
      </w:r>
      <w:r w:rsidRPr="00E2413C">
        <w:rPr>
          <w:rFonts w:ascii="SimSun" w:hAnsi="SimSun" w:hint="eastAsia"/>
          <w:szCs w:val="22"/>
        </w:rPr>
        <w:t>由国际局介绍。</w:t>
      </w:r>
    </w:p>
    <w:p w14:paraId="166730B2" w14:textId="2EBD6BC2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各局在计算机辅助（如人工智能）分类方面的经验</w:t>
      </w:r>
      <w:r w:rsidRPr="00E2413C">
        <w:rPr>
          <w:rFonts w:ascii="SimSun" w:hAnsi="SimSun"/>
          <w:szCs w:val="22"/>
        </w:rPr>
        <w:br/>
      </w:r>
      <w:r w:rsidRPr="00E2413C">
        <w:rPr>
          <w:rFonts w:ascii="SimSun" w:hAnsi="SimSun" w:hint="eastAsia"/>
          <w:szCs w:val="22"/>
        </w:rPr>
        <w:t>由有关局介绍，并见项目</w:t>
      </w:r>
      <w:hyperlink r:id="rId16" w:history="1">
        <w:r w:rsidRPr="00E2413C">
          <w:rPr>
            <w:rStyle w:val="Hyperlink"/>
            <w:rFonts w:asciiTheme="minorEastAsia" w:eastAsiaTheme="minorEastAsia" w:hAnsiTheme="minorEastAsia"/>
            <w:szCs w:val="22"/>
          </w:rPr>
          <w:t>CE</w:t>
        </w:r>
        <w:r w:rsidRPr="00E2413C">
          <w:rPr>
            <w:rStyle w:val="Hyperlink"/>
            <w:rFonts w:eastAsiaTheme="minorEastAsia"/>
            <w:szCs w:val="22"/>
          </w:rPr>
          <w:t> </w:t>
        </w:r>
        <w:r w:rsidRPr="00E2413C">
          <w:rPr>
            <w:rStyle w:val="Hyperlink"/>
            <w:rFonts w:asciiTheme="minorEastAsia" w:eastAsiaTheme="minorEastAsia" w:hAnsiTheme="minorEastAsia"/>
            <w:szCs w:val="22"/>
          </w:rPr>
          <w:t>524</w:t>
        </w:r>
      </w:hyperlink>
      <w:r w:rsidRPr="00E2413C">
        <w:rPr>
          <w:rFonts w:asciiTheme="minorEastAsia" w:eastAsiaTheme="minorEastAsia" w:hAnsiTheme="minorEastAsia"/>
          <w:szCs w:val="22"/>
        </w:rPr>
        <w:t>。</w:t>
      </w:r>
    </w:p>
    <w:p w14:paraId="0FC3D863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专家委员会下届会议</w:t>
      </w:r>
    </w:p>
    <w:p w14:paraId="6750F886" w14:textId="77777777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会议闭幕</w:t>
      </w:r>
    </w:p>
    <w:p w14:paraId="16E2E303" w14:textId="3C2105AF" w:rsidR="00D46D8F" w:rsidRPr="00E2413C" w:rsidRDefault="00D46D8F" w:rsidP="00E2413C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00" w:lineRule="atLeast"/>
        <w:ind w:left="1134" w:hanging="1134"/>
        <w:rPr>
          <w:rFonts w:ascii="SimSun" w:hAnsi="SimSun"/>
          <w:szCs w:val="22"/>
        </w:rPr>
      </w:pPr>
      <w:r w:rsidRPr="00E2413C">
        <w:rPr>
          <w:rFonts w:ascii="SimSun" w:hAnsi="SimSun" w:hint="eastAsia"/>
          <w:szCs w:val="22"/>
        </w:rPr>
        <w:t>通过报告</w:t>
      </w:r>
    </w:p>
    <w:p w14:paraId="285B0D1D" w14:textId="1C5D4FDC" w:rsidR="00D46D8F" w:rsidRPr="00E2413C" w:rsidRDefault="00D46D8F" w:rsidP="00E2413C">
      <w:pPr>
        <w:pStyle w:val="ONUME"/>
        <w:numPr>
          <w:ilvl w:val="0"/>
          <w:numId w:val="0"/>
        </w:numPr>
        <w:spacing w:before="720" w:afterLines="50" w:after="120" w:line="340" w:lineRule="atLeast"/>
        <w:ind w:left="5534"/>
        <w:rPr>
          <w:rFonts w:ascii="SimSun" w:hAnsi="SimSun"/>
          <w:szCs w:val="22"/>
        </w:rPr>
      </w:pPr>
      <w:r w:rsidRPr="00E2413C">
        <w:rPr>
          <w:rFonts w:ascii="KaiTi" w:eastAsia="KaiTi" w:hAnsi="KaiTi"/>
          <w:szCs w:val="22"/>
        </w:rPr>
        <w:t>[</w:t>
      </w:r>
      <w:r w:rsidRPr="00E2413C">
        <w:rPr>
          <w:rFonts w:ascii="KaiTi" w:eastAsia="KaiTi" w:hAnsi="KaiTi" w:hint="eastAsia"/>
          <w:szCs w:val="22"/>
        </w:rPr>
        <w:t>附件二和文件完</w:t>
      </w:r>
      <w:r w:rsidRPr="00E2413C">
        <w:rPr>
          <w:rFonts w:ascii="KaiTi" w:eastAsia="KaiTi" w:hAnsi="KaiTi"/>
          <w:szCs w:val="22"/>
        </w:rPr>
        <w:t>]</w:t>
      </w:r>
    </w:p>
    <w:sectPr w:rsidR="00D46D8F" w:rsidRPr="00E2413C" w:rsidSect="00E773D5">
      <w:headerReference w:type="even" r:id="rId17"/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4104" w14:textId="77777777" w:rsidR="009A7155" w:rsidRDefault="009A7155">
      <w:r>
        <w:separator/>
      </w:r>
    </w:p>
  </w:endnote>
  <w:endnote w:type="continuationSeparator" w:id="0">
    <w:p w14:paraId="4DB6B8D8" w14:textId="77777777" w:rsidR="009A7155" w:rsidRDefault="009A7155" w:rsidP="003B38C1">
      <w:r>
        <w:separator/>
      </w:r>
    </w:p>
    <w:p w14:paraId="75DE1134" w14:textId="77777777" w:rsidR="009A7155" w:rsidRPr="003B38C1" w:rsidRDefault="009A715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477A4BD" w14:textId="77777777" w:rsidR="009A7155" w:rsidRPr="003B38C1" w:rsidRDefault="009A715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C7A4" w14:textId="77777777" w:rsidR="009A7155" w:rsidRDefault="009A7155">
      <w:r>
        <w:separator/>
      </w:r>
    </w:p>
  </w:footnote>
  <w:footnote w:type="continuationSeparator" w:id="0">
    <w:p w14:paraId="216889F8" w14:textId="77777777" w:rsidR="009A7155" w:rsidRDefault="009A7155" w:rsidP="008B60B2">
      <w:r>
        <w:separator/>
      </w:r>
    </w:p>
    <w:p w14:paraId="4281B9F3" w14:textId="77777777" w:rsidR="009A7155" w:rsidRPr="00ED77FB" w:rsidRDefault="009A715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D620965" w14:textId="77777777" w:rsidR="009A7155" w:rsidRPr="00ED77FB" w:rsidRDefault="009A715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DD2A" w14:textId="10D80505" w:rsidR="00E773D5" w:rsidRDefault="00E773D5" w:rsidP="00E773D5">
    <w:pPr>
      <w:jc w:val="right"/>
    </w:pPr>
    <w:r>
      <w:t>IPC/CE/5</w:t>
    </w:r>
    <w:r w:rsidR="00D46D8F">
      <w:rPr>
        <w:rFonts w:hint="eastAsia"/>
      </w:rPr>
      <w:t>6</w:t>
    </w:r>
    <w:r>
      <w:t>/</w:t>
    </w:r>
    <w:r w:rsidR="00396652">
      <w:t>2</w:t>
    </w:r>
  </w:p>
  <w:p w14:paraId="5211754A" w14:textId="54E2F710" w:rsidR="00E773D5" w:rsidRDefault="00D46D8F" w:rsidP="00E773D5">
    <w:pPr>
      <w:jc w:val="right"/>
    </w:pPr>
    <w:r>
      <w:rPr>
        <w:rFonts w:hint="eastAsia"/>
      </w:rPr>
      <w:t>附件二第</w:t>
    </w:r>
    <w:r w:rsidR="00E773D5">
      <w:fldChar w:fldCharType="begin"/>
    </w:r>
    <w:r w:rsidR="00E773D5">
      <w:instrText xml:space="preserve"> PAGE  \* MERGEFORMAT </w:instrText>
    </w:r>
    <w:r w:rsidR="00E773D5">
      <w:fldChar w:fldCharType="separate"/>
    </w:r>
    <w:r w:rsidR="00A62416">
      <w:rPr>
        <w:noProof/>
      </w:rPr>
      <w:t>2</w:t>
    </w:r>
    <w:r w:rsidR="00E773D5">
      <w:fldChar w:fldCharType="end"/>
    </w:r>
    <w:r>
      <w:rPr>
        <w:rFonts w:hint="eastAsia"/>
      </w:rPr>
      <w:t>页</w:t>
    </w:r>
  </w:p>
  <w:p w14:paraId="02CD7A58" w14:textId="77777777" w:rsidR="00E773D5" w:rsidRDefault="00E773D5" w:rsidP="00E773D5">
    <w:pPr>
      <w:jc w:val="right"/>
    </w:pPr>
  </w:p>
  <w:p w14:paraId="1FDB2902" w14:textId="77777777"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1A89" w14:textId="77777777" w:rsidR="00EC4E49" w:rsidRDefault="0049491F" w:rsidP="00477D6B">
    <w:pPr>
      <w:jc w:val="right"/>
    </w:pPr>
    <w:bookmarkStart w:id="0" w:name="Code2"/>
    <w:bookmarkEnd w:id="0"/>
    <w:r>
      <w:t>IPC/CE/5</w:t>
    </w:r>
    <w:r w:rsidR="0067425E">
      <w:t>3</w:t>
    </w:r>
    <w:r w:rsidR="00632C51">
      <w:t>/</w:t>
    </w:r>
  </w:p>
  <w:p w14:paraId="7C22CD76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773D5">
      <w:rPr>
        <w:noProof/>
      </w:rPr>
      <w:t>2</w:t>
    </w:r>
    <w:r>
      <w:fldChar w:fldCharType="end"/>
    </w:r>
  </w:p>
  <w:p w14:paraId="5E3123F2" w14:textId="77777777" w:rsidR="00EC4E49" w:rsidRDefault="00EC4E49" w:rsidP="00477D6B">
    <w:pPr>
      <w:jc w:val="right"/>
    </w:pPr>
  </w:p>
  <w:p w14:paraId="1E3CF354" w14:textId="77777777" w:rsidR="00133DE1" w:rsidRDefault="00133DE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162576">
    <w:abstractNumId w:val="2"/>
  </w:num>
  <w:num w:numId="2" w16cid:durableId="52968477">
    <w:abstractNumId w:val="4"/>
  </w:num>
  <w:num w:numId="3" w16cid:durableId="281574373">
    <w:abstractNumId w:val="0"/>
  </w:num>
  <w:num w:numId="4" w16cid:durableId="2124840873">
    <w:abstractNumId w:val="5"/>
  </w:num>
  <w:num w:numId="5" w16cid:durableId="2073382188">
    <w:abstractNumId w:val="1"/>
  </w:num>
  <w:num w:numId="6" w16cid:durableId="1279335035">
    <w:abstractNumId w:val="3"/>
  </w:num>
  <w:num w:numId="7" w16cid:durableId="44570408">
    <w:abstractNumId w:val="1"/>
  </w:num>
  <w:num w:numId="8" w16cid:durableId="360782904">
    <w:abstractNumId w:val="1"/>
  </w:num>
  <w:num w:numId="9" w16cid:durableId="1461150796">
    <w:abstractNumId w:val="1"/>
  </w:num>
  <w:num w:numId="10" w16cid:durableId="1417827913">
    <w:abstractNumId w:val="1"/>
  </w:num>
  <w:num w:numId="11" w16cid:durableId="1822850241">
    <w:abstractNumId w:val="1"/>
  </w:num>
  <w:num w:numId="12" w16cid:durableId="1875771965">
    <w:abstractNumId w:val="1"/>
  </w:num>
  <w:num w:numId="13" w16cid:durableId="777338538">
    <w:abstractNumId w:val="1"/>
  </w:num>
  <w:num w:numId="14" w16cid:durableId="201630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0C"/>
    <w:rsid w:val="000266E2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176E0"/>
    <w:rsid w:val="00122D81"/>
    <w:rsid w:val="00126C74"/>
    <w:rsid w:val="00133DE1"/>
    <w:rsid w:val="001362EE"/>
    <w:rsid w:val="00137BD6"/>
    <w:rsid w:val="00147416"/>
    <w:rsid w:val="00151663"/>
    <w:rsid w:val="001543B0"/>
    <w:rsid w:val="00172D0B"/>
    <w:rsid w:val="001770D6"/>
    <w:rsid w:val="001832A6"/>
    <w:rsid w:val="00194718"/>
    <w:rsid w:val="001D29DD"/>
    <w:rsid w:val="001E0488"/>
    <w:rsid w:val="001E0AF6"/>
    <w:rsid w:val="001E61C3"/>
    <w:rsid w:val="0021217E"/>
    <w:rsid w:val="00222187"/>
    <w:rsid w:val="0026342B"/>
    <w:rsid w:val="002634C4"/>
    <w:rsid w:val="002735C5"/>
    <w:rsid w:val="002743B9"/>
    <w:rsid w:val="002928D3"/>
    <w:rsid w:val="002A1E3B"/>
    <w:rsid w:val="002A5686"/>
    <w:rsid w:val="002B0358"/>
    <w:rsid w:val="002E00EA"/>
    <w:rsid w:val="002F1FE6"/>
    <w:rsid w:val="002F289E"/>
    <w:rsid w:val="002F4E68"/>
    <w:rsid w:val="002F55A3"/>
    <w:rsid w:val="003057E2"/>
    <w:rsid w:val="00312F7F"/>
    <w:rsid w:val="0031733B"/>
    <w:rsid w:val="0032670C"/>
    <w:rsid w:val="00332938"/>
    <w:rsid w:val="00361450"/>
    <w:rsid w:val="003637FA"/>
    <w:rsid w:val="00364E14"/>
    <w:rsid w:val="003673CF"/>
    <w:rsid w:val="003845C1"/>
    <w:rsid w:val="003902F3"/>
    <w:rsid w:val="00396652"/>
    <w:rsid w:val="00397447"/>
    <w:rsid w:val="003A316E"/>
    <w:rsid w:val="003A6F89"/>
    <w:rsid w:val="003B04DF"/>
    <w:rsid w:val="003B32E7"/>
    <w:rsid w:val="003B38C1"/>
    <w:rsid w:val="003C7976"/>
    <w:rsid w:val="003E0A6A"/>
    <w:rsid w:val="00413CE5"/>
    <w:rsid w:val="00421078"/>
    <w:rsid w:val="00423E3E"/>
    <w:rsid w:val="00425636"/>
    <w:rsid w:val="00427AF4"/>
    <w:rsid w:val="004647DA"/>
    <w:rsid w:val="00472C97"/>
    <w:rsid w:val="00474062"/>
    <w:rsid w:val="0047790D"/>
    <w:rsid w:val="00477D6B"/>
    <w:rsid w:val="00487518"/>
    <w:rsid w:val="0049491F"/>
    <w:rsid w:val="004B550D"/>
    <w:rsid w:val="004D4FB5"/>
    <w:rsid w:val="004D5344"/>
    <w:rsid w:val="004E1612"/>
    <w:rsid w:val="004E6FAD"/>
    <w:rsid w:val="005019FF"/>
    <w:rsid w:val="0053057A"/>
    <w:rsid w:val="005356DF"/>
    <w:rsid w:val="005444FA"/>
    <w:rsid w:val="00560A29"/>
    <w:rsid w:val="005723D2"/>
    <w:rsid w:val="0058043F"/>
    <w:rsid w:val="0058424D"/>
    <w:rsid w:val="005B3C8C"/>
    <w:rsid w:val="005C5CC4"/>
    <w:rsid w:val="005C6649"/>
    <w:rsid w:val="00605827"/>
    <w:rsid w:val="006123F5"/>
    <w:rsid w:val="006259C4"/>
    <w:rsid w:val="00632C51"/>
    <w:rsid w:val="006338C6"/>
    <w:rsid w:val="00646050"/>
    <w:rsid w:val="00654E00"/>
    <w:rsid w:val="006713CA"/>
    <w:rsid w:val="0067425E"/>
    <w:rsid w:val="00676C5C"/>
    <w:rsid w:val="00683F43"/>
    <w:rsid w:val="006C2BCE"/>
    <w:rsid w:val="006E4238"/>
    <w:rsid w:val="006F56F7"/>
    <w:rsid w:val="00705EEC"/>
    <w:rsid w:val="0072577C"/>
    <w:rsid w:val="00761F5D"/>
    <w:rsid w:val="00763829"/>
    <w:rsid w:val="00780EF6"/>
    <w:rsid w:val="007B42EB"/>
    <w:rsid w:val="007D1613"/>
    <w:rsid w:val="007D5336"/>
    <w:rsid w:val="007E1F7C"/>
    <w:rsid w:val="007E4C0E"/>
    <w:rsid w:val="00816901"/>
    <w:rsid w:val="00833523"/>
    <w:rsid w:val="00841060"/>
    <w:rsid w:val="008477FC"/>
    <w:rsid w:val="00882C0B"/>
    <w:rsid w:val="0089268A"/>
    <w:rsid w:val="008A415C"/>
    <w:rsid w:val="008B2CC1"/>
    <w:rsid w:val="008B60B2"/>
    <w:rsid w:val="008D51CE"/>
    <w:rsid w:val="0090731E"/>
    <w:rsid w:val="00914F59"/>
    <w:rsid w:val="00916EE2"/>
    <w:rsid w:val="009447D7"/>
    <w:rsid w:val="00944E45"/>
    <w:rsid w:val="00962B38"/>
    <w:rsid w:val="00966A22"/>
    <w:rsid w:val="0096722F"/>
    <w:rsid w:val="00980843"/>
    <w:rsid w:val="00987389"/>
    <w:rsid w:val="009A7155"/>
    <w:rsid w:val="009B509A"/>
    <w:rsid w:val="009E21F6"/>
    <w:rsid w:val="009E2791"/>
    <w:rsid w:val="009E3F6F"/>
    <w:rsid w:val="009E4EB7"/>
    <w:rsid w:val="009F499F"/>
    <w:rsid w:val="00A33CD2"/>
    <w:rsid w:val="00A42DAF"/>
    <w:rsid w:val="00A45695"/>
    <w:rsid w:val="00A45BD8"/>
    <w:rsid w:val="00A62416"/>
    <w:rsid w:val="00A85F8A"/>
    <w:rsid w:val="00A869B7"/>
    <w:rsid w:val="00A875F2"/>
    <w:rsid w:val="00A908D0"/>
    <w:rsid w:val="00AB7C2A"/>
    <w:rsid w:val="00AC205C"/>
    <w:rsid w:val="00AE62B6"/>
    <w:rsid w:val="00AF0A6B"/>
    <w:rsid w:val="00AF60CB"/>
    <w:rsid w:val="00B05A69"/>
    <w:rsid w:val="00B37A5C"/>
    <w:rsid w:val="00B45345"/>
    <w:rsid w:val="00B7046F"/>
    <w:rsid w:val="00B767BC"/>
    <w:rsid w:val="00B8388F"/>
    <w:rsid w:val="00B953BF"/>
    <w:rsid w:val="00B9734B"/>
    <w:rsid w:val="00BA30E2"/>
    <w:rsid w:val="00BB2138"/>
    <w:rsid w:val="00BB7AEB"/>
    <w:rsid w:val="00C04B13"/>
    <w:rsid w:val="00C10FE3"/>
    <w:rsid w:val="00C11BFE"/>
    <w:rsid w:val="00C1427B"/>
    <w:rsid w:val="00C25428"/>
    <w:rsid w:val="00C3111C"/>
    <w:rsid w:val="00C422CA"/>
    <w:rsid w:val="00C47CB6"/>
    <w:rsid w:val="00C5068F"/>
    <w:rsid w:val="00C87EE0"/>
    <w:rsid w:val="00C9595B"/>
    <w:rsid w:val="00CD04F1"/>
    <w:rsid w:val="00D45252"/>
    <w:rsid w:val="00D46D8F"/>
    <w:rsid w:val="00D71B4D"/>
    <w:rsid w:val="00D773B9"/>
    <w:rsid w:val="00D93D55"/>
    <w:rsid w:val="00D974AC"/>
    <w:rsid w:val="00D977FB"/>
    <w:rsid w:val="00DA0A73"/>
    <w:rsid w:val="00DB2661"/>
    <w:rsid w:val="00DB7323"/>
    <w:rsid w:val="00E15015"/>
    <w:rsid w:val="00E2413C"/>
    <w:rsid w:val="00E335FE"/>
    <w:rsid w:val="00E735DB"/>
    <w:rsid w:val="00E773D5"/>
    <w:rsid w:val="00EA732B"/>
    <w:rsid w:val="00EC43F6"/>
    <w:rsid w:val="00EC4E49"/>
    <w:rsid w:val="00ED77FB"/>
    <w:rsid w:val="00EE45FA"/>
    <w:rsid w:val="00F17203"/>
    <w:rsid w:val="00F51D6E"/>
    <w:rsid w:val="00F66152"/>
    <w:rsid w:val="00F83C38"/>
    <w:rsid w:val="00F976CD"/>
    <w:rsid w:val="00FB0965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5ADD7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62416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A62416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CE55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5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32" TargetMode="External"/><Relationship Id="rId10" Type="http://schemas.openxmlformats.org/officeDocument/2006/relationships/hyperlink" Target="https://www3.wipo.int/classifications/ipc/ipcef/public/en/project/CE4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CE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C6E-84F4-4113-A2CF-29FA13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IPC/CE/56/2 - Annex 2, Agenda,  report of the 56th session of the IPC Committee of Experts</vt:lpstr>
    </vt:vector>
  </TitlesOfParts>
  <Company>WIPO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IPC/CE/56/2 - Annex 2, Agenda,  report of the 56th session of the IPC Committee of Experts</dc:title>
  <dc:subject>Report, 56th Session, IPC Committee of Experts (IPC Union), February 25 to 27, 2025</dc:subject>
  <dc:creator>WIPO</dc:creator>
  <cp:keywords>IPC, Chinese version</cp:keywords>
  <dc:description/>
  <cp:lastModifiedBy>MALANGA SALAZAR Isabelle</cp:lastModifiedBy>
  <cp:revision>2</cp:revision>
  <cp:lastPrinted>2019-12-11T13:59:00Z</cp:lastPrinted>
  <dcterms:created xsi:type="dcterms:W3CDTF">2025-03-31T16:29:00Z</dcterms:created>
  <dcterms:modified xsi:type="dcterms:W3CDTF">2025-03-31T16:29:00Z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faa52fa7-dbcc-44a1-abe3-e600a29de75e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2024-03-20T14:00:27Z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db4dbf39-ae2d-4410-a4a1-46dfd4607463</vt:lpwstr>
  </property>
  <property fmtid="{D5CDD505-2E9C-101B-9397-08002B2CF9AE}" pid="14" name="MSIP_Label_20773ee6-353b-4fb9-a59d-0b94c8c67bea_ContentBits">
    <vt:lpwstr>0</vt:lpwstr>
  </property>
</Properties>
</file>