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F5949"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658722B3" wp14:editId="0C4B1AF3">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5197CF9A"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0E912CC6" w14:textId="21F8D7E6" w:rsidR="008B2CC1" w:rsidRPr="004A10B6" w:rsidRDefault="008D64F9" w:rsidP="00AB6BAA">
      <w:pPr>
        <w:bidi w:val="0"/>
        <w:rPr>
          <w:rFonts w:ascii="Arial Black" w:hAnsi="Arial Black"/>
          <w:caps/>
          <w:sz w:val="15"/>
          <w:szCs w:val="15"/>
          <w:lang w:val="fr-CH"/>
        </w:rPr>
      </w:pPr>
      <w:bookmarkStart w:id="0" w:name="Code"/>
      <w:bookmarkEnd w:id="0"/>
      <w:r w:rsidRPr="008D64F9">
        <w:rPr>
          <w:rFonts w:ascii="Arial Black" w:hAnsi="Arial Black"/>
          <w:caps/>
          <w:sz w:val="15"/>
          <w:szCs w:val="15"/>
        </w:rPr>
        <w:t>SCCR/43/INF/2 REV.</w:t>
      </w:r>
    </w:p>
    <w:p w14:paraId="726F6717" w14:textId="77777777" w:rsidR="008B2CC1" w:rsidRPr="008D64F9" w:rsidRDefault="00CC3E2D" w:rsidP="00CC3E2D">
      <w:pPr>
        <w:jc w:val="right"/>
        <w:rPr>
          <w:rFonts w:asciiTheme="minorHAnsi" w:hAnsiTheme="minorHAnsi" w:cstheme="minorHAnsi"/>
          <w:b/>
          <w:bCs/>
          <w:caps/>
          <w:sz w:val="15"/>
          <w:szCs w:val="15"/>
          <w:rtl/>
          <w:lang w:bidi="ar-EG"/>
        </w:rPr>
      </w:pPr>
      <w:bookmarkStart w:id="1" w:name="Original"/>
      <w:r w:rsidRPr="008D64F9">
        <w:rPr>
          <w:rFonts w:asciiTheme="minorHAnsi" w:hAnsiTheme="minorHAnsi" w:cstheme="minorHAnsi" w:hint="cs"/>
          <w:b/>
          <w:bCs/>
          <w:caps/>
          <w:sz w:val="15"/>
          <w:szCs w:val="15"/>
          <w:rtl/>
        </w:rPr>
        <w:t xml:space="preserve">الأصل: </w:t>
      </w:r>
      <w:r w:rsidR="004A10B6" w:rsidRPr="008D64F9">
        <w:rPr>
          <w:rFonts w:asciiTheme="minorHAnsi" w:hAnsiTheme="minorHAnsi" w:cstheme="minorHAnsi" w:hint="cs"/>
          <w:b/>
          <w:bCs/>
          <w:caps/>
          <w:sz w:val="15"/>
          <w:szCs w:val="15"/>
          <w:rtl/>
          <w:lang w:bidi="ar-EG"/>
        </w:rPr>
        <w:t>بالإنكليزية</w:t>
      </w:r>
    </w:p>
    <w:p w14:paraId="36D2E247" w14:textId="29421148" w:rsidR="008B2CC1" w:rsidRPr="004A10B6" w:rsidRDefault="00CC3E2D" w:rsidP="00AB6BAA">
      <w:pPr>
        <w:spacing w:after="1200"/>
        <w:jc w:val="right"/>
        <w:rPr>
          <w:rFonts w:asciiTheme="minorHAnsi" w:hAnsiTheme="minorHAnsi" w:cstheme="minorHAnsi"/>
          <w:b/>
          <w:bCs/>
          <w:caps/>
          <w:sz w:val="15"/>
          <w:szCs w:val="15"/>
          <w:lang w:val="fr-CH"/>
        </w:rPr>
      </w:pPr>
      <w:bookmarkStart w:id="2" w:name="Date"/>
      <w:bookmarkEnd w:id="1"/>
      <w:r>
        <w:rPr>
          <w:rFonts w:asciiTheme="minorHAnsi" w:hAnsiTheme="minorHAnsi" w:cstheme="minorHAnsi" w:hint="cs"/>
          <w:b/>
          <w:bCs/>
          <w:caps/>
          <w:sz w:val="15"/>
          <w:szCs w:val="15"/>
          <w:rtl/>
        </w:rPr>
        <w:t>التاريخ:</w:t>
      </w:r>
      <w:r w:rsidR="008D64F9">
        <w:rPr>
          <w:rFonts w:asciiTheme="minorHAnsi" w:hAnsiTheme="minorHAnsi" w:cstheme="minorHAnsi" w:hint="cs"/>
          <w:b/>
          <w:bCs/>
          <w:caps/>
          <w:sz w:val="15"/>
          <w:szCs w:val="15"/>
          <w:rtl/>
        </w:rPr>
        <w:t xml:space="preserve"> </w:t>
      </w:r>
      <w:r w:rsidR="008D64F9" w:rsidRPr="008D64F9">
        <w:rPr>
          <w:rFonts w:asciiTheme="minorHAnsi" w:hAnsiTheme="minorHAnsi"/>
          <w:b/>
          <w:bCs/>
          <w:caps/>
          <w:sz w:val="15"/>
          <w:szCs w:val="15"/>
          <w:rtl/>
        </w:rPr>
        <w:t>18 فبراير 2025</w:t>
      </w:r>
    </w:p>
    <w:bookmarkEnd w:id="2"/>
    <w:p w14:paraId="533FA09F" w14:textId="77777777" w:rsidR="008B2CC1" w:rsidRPr="00D67EAE" w:rsidRDefault="008E4690" w:rsidP="0019592A">
      <w:pPr>
        <w:pStyle w:val="Heading1"/>
      </w:pPr>
      <w:r>
        <w:rPr>
          <w:rtl/>
        </w:rPr>
        <w:t>اللجنة ال</w:t>
      </w:r>
      <w:r>
        <w:rPr>
          <w:rFonts w:hint="cs"/>
          <w:rtl/>
        </w:rPr>
        <w:t>دائمة المعنية بحق المؤلف والحقوق المجاورة</w:t>
      </w:r>
    </w:p>
    <w:p w14:paraId="4B01E401" w14:textId="77777777" w:rsidR="00A90F0A" w:rsidRPr="00D67EAE" w:rsidRDefault="00D67EAE" w:rsidP="00AB6BAA">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AB6BAA">
        <w:rPr>
          <w:rFonts w:asciiTheme="minorHAnsi" w:hAnsiTheme="minorHAnsi" w:cstheme="minorHAnsi" w:hint="cs"/>
          <w:bCs/>
          <w:sz w:val="24"/>
          <w:szCs w:val="24"/>
          <w:rtl/>
        </w:rPr>
        <w:t>الثالثة</w:t>
      </w:r>
      <w:r w:rsidRPr="00D67EAE">
        <w:rPr>
          <w:rFonts w:asciiTheme="minorHAnsi" w:hAnsiTheme="minorHAnsi" w:cstheme="minorHAnsi" w:hint="cs"/>
          <w:bCs/>
          <w:sz w:val="24"/>
          <w:szCs w:val="24"/>
          <w:rtl/>
        </w:rPr>
        <w:t xml:space="preserve"> والأربعون</w:t>
      </w:r>
    </w:p>
    <w:p w14:paraId="2294D7F3" w14:textId="77777777" w:rsidR="008B2CC1" w:rsidRPr="00D67EAE" w:rsidRDefault="00D67EAE" w:rsidP="00E56C4B">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AB6BAA">
        <w:rPr>
          <w:rFonts w:asciiTheme="minorHAnsi" w:hAnsiTheme="minorHAnsi" w:cstheme="minorHAnsi" w:hint="cs"/>
          <w:bCs/>
          <w:sz w:val="24"/>
          <w:szCs w:val="24"/>
          <w:rtl/>
        </w:rPr>
        <w:t>13</w:t>
      </w:r>
      <w:r w:rsidR="006C4038">
        <w:rPr>
          <w:rFonts w:asciiTheme="minorHAnsi" w:hAnsiTheme="minorHAnsi" w:cstheme="minorHAnsi" w:hint="cs"/>
          <w:bCs/>
          <w:sz w:val="24"/>
          <w:szCs w:val="24"/>
          <w:rtl/>
        </w:rPr>
        <w:t xml:space="preserve"> إلى </w:t>
      </w:r>
      <w:r w:rsidR="00E56C4B">
        <w:rPr>
          <w:rFonts w:asciiTheme="minorHAnsi" w:hAnsiTheme="minorHAnsi" w:cstheme="minorHAnsi" w:hint="cs"/>
          <w:bCs/>
          <w:sz w:val="24"/>
          <w:szCs w:val="24"/>
          <w:rtl/>
        </w:rPr>
        <w:t>17</w:t>
      </w:r>
      <w:r w:rsidR="006C4038">
        <w:rPr>
          <w:rFonts w:asciiTheme="minorHAnsi" w:hAnsiTheme="minorHAnsi" w:cstheme="minorHAnsi" w:hint="cs"/>
          <w:bCs/>
          <w:sz w:val="24"/>
          <w:szCs w:val="24"/>
          <w:rtl/>
        </w:rPr>
        <w:t xml:space="preserve"> </w:t>
      </w:r>
      <w:r w:rsidR="00AB6BAA">
        <w:rPr>
          <w:rFonts w:asciiTheme="minorHAnsi" w:hAnsiTheme="minorHAnsi" w:cstheme="minorHAnsi" w:hint="cs"/>
          <w:bCs/>
          <w:sz w:val="24"/>
          <w:szCs w:val="24"/>
          <w:rtl/>
        </w:rPr>
        <w:t xml:space="preserve">مارس </w:t>
      </w:r>
      <w:r w:rsidR="006C4038">
        <w:rPr>
          <w:rFonts w:asciiTheme="minorHAnsi" w:hAnsiTheme="minorHAnsi" w:cstheme="minorHAnsi" w:hint="cs"/>
          <w:bCs/>
          <w:sz w:val="24"/>
          <w:szCs w:val="24"/>
          <w:rtl/>
        </w:rPr>
        <w:t>202</w:t>
      </w:r>
      <w:r w:rsidR="00AB6BAA">
        <w:rPr>
          <w:rFonts w:asciiTheme="minorHAnsi" w:hAnsiTheme="minorHAnsi" w:cstheme="minorHAnsi" w:hint="cs"/>
          <w:bCs/>
          <w:sz w:val="24"/>
          <w:szCs w:val="24"/>
          <w:rtl/>
        </w:rPr>
        <w:t>3</w:t>
      </w:r>
    </w:p>
    <w:p w14:paraId="432D5A19" w14:textId="37637714" w:rsidR="008B2CC1" w:rsidRPr="00D67EAE" w:rsidRDefault="008D64F9" w:rsidP="00DD7B7F">
      <w:pPr>
        <w:spacing w:after="360"/>
        <w:outlineLvl w:val="0"/>
        <w:rPr>
          <w:rFonts w:asciiTheme="minorHAnsi" w:hAnsiTheme="minorHAnsi" w:cstheme="minorHAnsi"/>
          <w:caps/>
          <w:sz w:val="24"/>
        </w:rPr>
      </w:pPr>
      <w:bookmarkStart w:id="3" w:name="TitleOfDoc"/>
      <w:r w:rsidRPr="008D64F9">
        <w:rPr>
          <w:rFonts w:asciiTheme="minorHAnsi" w:hAnsiTheme="minorHAnsi"/>
          <w:caps/>
          <w:sz w:val="28"/>
          <w:szCs w:val="24"/>
          <w:rtl/>
        </w:rPr>
        <w:t>مجموعة أدوات الويبو بشأن حق التتبع للفنان (الجزء الأول)</w:t>
      </w:r>
    </w:p>
    <w:p w14:paraId="3DE63C3C" w14:textId="43DBD57F" w:rsidR="002928D3" w:rsidRDefault="008D64F9" w:rsidP="001D4107">
      <w:pPr>
        <w:spacing w:after="1040"/>
        <w:rPr>
          <w:rFonts w:asciiTheme="minorHAnsi" w:hAnsiTheme="minorHAnsi"/>
          <w:iCs/>
          <w:rtl/>
        </w:rPr>
      </w:pPr>
      <w:bookmarkStart w:id="4" w:name="Prepared"/>
      <w:bookmarkEnd w:id="3"/>
      <w:bookmarkEnd w:id="4"/>
      <w:r w:rsidRPr="008D64F9">
        <w:rPr>
          <w:rFonts w:asciiTheme="minorHAnsi" w:hAnsiTheme="minorHAnsi"/>
          <w:iCs/>
          <w:rtl/>
        </w:rPr>
        <w:t>من إعداد البروفيسور سام ريكيتسون</w:t>
      </w:r>
    </w:p>
    <w:p w14:paraId="2D6A80A0" w14:textId="69D554A3" w:rsidR="008D64F9" w:rsidRDefault="008D64F9">
      <w:pPr>
        <w:bidi w:val="0"/>
        <w:rPr>
          <w:rFonts w:asciiTheme="minorHAnsi" w:hAnsiTheme="minorHAnsi"/>
          <w:iCs/>
          <w:rtl/>
        </w:rPr>
      </w:pPr>
      <w:r>
        <w:rPr>
          <w:rFonts w:asciiTheme="minorHAnsi" w:hAnsiTheme="minorHAnsi"/>
          <w:iCs/>
          <w:rtl/>
        </w:rPr>
        <w:br w:type="page"/>
      </w:r>
    </w:p>
    <w:p w14:paraId="7EFC6E4A" w14:textId="77777777" w:rsidR="008D64F9" w:rsidRPr="00850727" w:rsidRDefault="008D64F9" w:rsidP="00534856">
      <w:pPr>
        <w:pStyle w:val="Heading2"/>
        <w:rPr>
          <w:rtl/>
        </w:rPr>
      </w:pPr>
      <w:r w:rsidRPr="00850727">
        <w:rPr>
          <w:rtl/>
        </w:rPr>
        <w:lastRenderedPageBreak/>
        <w:t>معلومات عامة</w:t>
      </w:r>
    </w:p>
    <w:p w14:paraId="352018ED" w14:textId="77777777" w:rsidR="008D64F9" w:rsidRPr="008D64F9" w:rsidRDefault="008D64F9" w:rsidP="008D64F9">
      <w:pPr>
        <w:pStyle w:val="ONUMA"/>
        <w:rPr>
          <w:rtl/>
          <w:lang w:bidi="ar-LB"/>
        </w:rPr>
      </w:pPr>
      <w:r w:rsidRPr="008D64F9">
        <w:rPr>
          <w:rtl/>
          <w:lang w:bidi="ar-LB"/>
        </w:rPr>
        <w:t>يشير مصطلح "حق التتبع" عادة إلى حق الفنان في الحصول على حصة من عائدات المبيعات اللاحقة لمصنفه الأصلي - "</w:t>
      </w:r>
      <w:r w:rsidRPr="008D64F9">
        <w:rPr>
          <w:lang w:val="en-AU"/>
        </w:rPr>
        <w:t>ARR</w:t>
      </w:r>
      <w:r w:rsidRPr="008D64F9">
        <w:rPr>
          <w:rtl/>
          <w:lang w:bidi="ar-LB"/>
        </w:rPr>
        <w:t xml:space="preserve">" </w:t>
      </w:r>
      <w:r w:rsidRPr="008D64F9">
        <w:rPr>
          <w:rFonts w:hint="cs"/>
          <w:rtl/>
          <w:lang w:bidi="ar-LB"/>
        </w:rPr>
        <w:t>بالإنكليزية</w:t>
      </w:r>
      <w:r w:rsidRPr="008D64F9">
        <w:rPr>
          <w:rtl/>
          <w:lang w:bidi="ar-LB"/>
        </w:rPr>
        <w:t xml:space="preserve"> هي اختصار لـ "حق التتبع" ويُستخدم مصطلح "الأصلي" هنا للإشارة إلى التجسيد المادي الأول أو الأصلي للمصنف.</w:t>
      </w:r>
      <w:r w:rsidRPr="008D64F9">
        <w:rPr>
          <w:lang w:val="en-AU"/>
        </w:rPr>
        <w:t xml:space="preserve"> </w:t>
      </w:r>
      <w:r w:rsidRPr="008D64F9">
        <w:rPr>
          <w:rtl/>
          <w:lang w:bidi="ar-LB"/>
        </w:rPr>
        <w:t xml:space="preserve">و"حق إعادة البيع" </w:t>
      </w:r>
      <w:r w:rsidRPr="008D64F9">
        <w:rPr>
          <w:rFonts w:hint="cs"/>
          <w:rtl/>
          <w:lang w:bidi="ar-LB"/>
        </w:rPr>
        <w:t>أو "ح</w:t>
      </w:r>
      <w:r w:rsidRPr="008D64F9">
        <w:rPr>
          <w:rtl/>
          <w:lang w:bidi="ar-LB"/>
        </w:rPr>
        <w:t>ق المتابعة</w:t>
      </w:r>
      <w:r w:rsidRPr="008D64F9">
        <w:rPr>
          <w:rFonts w:hint="cs"/>
          <w:rtl/>
          <w:lang w:bidi="ar-LB"/>
        </w:rPr>
        <w:t>" أو "</w:t>
      </w:r>
      <w:r w:rsidRPr="008D64F9">
        <w:rPr>
          <w:lang w:val="en-AU"/>
        </w:rPr>
        <w:t>droit de suite</w:t>
      </w:r>
      <w:r w:rsidRPr="008D64F9">
        <w:rPr>
          <w:rFonts w:hint="cs"/>
          <w:rtl/>
          <w:lang w:bidi="ar-LB"/>
        </w:rPr>
        <w:t xml:space="preserve">" </w:t>
      </w:r>
      <w:r w:rsidRPr="008D64F9">
        <w:rPr>
          <w:rtl/>
          <w:lang w:bidi="ar-LB"/>
        </w:rPr>
        <w:t>ه</w:t>
      </w:r>
      <w:r w:rsidRPr="008D64F9">
        <w:rPr>
          <w:rFonts w:hint="cs"/>
          <w:rtl/>
          <w:lang w:bidi="ar-LB"/>
        </w:rPr>
        <w:t>ي</w:t>
      </w:r>
      <w:r w:rsidRPr="008D64F9">
        <w:rPr>
          <w:rtl/>
          <w:lang w:bidi="ar-LB"/>
        </w:rPr>
        <w:t xml:space="preserve"> المصطلحات الأخرى التي يمكن استخدامها لوصف هذا الحق.</w:t>
      </w:r>
      <w:r w:rsidRPr="008D64F9">
        <w:rPr>
          <w:vertAlign w:val="superscript"/>
          <w:lang w:val="en-AU"/>
        </w:rPr>
        <w:footnoteReference w:id="2"/>
      </w:r>
      <w:r w:rsidRPr="008D64F9">
        <w:rPr>
          <w:rtl/>
          <w:lang w:bidi="ar-LB"/>
        </w:rPr>
        <w:t xml:space="preserve"> ولكن لأغراض مجموعة الأدوات هذه، سيتم استخدام الاختصار "</w:t>
      </w:r>
      <w:r w:rsidRPr="008D64F9">
        <w:rPr>
          <w:lang w:val="en-AU"/>
        </w:rPr>
        <w:t>ARR</w:t>
      </w:r>
      <w:r w:rsidRPr="008D64F9">
        <w:rPr>
          <w:rtl/>
          <w:lang w:bidi="ar-LB"/>
        </w:rPr>
        <w:t>" في النسخة الانكليزية من هذه الوثيقة.</w:t>
      </w:r>
      <w:r w:rsidRPr="008D64F9">
        <w:rPr>
          <w:vertAlign w:val="superscript"/>
          <w:lang w:val="en-AU"/>
        </w:rPr>
        <w:footnoteReference w:id="3"/>
      </w:r>
      <w:r w:rsidRPr="008D64F9">
        <w:rPr>
          <w:lang w:val="en-AU"/>
        </w:rPr>
        <w:t xml:space="preserve"> </w:t>
      </w:r>
    </w:p>
    <w:p w14:paraId="2B69024F" w14:textId="77777777" w:rsidR="008D64F9" w:rsidRPr="008D64F9" w:rsidRDefault="008D64F9" w:rsidP="008D64F9">
      <w:pPr>
        <w:pStyle w:val="ONUMA"/>
        <w:rPr>
          <w:rtl/>
          <w:lang w:bidi="ar-LB"/>
        </w:rPr>
      </w:pPr>
      <w:r w:rsidRPr="008D64F9">
        <w:rPr>
          <w:rtl/>
          <w:lang w:bidi="ar-LB"/>
        </w:rPr>
        <w:t>بشكل عام، تستهدف مخططات حق التتبع على المستوى الوطني مصنفات الفنون البصرية - اللوحات الفنية والأعمال التصويرية الأخرى والمنحوتات والأعمال الثلاثية الأبعاد الأخرى - ولكن في بعض الحالات، قد تشمل الحماية أيضًا النسخ الأصلية للمصنفات التي يتم تصنيفها عادةً على أنها مصنفات أدبية أو درامية أو موسيقية، على سبيل المثال، المخطوطات الأصلية للكتب والمسرحيات والمقطوعات الموسيقية وما إلى ذلك.</w:t>
      </w:r>
      <w:r w:rsidRPr="008D64F9">
        <w:rPr>
          <w:lang w:val="en-AU"/>
        </w:rPr>
        <w:t xml:space="preserve"> </w:t>
      </w:r>
      <w:r w:rsidRPr="008D64F9">
        <w:rPr>
          <w:rtl/>
          <w:lang w:bidi="ar-LB"/>
        </w:rPr>
        <w:t>ولهذا السبب، قد يكون من الأفضل وصف هذا الحق بأنه "حق المؤلف"، وليس فقط "حق الفنان".</w:t>
      </w:r>
      <w:r w:rsidRPr="008D64F9">
        <w:rPr>
          <w:lang w:val="en-AU"/>
        </w:rPr>
        <w:t xml:space="preserve"> </w:t>
      </w:r>
      <w:r w:rsidRPr="008D64F9">
        <w:rPr>
          <w:rtl/>
          <w:lang w:bidi="ar-LB"/>
        </w:rPr>
        <w:t>ولكن، وبما أن معظم القوانين الوطنية التي تعترف بحق التتبع تقتصر على المصنفات الفنية، فإن الحق الذي سيتم التطرق اليه في مجموعة الأدوات هذه سيشار إليه باسم "حق الفنان"، ولكن تجدر الإشارة إلى أنه في بعض الظروف يمكن توسيع نطاق هذا الحق ليشمل مؤلفي المصنفات الأدبية أو الدرامية أو الموسيقية.</w:t>
      </w:r>
      <w:r w:rsidRPr="008D64F9">
        <w:rPr>
          <w:lang w:val="en-AU"/>
        </w:rPr>
        <w:t xml:space="preserve"> </w:t>
      </w:r>
    </w:p>
    <w:p w14:paraId="768A4BBD" w14:textId="77777777" w:rsidR="008D64F9" w:rsidRPr="008D64F9" w:rsidRDefault="008D64F9" w:rsidP="008D64F9">
      <w:pPr>
        <w:pStyle w:val="ONUMA"/>
        <w:rPr>
          <w:rtl/>
          <w:lang w:bidi="ar-LB"/>
        </w:rPr>
      </w:pPr>
      <w:r w:rsidRPr="008D64F9">
        <w:rPr>
          <w:rtl/>
          <w:lang w:bidi="ar-LB"/>
        </w:rPr>
        <w:t xml:space="preserve">حق التتبع هو حق يمكن للدول الأعضاء في اتحاد برن أن تختار الاعتراف به بموجب المادة 14 </w:t>
      </w:r>
      <w:r w:rsidRPr="008D64F9">
        <w:rPr>
          <w:i/>
          <w:rtl/>
          <w:lang w:bidi="ar-LB"/>
        </w:rPr>
        <w:t>ثالثا</w:t>
      </w:r>
      <w:r w:rsidRPr="008D64F9">
        <w:rPr>
          <w:rtl/>
          <w:lang w:bidi="ar-LB"/>
        </w:rPr>
        <w:t xml:space="preserve"> من </w:t>
      </w:r>
      <w:r w:rsidRPr="008D64F9">
        <w:rPr>
          <w:i/>
          <w:rtl/>
          <w:lang w:bidi="ar-LB"/>
        </w:rPr>
        <w:t>اتفاقية برن لحماية المصنفات الأدبية والفنية لعام 1886</w:t>
      </w:r>
      <w:r w:rsidRPr="008D64F9">
        <w:rPr>
          <w:rtl/>
          <w:lang w:bidi="ar-LB"/>
        </w:rPr>
        <w:t xml:space="preserve"> (آخر مراجعة لها في عام 1971).</w:t>
      </w:r>
      <w:r w:rsidRPr="008D64F9">
        <w:rPr>
          <w:lang w:val="en-AU"/>
        </w:rPr>
        <w:t xml:space="preserve"> </w:t>
      </w:r>
      <w:r w:rsidRPr="008D64F9">
        <w:rPr>
          <w:rtl/>
          <w:lang w:bidi="ar-LB"/>
        </w:rPr>
        <w:t>وقد تم الاعتراف حاليا بحق التتبع بأشكال مختلفة من قبل أكثر من نصف الدول الأعضاء الحالية في اتحاد برن، كما ارتفع عدد مخططات حق التتبع الوطنية بشكل كبير خلال العقدين الماضيين.</w:t>
      </w:r>
      <w:r w:rsidRPr="008D64F9">
        <w:rPr>
          <w:vertAlign w:val="superscript"/>
          <w:lang w:val="en-AU"/>
        </w:rPr>
        <w:footnoteReference w:id="4"/>
      </w:r>
      <w:r w:rsidRPr="008D64F9">
        <w:rPr>
          <w:lang w:val="en-AU"/>
        </w:rPr>
        <w:t xml:space="preserve"> </w:t>
      </w:r>
    </w:p>
    <w:p w14:paraId="328896F5" w14:textId="77777777" w:rsidR="008D64F9" w:rsidRPr="008D64F9" w:rsidRDefault="008D64F9" w:rsidP="008D64F9">
      <w:pPr>
        <w:pStyle w:val="ONUMA"/>
        <w:rPr>
          <w:rtl/>
          <w:lang w:bidi="ar-LB"/>
        </w:rPr>
      </w:pPr>
      <w:r w:rsidRPr="008D64F9">
        <w:rPr>
          <w:rtl/>
          <w:lang w:bidi="ar-LB"/>
        </w:rPr>
        <w:t>توفر المادة 14 (ثالثا) إطارًا عامًا لأي مخطط مقترح لحق التتبع على المستوى الوطني وتترك قدرًا كبيرًا من الحرية للمشرعين الوطنيين</w:t>
      </w:r>
      <w:r w:rsidRPr="008D64F9">
        <w:rPr>
          <w:rFonts w:hint="cs"/>
          <w:rtl/>
          <w:lang w:bidi="ar-LB"/>
        </w:rPr>
        <w:t xml:space="preserve"> </w:t>
      </w:r>
      <w:r w:rsidRPr="008D64F9">
        <w:rPr>
          <w:rtl/>
          <w:lang w:bidi="ar-LB"/>
        </w:rPr>
        <w:t>و</w:t>
      </w:r>
      <w:r w:rsidRPr="008D64F9">
        <w:rPr>
          <w:rFonts w:hint="cs"/>
          <w:rtl/>
          <w:lang w:bidi="ar-LB"/>
        </w:rPr>
        <w:t>و</w:t>
      </w:r>
      <w:r w:rsidRPr="008D64F9">
        <w:rPr>
          <w:rtl/>
          <w:lang w:bidi="ar-LB"/>
        </w:rPr>
        <w:t>ا</w:t>
      </w:r>
      <w:r w:rsidRPr="008D64F9">
        <w:rPr>
          <w:rFonts w:hint="cs"/>
          <w:rtl/>
          <w:lang w:bidi="ar-LB"/>
        </w:rPr>
        <w:t>ض</w:t>
      </w:r>
      <w:r w:rsidRPr="008D64F9">
        <w:rPr>
          <w:rtl/>
          <w:lang w:bidi="ar-LB"/>
        </w:rPr>
        <w:t>عي السياسات فيما يتعلق بتحديد كيفية تطبيق هذا الحق.</w:t>
      </w:r>
      <w:r w:rsidRPr="008D64F9">
        <w:rPr>
          <w:lang w:val="en-AU"/>
        </w:rPr>
        <w:t xml:space="preserve"> </w:t>
      </w:r>
      <w:r w:rsidRPr="008D64F9">
        <w:rPr>
          <w:rtl/>
          <w:lang w:bidi="ar-LB"/>
        </w:rPr>
        <w:t>ولذلك فإن الغرض من هذا الجزء من مجموعة الأدوات هو تزويد المشرعين الوطنيين بأحكام نموذجية يمكن أن توفر دليلاً مفيدًا حول كيفية صياغة تشريعات تسمح بتطبيق مخطط حق التتبع، أو تعديل مخطط موجود، في الدول الأعضاء في اتفاقية برن، مع مراعاة التقاليد والممارسات القانونية المحلية لكل دولة وكذلك الإطار العام للالتزامات الدولية التي تنص عليها اتفاقية برن.</w:t>
      </w:r>
      <w:r w:rsidRPr="008D64F9">
        <w:rPr>
          <w:lang w:val="en-AU"/>
        </w:rPr>
        <w:t xml:space="preserve"> </w:t>
      </w:r>
      <w:r w:rsidRPr="008D64F9">
        <w:rPr>
          <w:rtl/>
          <w:lang w:bidi="ar-LB"/>
        </w:rPr>
        <w:t>ويتناول الجزء الثاني من مجموعة الأدوات القضايا العملية التي قد تنشأ عند تطبيق مثل هذه المخططات، وخاصة عندما يتم ذلك من خلال منظمات الإدارة الجماعية (</w:t>
      </w:r>
      <w:r w:rsidRPr="008D64F9">
        <w:rPr>
          <w:lang w:val="en-AU"/>
        </w:rPr>
        <w:t>CMO</w:t>
      </w:r>
      <w:r w:rsidRPr="008D64F9">
        <w:rPr>
          <w:rtl/>
          <w:lang w:bidi="ar-LB"/>
        </w:rPr>
        <w:t>).</w:t>
      </w:r>
    </w:p>
    <w:p w14:paraId="46593CD4" w14:textId="77777777" w:rsidR="008D64F9" w:rsidRPr="00850727" w:rsidRDefault="008D64F9" w:rsidP="00534856">
      <w:pPr>
        <w:pStyle w:val="Heading2"/>
        <w:rPr>
          <w:rtl/>
        </w:rPr>
      </w:pPr>
      <w:r w:rsidRPr="00850727">
        <w:rPr>
          <w:rtl/>
        </w:rPr>
        <w:lastRenderedPageBreak/>
        <w:t>تاريخ مخططات حق التتبع ومبررات وجودها</w:t>
      </w:r>
      <w:r w:rsidRPr="00850727">
        <w:rPr>
          <w:vertAlign w:val="superscript"/>
          <w:lang w:bidi="ar-SA"/>
        </w:rPr>
        <w:footnoteReference w:id="5"/>
      </w:r>
      <w:r w:rsidRPr="00850727">
        <w:rPr>
          <w:lang w:bidi="ar-SA"/>
        </w:rPr>
        <w:t xml:space="preserve"> </w:t>
      </w:r>
    </w:p>
    <w:p w14:paraId="687F7498" w14:textId="77777777" w:rsidR="008D64F9" w:rsidRPr="008D64F9" w:rsidRDefault="008D64F9" w:rsidP="008D64F9">
      <w:pPr>
        <w:pStyle w:val="ONUMA"/>
        <w:rPr>
          <w:b/>
          <w:bCs/>
          <w:rtl/>
          <w:lang w:bidi="ar-LB"/>
        </w:rPr>
      </w:pPr>
      <w:r w:rsidRPr="008D64F9">
        <w:rPr>
          <w:rtl/>
          <w:lang w:bidi="ar-LB"/>
        </w:rPr>
        <w:t>تاريخيا، كانت الحجج المؤيدة لمخططات حق التتبع تعتمد على مفهومي العدالة والإثراء غير العادل.</w:t>
      </w:r>
      <w:r w:rsidRPr="008D64F9">
        <w:rPr>
          <w:lang w:val="en-AU"/>
        </w:rPr>
        <w:t xml:space="preserve"> </w:t>
      </w:r>
      <w:r w:rsidRPr="008D64F9">
        <w:rPr>
          <w:rtl/>
          <w:lang w:bidi="ar-LB"/>
        </w:rPr>
        <w:t>ولعبت العوامل العاطفية أيضاً دوراً هاماً، وبشكل خاص الحالة الشاذة التي قد تنشأ عندما يجد أحفاد أحد فناني المصنفات البصرية المتوفين أنفسهم في فقر مدقع، في حين أصبحت قيمة المصنفات الفنية، التي كانت تباع مقابل مبلغ زهيد خلال حياة الفنان، أعلى بكثير في أسواق إعادة البيع دون حصول الفنان أو أفراد عائلته على أي عائد إضافي.</w:t>
      </w:r>
      <w:r w:rsidRPr="008D64F9">
        <w:rPr>
          <w:vertAlign w:val="superscript"/>
          <w:lang w:val="en-AU"/>
        </w:rPr>
        <w:footnoteReference w:id="6"/>
      </w:r>
      <w:r w:rsidRPr="008D64F9">
        <w:rPr>
          <w:lang w:val="en-AU"/>
        </w:rPr>
        <w:t xml:space="preserve"> </w:t>
      </w:r>
    </w:p>
    <w:p w14:paraId="7CA8D46A" w14:textId="77777777" w:rsidR="008D64F9" w:rsidRPr="008D64F9" w:rsidRDefault="008D64F9" w:rsidP="008D64F9">
      <w:pPr>
        <w:pStyle w:val="ONUMA"/>
        <w:rPr>
          <w:rtl/>
          <w:lang w:bidi="ar-LB"/>
        </w:rPr>
      </w:pPr>
      <w:r w:rsidRPr="008D64F9">
        <w:rPr>
          <w:rtl/>
          <w:lang w:bidi="ar-LB"/>
        </w:rPr>
        <w:t xml:space="preserve">فرنسا هي أول دولة تدرك الحاجة إلى اصدار قانون لحق التتبع، فقد قدم ألبرت فونوا المفهوم القانوني </w:t>
      </w:r>
      <w:r w:rsidRPr="008D64F9">
        <w:rPr>
          <w:i/>
          <w:rtl/>
          <w:lang w:bidi="ar-LB"/>
        </w:rPr>
        <w:t>لحق التتبّع</w:t>
      </w:r>
      <w:r w:rsidRPr="008D64F9">
        <w:rPr>
          <w:rtl/>
          <w:lang w:bidi="ar-LB"/>
        </w:rPr>
        <w:t xml:space="preserve"> لفناني المصنفات البصرية في مقال في صحيفة </w:t>
      </w:r>
      <w:r w:rsidRPr="008D64F9">
        <w:rPr>
          <w:i/>
          <w:rtl/>
          <w:lang w:bidi="ar-LB"/>
        </w:rPr>
        <w:t>كرونيك دو باريس</w:t>
      </w:r>
      <w:r w:rsidRPr="008D64F9">
        <w:rPr>
          <w:rtl/>
          <w:lang w:bidi="ar-LB"/>
        </w:rPr>
        <w:t xml:space="preserve"> عام 1893</w:t>
      </w:r>
      <w:r w:rsidRPr="008D64F9">
        <w:rPr>
          <w:vertAlign w:val="superscript"/>
          <w:lang w:val="en-AU"/>
        </w:rPr>
        <w:footnoteReference w:id="7"/>
      </w:r>
      <w:r w:rsidRPr="008D64F9">
        <w:rPr>
          <w:rtl/>
          <w:lang w:bidi="ar-LB"/>
        </w:rPr>
        <w:t xml:space="preserve"> ، وبدأت بعد ذلك حملة للاعتراف بالحاجة إلى مثل هذا القانون في فرنسا.</w:t>
      </w:r>
      <w:r w:rsidRPr="008D64F9">
        <w:rPr>
          <w:vertAlign w:val="superscript"/>
          <w:lang w:val="en-AU"/>
        </w:rPr>
        <w:footnoteReference w:id="8"/>
      </w:r>
      <w:r w:rsidRPr="008D64F9">
        <w:rPr>
          <w:rtl/>
          <w:lang w:bidi="ar-LB"/>
        </w:rPr>
        <w:t xml:space="preserve"> .</w:t>
      </w:r>
      <w:r w:rsidRPr="008D64F9">
        <w:rPr>
          <w:lang w:val="en-AU"/>
        </w:rPr>
        <w:t xml:space="preserve"> </w:t>
      </w:r>
      <w:r w:rsidRPr="008D64F9">
        <w:rPr>
          <w:rtl/>
          <w:lang w:bidi="ar-LB"/>
        </w:rPr>
        <w:t>وأدى ذلك الأمر إلى إقرار تشريع خاص في عام 1920</w:t>
      </w:r>
      <w:r w:rsidRPr="008D64F9">
        <w:rPr>
          <w:vertAlign w:val="superscript"/>
          <w:lang w:val="en-AU"/>
        </w:rPr>
        <w:footnoteReference w:id="9"/>
      </w:r>
      <w:r w:rsidRPr="008D64F9">
        <w:rPr>
          <w:rtl/>
          <w:lang w:bidi="ar-LB"/>
        </w:rPr>
        <w:t xml:space="preserve"> ، والذي بموجبه تم منح الفنانين حقًا غير قابل للتصرف في المطالبة بمقياس متدرج يتراوح بين 1% و3% من سعر البيع الإجمالي في كل مزاد علني يتخلله عرض مصنفاتهم الأصلية للبيع.</w:t>
      </w:r>
      <w:r w:rsidRPr="008D64F9">
        <w:rPr>
          <w:vertAlign w:val="superscript"/>
          <w:lang w:val="en-AU"/>
        </w:rPr>
        <w:footnoteReference w:id="10"/>
      </w:r>
      <w:r w:rsidRPr="008D64F9">
        <w:rPr>
          <w:rtl/>
          <w:lang w:bidi="ar-LB"/>
        </w:rPr>
        <w:t xml:space="preserve"> .</w:t>
      </w:r>
      <w:r w:rsidRPr="008D64F9">
        <w:rPr>
          <w:lang w:val="en-AU"/>
        </w:rPr>
        <w:t xml:space="preserve"> </w:t>
      </w:r>
      <w:r w:rsidRPr="008D64F9">
        <w:rPr>
          <w:rtl/>
          <w:lang w:bidi="ar-LB"/>
        </w:rPr>
        <w:t>ويجب أن تكون المصنفات المباعة "أصلية" وأن تمثل "إبداعًا شخصيًا للمؤلف".</w:t>
      </w:r>
      <w:r w:rsidRPr="008D64F9">
        <w:rPr>
          <w:lang w:val="en-AU"/>
        </w:rPr>
        <w:t xml:space="preserve"> </w:t>
      </w:r>
      <w:r w:rsidRPr="008D64F9">
        <w:rPr>
          <w:rtl/>
          <w:lang w:bidi="ar-LB"/>
        </w:rPr>
        <w:t>وفي هذا السياق، تستخدم كلمة "أصلي" للإشارة إلى التجسيد الأول للمصنف، وبالتالي يتم استبعاد بعض أنواع المصنفات مثل الطباعة على الحجر والنقوش وما شابه وذلك لأنه نادراً ما تباع اللوحة أو الكتلة الأصلية بمفردها.</w:t>
      </w:r>
      <w:r w:rsidRPr="008D64F9">
        <w:rPr>
          <w:lang w:val="en-AU"/>
        </w:rPr>
        <w:t xml:space="preserve"> </w:t>
      </w:r>
      <w:r w:rsidRPr="008D64F9">
        <w:rPr>
          <w:rtl/>
          <w:lang w:bidi="ar-LB"/>
        </w:rPr>
        <w:t>كما أن استبعاد المبيعات الخاصة يعني أيضًا أن نطاق الحق الجديد كان يخض لقيود مهمة، ولكن هذا الأمر جعل عملية التحصيل أسهل في حال تم تنفيذها من قبل جمعية مؤلفين دخلت في ترتيبات مع المعارض وقاعات المزادات.</w:t>
      </w:r>
      <w:r w:rsidRPr="008D64F9">
        <w:rPr>
          <w:vertAlign w:val="superscript"/>
          <w:lang w:val="en-AU"/>
        </w:rPr>
        <w:footnoteReference w:id="11"/>
      </w:r>
      <w:r w:rsidRPr="008D64F9">
        <w:rPr>
          <w:rtl/>
          <w:lang w:bidi="ar-LB"/>
        </w:rPr>
        <w:t xml:space="preserve"> .</w:t>
      </w:r>
      <w:r w:rsidRPr="008D64F9">
        <w:rPr>
          <w:lang w:val="en-AU"/>
        </w:rPr>
        <w:t xml:space="preserve"> </w:t>
      </w:r>
    </w:p>
    <w:p w14:paraId="73E9E79B" w14:textId="77777777" w:rsidR="008D64F9" w:rsidRPr="008D64F9" w:rsidRDefault="008D64F9" w:rsidP="008D64F9">
      <w:pPr>
        <w:pStyle w:val="ONUMA"/>
        <w:rPr>
          <w:rtl/>
          <w:lang w:bidi="ar-LB"/>
        </w:rPr>
      </w:pPr>
      <w:r w:rsidRPr="008D64F9">
        <w:rPr>
          <w:rtl/>
          <w:lang w:bidi="ar-LB"/>
        </w:rPr>
        <w:t>خلال العقدين التاليين، ساهم المثال الفرنسي في إلهام عدد صغير من الدول الأعضاء الأخرى في اتفاقية برن والتي قررت اعتماد قوانين مماثلة (علما أن هذه القوانين تختلف بين بلد وآخر):</w:t>
      </w:r>
      <w:r w:rsidRPr="008D64F9">
        <w:rPr>
          <w:lang w:val="en-AU"/>
        </w:rPr>
        <w:t xml:space="preserve"> </w:t>
      </w:r>
      <w:r w:rsidRPr="008D64F9">
        <w:rPr>
          <w:rtl/>
          <w:lang w:bidi="ar-LB"/>
        </w:rPr>
        <w:t>بلجيكا في عام 1921 (مع مقياس متدرج أكثر سخاءً)،</w:t>
      </w:r>
      <w:r w:rsidRPr="008D64F9">
        <w:rPr>
          <w:vertAlign w:val="superscript"/>
          <w:lang w:val="en-AU"/>
        </w:rPr>
        <w:footnoteReference w:id="12"/>
      </w:r>
      <w:r w:rsidRPr="008D64F9">
        <w:rPr>
          <w:rtl/>
          <w:lang w:bidi="ar-LB"/>
        </w:rPr>
        <w:t xml:space="preserve"> تشيكوسلوفاكيا في عام 1926،</w:t>
      </w:r>
      <w:r w:rsidRPr="008D64F9">
        <w:rPr>
          <w:vertAlign w:val="superscript"/>
          <w:lang w:val="en-AU"/>
        </w:rPr>
        <w:footnoteReference w:id="13"/>
      </w:r>
      <w:r w:rsidRPr="008D64F9">
        <w:rPr>
          <w:rtl/>
          <w:lang w:bidi="ar-LB"/>
        </w:rPr>
        <w:t xml:space="preserve"> بولندا في عام 1935</w:t>
      </w:r>
      <w:r w:rsidRPr="008D64F9">
        <w:rPr>
          <w:vertAlign w:val="superscript"/>
          <w:lang w:val="en-AU"/>
        </w:rPr>
        <w:footnoteReference w:id="14"/>
      </w:r>
      <w:r w:rsidRPr="008D64F9">
        <w:rPr>
          <w:rtl/>
          <w:lang w:bidi="ar-LB"/>
        </w:rPr>
        <w:t xml:space="preserve"> وإيطاليا في عام 1941</w:t>
      </w:r>
      <w:r w:rsidRPr="008D64F9">
        <w:rPr>
          <w:vertAlign w:val="superscript"/>
          <w:lang w:val="en-AU"/>
        </w:rPr>
        <w:footnoteReference w:id="15"/>
      </w:r>
      <w:r w:rsidRPr="008D64F9">
        <w:rPr>
          <w:rtl/>
          <w:lang w:bidi="ar-LB"/>
        </w:rPr>
        <w:t xml:space="preserve"> (قوانين الدول الثلاثة الأخيرة تنص على أن الحصة يجب أن تُحتسب بالاستناد إلى الزيادة في قيمة المصنف المباع).</w:t>
      </w:r>
      <w:r w:rsidRPr="008D64F9">
        <w:rPr>
          <w:lang w:val="en-AU"/>
        </w:rPr>
        <w:t xml:space="preserve"> </w:t>
      </w:r>
      <w:r w:rsidRPr="008D64F9">
        <w:rPr>
          <w:rtl/>
          <w:lang w:bidi="ar-LB"/>
        </w:rPr>
        <w:t>واعتمدت أوروغواي، التي لم تكن دولة عضوة في اتفاقية برن في ذلك الوقت، صيغة سخيًا للغاية من حق التتبع في عام 1937،</w:t>
      </w:r>
      <w:r w:rsidRPr="008D64F9">
        <w:rPr>
          <w:vertAlign w:val="superscript"/>
          <w:lang w:val="en-AU"/>
        </w:rPr>
        <w:footnoteReference w:id="16"/>
      </w:r>
      <w:r w:rsidRPr="008D64F9">
        <w:rPr>
          <w:rtl/>
          <w:lang w:bidi="ar-LB"/>
        </w:rPr>
        <w:t xml:space="preserve"> وبعد الحرب العالمية الثانية، ارتفع عدد الدول التي تعترف بحق التتبع ببطء ولكن بثبات.</w:t>
      </w:r>
      <w:r w:rsidRPr="008D64F9">
        <w:rPr>
          <w:vertAlign w:val="superscript"/>
          <w:lang w:val="en-AU"/>
        </w:rPr>
        <w:footnoteReference w:id="17"/>
      </w:r>
      <w:r w:rsidRPr="008D64F9">
        <w:rPr>
          <w:lang w:val="en-AU"/>
        </w:rPr>
        <w:t xml:space="preserve"> </w:t>
      </w:r>
    </w:p>
    <w:p w14:paraId="62E8E667" w14:textId="77777777" w:rsidR="008D64F9" w:rsidRPr="008D64F9" w:rsidRDefault="008D64F9" w:rsidP="008D64F9">
      <w:pPr>
        <w:pStyle w:val="ONUMA"/>
        <w:rPr>
          <w:rtl/>
          <w:lang w:bidi="ar-LB"/>
        </w:rPr>
      </w:pPr>
      <w:r w:rsidRPr="008D64F9">
        <w:rPr>
          <w:rtl/>
          <w:lang w:bidi="ar-LB"/>
        </w:rPr>
        <w:t>وتم الاعتراف بحق التتبع ضمن إطار اتفاقية برن</w:t>
      </w:r>
      <w:r w:rsidRPr="008D64F9">
        <w:rPr>
          <w:rFonts w:hint="cs"/>
          <w:rtl/>
          <w:lang w:bidi="ar-LB"/>
        </w:rPr>
        <w:t xml:space="preserve"> خلال هذه الفترة</w:t>
      </w:r>
      <w:r w:rsidRPr="008D64F9">
        <w:rPr>
          <w:rtl/>
          <w:lang w:bidi="ar-LB"/>
        </w:rPr>
        <w:t>.</w:t>
      </w:r>
      <w:r w:rsidRPr="008D64F9">
        <w:rPr>
          <w:lang w:val="en-AU"/>
        </w:rPr>
        <w:t xml:space="preserve"> </w:t>
      </w:r>
      <w:r w:rsidRPr="008D64F9">
        <w:rPr>
          <w:rtl/>
          <w:lang w:bidi="ar-LB"/>
        </w:rPr>
        <w:t>وكانت الجمعية الأدبية والفنية الدولية (</w:t>
      </w:r>
      <w:r w:rsidRPr="008D64F9">
        <w:rPr>
          <w:lang w:val="en-AU"/>
        </w:rPr>
        <w:t>ALAI</w:t>
      </w:r>
      <w:r w:rsidRPr="008D64F9">
        <w:rPr>
          <w:rtl/>
          <w:lang w:bidi="ar-LB"/>
        </w:rPr>
        <w:t xml:space="preserve">) والمعهد الدولي للتعاون الفكري (سلف اليونسكو) من المؤيدين الأوائل لهذا الحق، وقامت الحكومة الفرنسية بوضع حق التتبع على جدول </w:t>
      </w:r>
      <w:r w:rsidRPr="008D64F9">
        <w:rPr>
          <w:rtl/>
          <w:lang w:bidi="ar-LB"/>
        </w:rPr>
        <w:lastRenderedPageBreak/>
        <w:t>أعمال مؤتمر روما للمراجعة في عام 1928.</w:t>
      </w:r>
      <w:r w:rsidRPr="008D64F9">
        <w:rPr>
          <w:vertAlign w:val="superscript"/>
          <w:lang w:val="en-AU"/>
        </w:rPr>
        <w:footnoteReference w:id="18"/>
      </w:r>
      <w:r w:rsidRPr="008D64F9">
        <w:rPr>
          <w:lang w:val="en-AU"/>
        </w:rPr>
        <w:t xml:space="preserve"> </w:t>
      </w:r>
      <w:r w:rsidRPr="008D64F9">
        <w:rPr>
          <w:rtl/>
          <w:lang w:bidi="ar-LB"/>
        </w:rPr>
        <w:t>وقد اعتمد المؤتمر قراراً يوصي الدول الأعضاء في اتفاقية برن بالنظر في اعتماد حق التتبع، على الرغم من أن عدداً من البلدان أبدت بعض التحفظات بشأنه.</w:t>
      </w:r>
      <w:r w:rsidRPr="008D64F9">
        <w:rPr>
          <w:vertAlign w:val="superscript"/>
          <w:lang w:val="en-AU"/>
        </w:rPr>
        <w:footnoteReference w:id="19"/>
      </w:r>
      <w:r w:rsidRPr="008D64F9">
        <w:rPr>
          <w:lang w:val="en-AU"/>
        </w:rPr>
        <w:t xml:space="preserve"> </w:t>
      </w:r>
      <w:r w:rsidRPr="008D64F9">
        <w:rPr>
          <w:rtl/>
          <w:lang w:bidi="ar-LB"/>
        </w:rPr>
        <w:t>وأقيمت المزيد من الدراسات خلال ثلاثينيات القرن العشرين</w:t>
      </w:r>
      <w:r w:rsidRPr="008D64F9">
        <w:rPr>
          <w:vertAlign w:val="superscript"/>
          <w:lang w:val="en-AU"/>
        </w:rPr>
        <w:footnoteReference w:id="20"/>
      </w:r>
      <w:r w:rsidRPr="008D64F9">
        <w:rPr>
          <w:rtl/>
          <w:lang w:bidi="ar-LB"/>
        </w:rPr>
        <w:t xml:space="preserve"> ولكن لم يتم التوصل إلى حكم اختياري بشأن هذا الموضوع إلا في مؤتمر بروكسل للمراجعة في عام 1948 وقد تم ادراجه في اتفاقية برن في المادة 14 (ثانيا) (المادة 14 (ثالثا) حاليا).</w:t>
      </w:r>
      <w:r w:rsidRPr="008D64F9">
        <w:rPr>
          <w:lang w:val="en-AU"/>
        </w:rPr>
        <w:t xml:space="preserve"> </w:t>
      </w:r>
      <w:r w:rsidRPr="008D64F9">
        <w:rPr>
          <w:rtl/>
          <w:lang w:bidi="ar-LB"/>
        </w:rPr>
        <w:t>ومنذ ذلك الحين، ازداد عدد الدول الأعضاء في اتفاقية برن التي أصبح لديها أحكام بشأن حق التتبع ببطء ولكن بثبات.</w:t>
      </w:r>
      <w:r w:rsidRPr="008D64F9">
        <w:rPr>
          <w:vertAlign w:val="superscript"/>
          <w:lang w:val="en-AU"/>
        </w:rPr>
        <w:footnoteReference w:id="21"/>
      </w:r>
      <w:r w:rsidRPr="008D64F9">
        <w:rPr>
          <w:lang w:val="en-AU"/>
        </w:rPr>
        <w:t xml:space="preserve"> </w:t>
      </w:r>
      <w:r w:rsidRPr="008D64F9">
        <w:rPr>
          <w:rtl/>
          <w:lang w:bidi="ar-LB"/>
        </w:rPr>
        <w:t>وتتم مناقشة متطلبات المادة 14(ثالثا) (التي تم تعديلها قليلاً في ستوكهولم في عام 1967) بمزيد من التفصيل في الفقرة 13 أدناه. وهذه التطورات التي حصلت على المستوى الوطني (وفي اتفاقية برن نفسها) كانت من دون أي شك مستوحاة من التشريع الفرنسي الأصلي بشأن هذا الموضوع، وتحمل بصماته (وهذا ينطبق بشكل خاص على توجيه المفوضية الأوروبية لعام 2001).</w:t>
      </w:r>
      <w:r w:rsidRPr="008D64F9">
        <w:rPr>
          <w:lang w:val="en-AU"/>
        </w:rPr>
        <w:t xml:space="preserve"> </w:t>
      </w:r>
    </w:p>
    <w:p w14:paraId="1BDBF96D" w14:textId="77777777" w:rsidR="008D64F9" w:rsidRPr="008D64F9" w:rsidRDefault="008D64F9" w:rsidP="008D64F9">
      <w:pPr>
        <w:pStyle w:val="ONUMA"/>
        <w:rPr>
          <w:rtl/>
          <w:lang w:bidi="ar-LB"/>
        </w:rPr>
      </w:pPr>
      <w:r w:rsidRPr="008D64F9">
        <w:rPr>
          <w:rtl/>
          <w:lang w:bidi="ar-LB"/>
        </w:rPr>
        <w:t>إن الإنصاف والعدالة للفنان وذريته يشكلان مبررات أخلاقية وعملية قوية للاعتراف بحق التتبع، وينعكس ذلك في التعليق التالي الوارد في قانون تونس النموذجي بشأن حق المؤلف في البلدان النامية (1976)، والذي يتضمن ما يلي (المادة 4 (ثانيا)):</w:t>
      </w:r>
    </w:p>
    <w:p w14:paraId="60FC95AD" w14:textId="77777777" w:rsidR="008D64F9" w:rsidRPr="008D64F9" w:rsidRDefault="008D64F9" w:rsidP="008D64F9">
      <w:pPr>
        <w:pStyle w:val="BodyText"/>
        <w:ind w:left="562"/>
        <w:rPr>
          <w:rtl/>
          <w:lang w:bidi="ar-LB"/>
        </w:rPr>
      </w:pPr>
      <w:r w:rsidRPr="008D64F9">
        <w:rPr>
          <w:rtl/>
          <w:lang w:bidi="ar-LB"/>
        </w:rPr>
        <w:t>ينشأ هذا الحكم من اعتبار عملي، ألا وهو أن المؤلفين غير المشهورين في بداية حياتهم المهنية غالباً ما يبيعون مصنفاتهم بأسعار منخفضة للغاية.</w:t>
      </w:r>
      <w:r w:rsidRPr="008D64F9">
        <w:rPr>
          <w:lang w:val="en-AU"/>
        </w:rPr>
        <w:t xml:space="preserve"> </w:t>
      </w:r>
      <w:r w:rsidRPr="008D64F9">
        <w:rPr>
          <w:rtl/>
          <w:lang w:bidi="ar-LB"/>
        </w:rPr>
        <w:t>وقد تكتسب هذه المصنفات قيمة كبيرة في وقت لاحق، ولذلك يبدو من العدل أن يستفيد المؤلف من ارتفاع قيمة مصنفه ويحصل على نسبة من سعر بيع المصنف في كل مرة يتغير فيها مالكه.</w:t>
      </w:r>
      <w:r w:rsidRPr="008D64F9">
        <w:rPr>
          <w:vertAlign w:val="superscript"/>
          <w:lang w:val="en-GB"/>
        </w:rPr>
        <w:footnoteReference w:id="22"/>
      </w:r>
      <w:r w:rsidRPr="008D64F9">
        <w:rPr>
          <w:rtl/>
          <w:lang w:bidi="ar-LB"/>
        </w:rPr>
        <w:t xml:space="preserve"> .</w:t>
      </w:r>
    </w:p>
    <w:p w14:paraId="5506E7D6" w14:textId="77777777" w:rsidR="008D64F9" w:rsidRPr="008D64F9" w:rsidRDefault="008D64F9" w:rsidP="008D64F9">
      <w:pPr>
        <w:pStyle w:val="BodyText"/>
        <w:ind w:left="562"/>
        <w:rPr>
          <w:rtl/>
          <w:lang w:bidi="ar-LB"/>
        </w:rPr>
      </w:pPr>
      <w:r w:rsidRPr="008D64F9">
        <w:rPr>
          <w:rtl/>
          <w:lang w:bidi="ar-LB"/>
        </w:rPr>
        <w:t>ومن البديهي أن يعارض المشترون والمعارض والوسطاء الآخرون هذه الحجج بقوة، فهم يؤكدون أنهم غالباً ما يتحملون مخاطر كبيرة عند "الاستثمار" في مصنفات الفنانين في بداية حياتهم المهنية وأن هؤلاء الفنانين سوف يحصلون على مكافأة كافية مع تقدمهم في السن وتطور أسواقهم.</w:t>
      </w:r>
      <w:r w:rsidRPr="008D64F9">
        <w:rPr>
          <w:lang w:val="en-AU"/>
        </w:rPr>
        <w:t xml:space="preserve"> </w:t>
      </w:r>
      <w:r w:rsidRPr="008D64F9">
        <w:rPr>
          <w:vertAlign w:val="superscript"/>
          <w:lang w:val="en-AU"/>
        </w:rPr>
        <w:footnoteReference w:id="23"/>
      </w:r>
      <w:r w:rsidRPr="008D64F9">
        <w:rPr>
          <w:rtl/>
          <w:lang w:bidi="ar-LB"/>
        </w:rPr>
        <w:t xml:space="preserve"> ومن الممكن أن يقدم كلا الجانبين حجج مقنعة وقوية بسهولة.    </w:t>
      </w:r>
    </w:p>
    <w:p w14:paraId="04F8DC5B" w14:textId="77777777" w:rsidR="008D64F9" w:rsidRPr="008D64F9" w:rsidRDefault="008D64F9" w:rsidP="008D64F9">
      <w:pPr>
        <w:pStyle w:val="ONUMA"/>
        <w:rPr>
          <w:rtl/>
          <w:lang w:bidi="ar-LB"/>
        </w:rPr>
      </w:pPr>
      <w:r w:rsidRPr="008D64F9">
        <w:rPr>
          <w:rtl/>
          <w:lang w:bidi="ar-LB"/>
        </w:rPr>
        <w:t>ومن الممكن أيضًا طرح حجج مبدئية لصالح حق التتبع على أساس الحاجة إلى تحقيق التكافؤ بين الفئات المختلفة من مبدعي المصنفات الأصلية، وخاصة عندما يؤخذ في الاعتبار وضع فناني المصنفات البصرية: بسبب الطبيعة الخاصة لمصنفاتهم، يعاني فناني المصنفات البصرية من صعوبات في استغلال حقوق المؤلف الخاصة بهم مقارنة مع فئات أخرى من المؤلفين.</w:t>
      </w:r>
      <w:r w:rsidRPr="008D64F9">
        <w:rPr>
          <w:lang w:val="en-AU"/>
        </w:rPr>
        <w:t xml:space="preserve"> </w:t>
      </w:r>
      <w:r w:rsidRPr="008D64F9">
        <w:rPr>
          <w:rtl/>
          <w:lang w:bidi="ar-LB"/>
        </w:rPr>
        <w:t>فإن حق الاستنساخ قد لا يكون مفيدا لهم كما هو الحال بالنسبة للكتاب أو الملحنين (على الرغم من أن هذا الأمر قد لا يكون صحيحًا دائمًا</w:t>
      </w:r>
      <w:r w:rsidRPr="008D64F9">
        <w:rPr>
          <w:vertAlign w:val="superscript"/>
          <w:lang w:val="en-AU"/>
        </w:rPr>
        <w:footnoteReference w:id="24"/>
      </w:r>
      <w:r w:rsidRPr="008D64F9">
        <w:rPr>
          <w:rtl/>
          <w:lang w:bidi="ar-LB"/>
        </w:rPr>
        <w:t>)، ومن ناحية أخرى، لا تتاح أمام فناني المصنفات البصرية أيضًا نفس فرص الاستغلال من خلال مختلف أشكال النقل إلى الجمهور مثل الأداء والبث.</w:t>
      </w:r>
      <w:r w:rsidRPr="008D64F9">
        <w:rPr>
          <w:lang w:val="en-AU"/>
        </w:rPr>
        <w:t xml:space="preserve"> </w:t>
      </w:r>
      <w:r w:rsidRPr="008D64F9">
        <w:rPr>
          <w:rtl/>
          <w:lang w:bidi="ar-LB"/>
        </w:rPr>
        <w:t>والمصدر الرئيسي لدخلهم هو عن طريق بيع مصنفه الأول كقطعة فنية بحد ذاتها؛ وبعد البيع الأول، تكون فرص تلقيهم دخل مستمر من ترخيص حق الاستنساخ وحق النقل إلى الجمهور ضئيلة عادةً مقارنة بزملائهم العاملين في مجالي الأدب والموسيقى.</w:t>
      </w:r>
      <w:r w:rsidRPr="008D64F9">
        <w:rPr>
          <w:lang w:val="en-AU"/>
        </w:rPr>
        <w:t xml:space="preserve"> </w:t>
      </w:r>
      <w:r w:rsidRPr="008D64F9">
        <w:rPr>
          <w:rtl/>
          <w:lang w:bidi="ar-LB"/>
        </w:rPr>
        <w:t>ولذلك يمكن اعتبار منح حق التتبع وسيلة لتصحيح هذا الخلل، وبالتالي يصبح حصول فنانو المصنفات البصرية على "إتاوات" عند إعادة بيع مصنفاتهم أمرا طبيعيا مثلما يتلقى الكاتب اتاوات عند بيع نسخة أخرى من مصنفه.</w:t>
      </w:r>
      <w:r w:rsidRPr="008D64F9">
        <w:rPr>
          <w:lang w:val="en-AU"/>
        </w:rPr>
        <w:t xml:space="preserve"> </w:t>
      </w:r>
      <w:r w:rsidRPr="008D64F9">
        <w:rPr>
          <w:rtl/>
          <w:lang w:bidi="ar-LB"/>
        </w:rPr>
        <w:t>والهدف من حق التتبع، إذن، هو جعل استغلال الفنان لمصنفه أكثر فعالية، وتصحيح الخلل الموجود في حال عدم تطبيق هذا الحق.</w:t>
      </w:r>
      <w:r w:rsidRPr="008D64F9">
        <w:rPr>
          <w:vertAlign w:val="superscript"/>
          <w:lang w:val="en-AU"/>
        </w:rPr>
        <w:footnoteReference w:id="25"/>
      </w:r>
      <w:r w:rsidRPr="008D64F9">
        <w:rPr>
          <w:lang w:val="en-AU"/>
        </w:rPr>
        <w:t xml:space="preserve"> </w:t>
      </w:r>
      <w:r w:rsidRPr="008D64F9">
        <w:rPr>
          <w:rtl/>
          <w:lang w:bidi="ar-LB"/>
        </w:rPr>
        <w:t xml:space="preserve">ومبدأ "الاستغلال" هذا موجود في عدد كبير </w:t>
      </w:r>
      <w:r w:rsidRPr="008D64F9">
        <w:rPr>
          <w:rtl/>
          <w:lang w:bidi="ar-LB"/>
        </w:rPr>
        <w:lastRenderedPageBreak/>
        <w:t>من القوانين الوطنية المعنية بحق التتبع، والتي عادة تَعتبر هذا الحق جزءًا من حق المؤلف بشكل عام، ولا تعتبره حقًا منفصلاً.</w:t>
      </w:r>
      <w:r w:rsidRPr="008D64F9">
        <w:rPr>
          <w:lang w:val="en-AU"/>
        </w:rPr>
        <w:t xml:space="preserve"> </w:t>
      </w:r>
      <w:r w:rsidRPr="008D64F9">
        <w:rPr>
          <w:rtl/>
          <w:lang w:bidi="ar-LB"/>
        </w:rPr>
        <w:t>وتتجلى هذه المقاربة في الفقرة الثالثة من توجيه المفوضية الأوروبية بشأن حق التتبع:</w:t>
      </w:r>
      <w:r w:rsidRPr="008D64F9">
        <w:rPr>
          <w:lang w:val="en-AU"/>
        </w:rPr>
        <w:t xml:space="preserve"> </w:t>
      </w:r>
    </w:p>
    <w:p w14:paraId="5A2A39D7" w14:textId="77777777" w:rsidR="008D64F9" w:rsidRPr="008D64F9" w:rsidRDefault="008D64F9" w:rsidP="008D64F9">
      <w:pPr>
        <w:pStyle w:val="BodyText"/>
        <w:ind w:left="562"/>
        <w:rPr>
          <w:rtl/>
          <w:lang w:bidi="ar-LB"/>
        </w:rPr>
      </w:pPr>
      <w:r w:rsidRPr="008D64F9">
        <w:rPr>
          <w:rtl/>
          <w:lang w:bidi="ar-LB"/>
        </w:rPr>
        <w:t>يهدف حق التتبع إلى ضمان مشاركة فناني الأعمال التصويرية والأعمال الفنية التشكيلية في النجاح الاقتصادي لأعمالهم الفنية الأصلية</w:t>
      </w:r>
      <w:r w:rsidRPr="008D64F9">
        <w:rPr>
          <w:lang w:val="en-AU"/>
        </w:rPr>
        <w:t xml:space="preserve"> </w:t>
      </w:r>
      <w:r w:rsidRPr="008D64F9">
        <w:rPr>
          <w:rtl/>
          <w:lang w:bidi="ar-LB"/>
        </w:rPr>
        <w:t>ويساعد ذلك على إعادة التوازن بين الوضع الاقتصادي لمؤلفي الأعمال التصويرية والأعمال الفنية التشكيلية وضع المبدعين الآخرين الذين يستفيدون من الاستغلال المتتالي لأعمالهم.</w:t>
      </w:r>
      <w:r w:rsidRPr="008D64F9">
        <w:rPr>
          <w:vertAlign w:val="superscript"/>
          <w:rtl/>
          <w:lang w:bidi="ar-LB"/>
        </w:rPr>
        <w:footnoteReference w:id="26"/>
      </w:r>
      <w:r w:rsidRPr="008D64F9">
        <w:rPr>
          <w:lang w:val="en-AU"/>
        </w:rPr>
        <w:t xml:space="preserve"> </w:t>
      </w:r>
    </w:p>
    <w:p w14:paraId="20F9E272" w14:textId="77777777" w:rsidR="008D64F9" w:rsidRPr="008D64F9" w:rsidRDefault="008D64F9" w:rsidP="008D64F9">
      <w:pPr>
        <w:pStyle w:val="ONUMA"/>
        <w:rPr>
          <w:rtl/>
          <w:lang w:bidi="ar-LB"/>
        </w:rPr>
      </w:pPr>
      <w:r w:rsidRPr="008D64F9">
        <w:rPr>
          <w:rtl/>
          <w:lang w:bidi="ar-LB"/>
        </w:rPr>
        <w:t>وبالاستناد إلى هذه الرؤية لحق التتبع، يمكننا اعتباره أحد الحقوق الاقتصادية التي تُمنح للفنانين، والتي لا تختلف في جوهرها عن حق الاستنساخ وحق الأداء العام وغيرها من الحقوق المماثلة، ولو كان هذا الحق مصمما خصيصًا لتلبية الظروف العملية الخاصة بالممارسة والإنتاج الفني البصري (يمكن هنا تشبيهه بحق التأجير الذي غالبًا ما ينطبق على أنواع أخرى "هشة" من المصنفات مثل برامج الكمبيوتر والأعمال السينمائية).</w:t>
      </w:r>
      <w:r w:rsidRPr="008D64F9">
        <w:rPr>
          <w:lang w:val="en-AU"/>
        </w:rPr>
        <w:t xml:space="preserve"> </w:t>
      </w:r>
      <w:r w:rsidRPr="008D64F9">
        <w:rPr>
          <w:rtl/>
          <w:lang w:bidi="ar-LB"/>
        </w:rPr>
        <w:t>وبما أن حق التتبع هو عادةً حق غير قابل للتصرف بموجب القوانين الوطنية، فقد يُعقّد هذا الواقع هذا التحليل - لا سيما أن الحقوق الاقتصادية الأخرى يمكن تداولها بحرية في الأسواق.</w:t>
      </w:r>
      <w:r w:rsidRPr="008D64F9">
        <w:rPr>
          <w:lang w:val="en-AU"/>
        </w:rPr>
        <w:t xml:space="preserve"> </w:t>
      </w:r>
      <w:r w:rsidRPr="008D64F9">
        <w:rPr>
          <w:rtl/>
          <w:lang w:bidi="ar-LB"/>
        </w:rPr>
        <w:t>ورغم أن عدم قابلية التصرف هي سمة مرتبطة عادةً بالحقوق المعنوية، يمكن تبرير عدم قابلية التصرف في هذا السياق باعتبارها تدبيراً أساسياً من تدابير "حماية المستهلك" - حماية الفنان من المشترين والوكلاء عديمي الضمير الذين قد يسعون بخلاف ذلك إلى التحايل على الحق من خلال مطالبة صاحبه بالتنازل عنه في عقد البيع الأول.</w:t>
      </w:r>
      <w:r w:rsidRPr="008D64F9">
        <w:rPr>
          <w:lang w:val="en-AU"/>
        </w:rPr>
        <w:t xml:space="preserve"> </w:t>
      </w:r>
      <w:r w:rsidRPr="008D64F9">
        <w:rPr>
          <w:rtl/>
          <w:lang w:bidi="ar-LB"/>
        </w:rPr>
        <w:t>ويصبح الدفاع عن الحماية على هذا الأساس حجة لصالح حقوق الملكية الفكرية في جميع المجالات، بالاستناد إلى أسس العدالة والإنصاف والتحفيز المعتادة.</w:t>
      </w:r>
    </w:p>
    <w:p w14:paraId="615238C1" w14:textId="77777777" w:rsidR="008D64F9" w:rsidRPr="008D64F9" w:rsidRDefault="008D64F9" w:rsidP="008D64F9">
      <w:pPr>
        <w:pStyle w:val="ONUMA"/>
        <w:rPr>
          <w:rtl/>
          <w:lang w:bidi="ar-LB"/>
        </w:rPr>
      </w:pPr>
      <w:r w:rsidRPr="008D64F9">
        <w:rPr>
          <w:rtl/>
          <w:lang w:bidi="ar-LB"/>
        </w:rPr>
        <w:t>وبالإضافة إلى "منطق التكافؤ" هذا، يمكن تقديم الحجج التالية لدعم الاعتراف بحق التتبع:</w:t>
      </w:r>
      <w:r w:rsidRPr="008D64F9">
        <w:rPr>
          <w:lang w:val="en-AU"/>
        </w:rPr>
        <w:t xml:space="preserve"> </w:t>
      </w:r>
    </w:p>
    <w:p w14:paraId="131FD8B1" w14:textId="77777777" w:rsidR="008D64F9" w:rsidRPr="008D64F9" w:rsidRDefault="008D64F9">
      <w:pPr>
        <w:pStyle w:val="ONUMA"/>
        <w:numPr>
          <w:ilvl w:val="1"/>
          <w:numId w:val="4"/>
        </w:numPr>
        <w:rPr>
          <w:rtl/>
          <w:lang w:bidi="ar-LB"/>
        </w:rPr>
      </w:pPr>
      <w:r w:rsidRPr="008D64F9">
        <w:rPr>
          <w:rtl/>
          <w:lang w:bidi="ar-LB"/>
        </w:rPr>
        <w:t>أصبح حق التتبع حاليا راسخًا بشكل واضح على المستوى الدولي باعتباره حق من حقوق المؤلفين ينطبق بشكل خاص على فناني المصنفات البصرية.</w:t>
      </w:r>
      <w:r w:rsidRPr="008D64F9">
        <w:rPr>
          <w:lang w:val="en-AU"/>
        </w:rPr>
        <w:t xml:space="preserve"> </w:t>
      </w:r>
      <w:r w:rsidRPr="008D64F9">
        <w:rPr>
          <w:rtl/>
          <w:lang w:bidi="ar-LB"/>
        </w:rPr>
        <w:t>ويتبلور هذا الأمر من خلال تاريخ اعتماد حق التتبع في اتفاقية برن لحماية المصنفات الأدبية والفنية حيث نصت المادة 14(ثانيا) (المادة 14(ثالثا) الآن) على هذا الحق ضمن إطار مراجعة بروكسل</w:t>
      </w:r>
      <w:r w:rsidRPr="008D64F9">
        <w:rPr>
          <w:rFonts w:hint="cs"/>
          <w:rtl/>
          <w:lang w:bidi="ar-LB"/>
        </w:rPr>
        <w:t xml:space="preserve"> عام 1948</w:t>
      </w:r>
      <w:r w:rsidRPr="008D64F9">
        <w:rPr>
          <w:rtl/>
          <w:lang w:bidi="ar-LB"/>
        </w:rPr>
        <w:t>.</w:t>
      </w:r>
      <w:r w:rsidRPr="008D64F9">
        <w:rPr>
          <w:lang w:val="en-AU"/>
        </w:rPr>
        <w:t xml:space="preserve"> </w:t>
      </w:r>
      <w:r w:rsidRPr="008D64F9">
        <w:rPr>
          <w:rtl/>
          <w:lang w:bidi="ar-LB"/>
        </w:rPr>
        <w:t>وسيتم تناول هذه النقطة بمزيد من التفصيل في القسم التالي.</w:t>
      </w:r>
    </w:p>
    <w:p w14:paraId="47C8C5B5" w14:textId="77777777" w:rsidR="008D64F9" w:rsidRPr="008D64F9" w:rsidRDefault="008D64F9">
      <w:pPr>
        <w:pStyle w:val="ONUMA"/>
        <w:numPr>
          <w:ilvl w:val="1"/>
          <w:numId w:val="4"/>
        </w:numPr>
        <w:rPr>
          <w:rtl/>
          <w:lang w:bidi="ar-LB"/>
        </w:rPr>
      </w:pPr>
      <w:r w:rsidRPr="008D64F9">
        <w:rPr>
          <w:rtl/>
          <w:lang w:bidi="ar-LB"/>
        </w:rPr>
        <w:t>إن حقيقة أن هذه الحماية اختيارية في الوقت الحاضر وخاضعة لمتطلب المعاملة بالمثل بموجب المادة 14(ثالثا) (انظر أدناه) لا تؤثر على الاعتراف بحق التتبع كحق للمؤلفين بموجب اتفاقية برن.</w:t>
      </w:r>
      <w:r w:rsidRPr="008D64F9">
        <w:rPr>
          <w:lang w:val="en-AU"/>
        </w:rPr>
        <w:t xml:space="preserve"> </w:t>
      </w:r>
      <w:r w:rsidRPr="008D64F9">
        <w:rPr>
          <w:rtl/>
          <w:lang w:bidi="ar-LB"/>
        </w:rPr>
        <w:t>وقد كانت هذه هي تجربة الحقوق الحصرية الأخرى المحمية الآن باعتبارها "حقوقًا ممنوحة بشكل خاص" لمواطني دول اتفاقية برن، وكان أبرزها تاريخيًا حق الترجمة.</w:t>
      </w:r>
      <w:r w:rsidRPr="008D64F9">
        <w:rPr>
          <w:vertAlign w:val="superscript"/>
          <w:lang w:val="en-AU"/>
        </w:rPr>
        <w:footnoteReference w:id="27"/>
      </w:r>
      <w:r w:rsidRPr="008D64F9">
        <w:rPr>
          <w:rtl/>
          <w:lang w:bidi="ar-LB"/>
        </w:rPr>
        <w:t xml:space="preserve">  </w:t>
      </w:r>
    </w:p>
    <w:p w14:paraId="7C558E90" w14:textId="77777777" w:rsidR="008D64F9" w:rsidRPr="008D64F9" w:rsidRDefault="008D64F9">
      <w:pPr>
        <w:pStyle w:val="ONUMA"/>
        <w:numPr>
          <w:ilvl w:val="1"/>
          <w:numId w:val="4"/>
        </w:numPr>
        <w:rPr>
          <w:rtl/>
          <w:lang w:bidi="ar-LB"/>
        </w:rPr>
      </w:pPr>
      <w:r w:rsidRPr="008D64F9">
        <w:rPr>
          <w:rtl/>
          <w:lang w:bidi="ar-LB"/>
        </w:rPr>
        <w:t>بما أن حق التتبع يتعلق بالتجسيد المادي الأول للعمل الفني وبيعه لاحقًا وليس بنسخ أو نقل المصنف إلى الجمهور (أي أن الاستخدامات اللاحقة للعمل الفني غير مهمة بالنسبة للفنان)، فان هذا الأمر لا يشكل عائقًا أمام استخدام هذا الحق كوسيلة لتحقيق نوع من التوازن بين حقوق فناني المصنفات البصرية وحقوق فئات أخرى من المؤلفين.</w:t>
      </w:r>
      <w:r w:rsidRPr="008D64F9">
        <w:rPr>
          <w:lang w:val="en-AU"/>
        </w:rPr>
        <w:t xml:space="preserve"> </w:t>
      </w:r>
      <w:r w:rsidRPr="008D64F9">
        <w:rPr>
          <w:rtl/>
          <w:lang w:bidi="ar-LB"/>
        </w:rPr>
        <w:t>وفي هذا الصدد، يُنظر إلى حقوق التوزيع وتأجير النسخ، التي لم تعترف بها اتفاقية برن، على أنها حقوق للمؤلفين حصلت على الحماية بموجب اتفاقيات دولية لاحقة.</w:t>
      </w:r>
      <w:r w:rsidRPr="008D64F9">
        <w:rPr>
          <w:vertAlign w:val="superscript"/>
          <w:lang w:val="en-AU"/>
        </w:rPr>
        <w:footnoteReference w:id="28"/>
      </w:r>
      <w:r w:rsidRPr="008D64F9">
        <w:rPr>
          <w:lang w:val="en-AU"/>
        </w:rPr>
        <w:t xml:space="preserve"> </w:t>
      </w:r>
      <w:r w:rsidRPr="008D64F9">
        <w:rPr>
          <w:rtl/>
          <w:lang w:bidi="ar-LB"/>
        </w:rPr>
        <w:t>وقد تم ذلك على نفس الأساس الذي تمت مناقشته هنا لصالح حق التتبع، أي لتصحيح الخلل الذي قد ينشأ بخلاف ذلك بسبب القيود المتوقعة في نطاق حق الاستنساخ.</w:t>
      </w:r>
    </w:p>
    <w:p w14:paraId="794B1408" w14:textId="77777777" w:rsidR="008D64F9" w:rsidRPr="008D64F9" w:rsidRDefault="008D64F9">
      <w:pPr>
        <w:pStyle w:val="ONUMA"/>
        <w:numPr>
          <w:ilvl w:val="1"/>
          <w:numId w:val="4"/>
        </w:numPr>
        <w:rPr>
          <w:rtl/>
          <w:lang w:bidi="ar-LB"/>
        </w:rPr>
      </w:pPr>
      <w:r w:rsidRPr="008D64F9">
        <w:rPr>
          <w:rtl/>
          <w:lang w:bidi="ar-LB"/>
        </w:rPr>
        <w:t>إن مقولة أن حق التتبع، إذا تم الاعتراف به، قد يعود بالفائدة على بعض فناني المصنفات البصرية فقط، وليس جميعهم، ليست دقيقة.</w:t>
      </w:r>
      <w:r w:rsidRPr="008D64F9">
        <w:rPr>
          <w:lang w:val="en-AU"/>
        </w:rPr>
        <w:t xml:space="preserve"> </w:t>
      </w:r>
      <w:r w:rsidRPr="008D64F9">
        <w:rPr>
          <w:rtl/>
          <w:lang w:bidi="ar-LB"/>
        </w:rPr>
        <w:t>فهذا هو الحال بالنسبة لجميع فئات المصنفات الأدبية والفنية: إن منح الحقوق الحصرية لا يشكل أي ضمانة بالحصول على ايرادات أو دخل مستمر، ولكنه ببساطة يتيح فرصة الحصول على حصة من عائدات استغلال المصنف إذا حصل هذا المصنف في وقت لاحق على اعتراف وطلب عام.</w:t>
      </w:r>
      <w:r w:rsidRPr="008D64F9">
        <w:rPr>
          <w:lang w:val="en-AU"/>
        </w:rPr>
        <w:t xml:space="preserve"> </w:t>
      </w:r>
      <w:r w:rsidRPr="008D64F9">
        <w:rPr>
          <w:rtl/>
          <w:lang w:bidi="ar-LB"/>
        </w:rPr>
        <w:t>وفي هذا الاطار، فإن حق التتبع يعكس بكل بساطة الطابع الخاص للمصنفات الفنية البصرية وشكل استغلالها المعتاد، ولكنه لا يختلف عن حق الاستنساخ الذي لن يعود بالفائدة على مؤلف كتاب ما إلا في حال اختيار مخطوطته للنشر من بين العديد من المخطوطات التي تمر على مكتب الناشر يوميا.</w:t>
      </w:r>
      <w:r w:rsidRPr="008D64F9">
        <w:rPr>
          <w:rFonts w:hint="cs"/>
          <w:rtl/>
          <w:lang w:bidi="ar-LB"/>
        </w:rPr>
        <w:t xml:space="preserve"> وت</w:t>
      </w:r>
      <w:r w:rsidRPr="008D64F9">
        <w:rPr>
          <w:rtl/>
          <w:lang w:bidi="ar-LB"/>
        </w:rPr>
        <w:t>حق</w:t>
      </w:r>
      <w:r w:rsidRPr="008D64F9">
        <w:rPr>
          <w:rFonts w:hint="cs"/>
          <w:rtl/>
          <w:lang w:bidi="ar-LB"/>
        </w:rPr>
        <w:t>ي</w:t>
      </w:r>
      <w:r w:rsidRPr="008D64F9">
        <w:rPr>
          <w:rtl/>
          <w:lang w:bidi="ar-LB"/>
        </w:rPr>
        <w:t xml:space="preserve">ق </w:t>
      </w:r>
      <w:r w:rsidRPr="008D64F9">
        <w:rPr>
          <w:rFonts w:hint="cs"/>
          <w:rtl/>
          <w:lang w:bidi="ar-LB"/>
        </w:rPr>
        <w:t xml:space="preserve">الرواية </w:t>
      </w:r>
      <w:r w:rsidRPr="008D64F9">
        <w:rPr>
          <w:rtl/>
          <w:lang w:bidi="ar-LB"/>
        </w:rPr>
        <w:t>أرباحًا لمؤلفه</w:t>
      </w:r>
      <w:r w:rsidRPr="008D64F9">
        <w:rPr>
          <w:rFonts w:hint="cs"/>
          <w:rtl/>
          <w:lang w:bidi="ar-LB"/>
        </w:rPr>
        <w:t>ا</w:t>
      </w:r>
      <w:r w:rsidRPr="008D64F9">
        <w:rPr>
          <w:rtl/>
          <w:lang w:bidi="ar-LB"/>
        </w:rPr>
        <w:t xml:space="preserve"> </w:t>
      </w:r>
      <w:r w:rsidRPr="008D64F9">
        <w:rPr>
          <w:rFonts w:hint="cs"/>
          <w:rtl/>
          <w:lang w:bidi="ar-LB"/>
        </w:rPr>
        <w:t xml:space="preserve">من عدمه </w:t>
      </w:r>
      <w:r w:rsidRPr="008D64F9">
        <w:rPr>
          <w:rtl/>
          <w:lang w:bidi="ar-LB"/>
        </w:rPr>
        <w:t xml:space="preserve">يعتمد على </w:t>
      </w:r>
      <w:r w:rsidRPr="008D64F9">
        <w:rPr>
          <w:rFonts w:hint="cs"/>
          <w:rtl/>
          <w:lang w:bidi="ar-LB"/>
        </w:rPr>
        <w:t xml:space="preserve">مستوى </w:t>
      </w:r>
      <w:r w:rsidRPr="008D64F9">
        <w:rPr>
          <w:rtl/>
          <w:lang w:bidi="ar-LB"/>
        </w:rPr>
        <w:t>استقباله</w:t>
      </w:r>
      <w:r w:rsidRPr="008D64F9">
        <w:rPr>
          <w:rFonts w:hint="cs"/>
          <w:rtl/>
          <w:lang w:bidi="ar-LB"/>
        </w:rPr>
        <w:t>ا</w:t>
      </w:r>
      <w:r w:rsidRPr="008D64F9">
        <w:rPr>
          <w:rtl/>
          <w:lang w:bidi="ar-LB"/>
        </w:rPr>
        <w:t xml:space="preserve"> في السوق وعدد النسخ التي ت</w:t>
      </w:r>
      <w:r w:rsidRPr="008D64F9">
        <w:rPr>
          <w:rFonts w:hint="cs"/>
          <w:rtl/>
          <w:lang w:bidi="ar-LB"/>
        </w:rPr>
        <w:t>با</w:t>
      </w:r>
      <w:r w:rsidRPr="008D64F9">
        <w:rPr>
          <w:rtl/>
          <w:lang w:bidi="ar-LB"/>
        </w:rPr>
        <w:t>ع.</w:t>
      </w:r>
    </w:p>
    <w:p w14:paraId="504C827F" w14:textId="77777777" w:rsidR="008D64F9" w:rsidRPr="008D64F9" w:rsidRDefault="008D64F9">
      <w:pPr>
        <w:pStyle w:val="ONUMA"/>
        <w:numPr>
          <w:ilvl w:val="1"/>
          <w:numId w:val="4"/>
        </w:numPr>
        <w:rPr>
          <w:rtl/>
          <w:lang w:bidi="ar-LB"/>
        </w:rPr>
      </w:pPr>
      <w:r w:rsidRPr="008D64F9">
        <w:rPr>
          <w:rtl/>
          <w:lang w:bidi="ar-LB"/>
        </w:rPr>
        <w:t>هناك حجة أخرى مفادها أن حق التتبع يمكن أن يكون ذات فائدة خاصة للفنانين المنتمين إلى الشعوب الأصلية الذين قد تلقى مصنفاتهم رواجا في أسواق وطنية ودولية.</w:t>
      </w:r>
      <w:r w:rsidRPr="008D64F9">
        <w:rPr>
          <w:lang w:val="en-AU"/>
        </w:rPr>
        <w:t xml:space="preserve"> </w:t>
      </w:r>
      <w:r w:rsidRPr="008D64F9">
        <w:rPr>
          <w:rtl/>
          <w:lang w:bidi="ar-LB"/>
        </w:rPr>
        <w:t xml:space="preserve">وكان هذا بالتأكيد أحد العوامل التي أدت إلى اعتماد تشريع حق التتبع في </w:t>
      </w:r>
      <w:r w:rsidRPr="008D64F9">
        <w:rPr>
          <w:rtl/>
          <w:lang w:bidi="ar-LB"/>
        </w:rPr>
        <w:lastRenderedPageBreak/>
        <w:t>أستراليا في عام 2009،</w:t>
      </w:r>
      <w:r w:rsidRPr="008D64F9">
        <w:rPr>
          <w:vertAlign w:val="superscript"/>
          <w:lang w:val="en-AU"/>
        </w:rPr>
        <w:footnoteReference w:id="29"/>
      </w:r>
      <w:r w:rsidRPr="008D64F9">
        <w:rPr>
          <w:rtl/>
          <w:lang w:bidi="ar-LB"/>
        </w:rPr>
        <w:t xml:space="preserve"> وقد تم طرح حجج مماثلة في العديد من البلدان النامية التي أقرت مؤخراً قوانين تتعلق بحق التتبع.</w:t>
      </w:r>
      <w:r w:rsidRPr="008D64F9">
        <w:rPr>
          <w:lang w:val="en-AU"/>
        </w:rPr>
        <w:t xml:space="preserve"> </w:t>
      </w:r>
      <w:r w:rsidRPr="008D64F9">
        <w:rPr>
          <w:rtl/>
          <w:lang w:bidi="ar-LB"/>
        </w:rPr>
        <w:t>وتجدر الإشارة هنا إلى أن الويبو واليونسكو قاما بإعداد حكم حق التتبع الوارد في قانون تونس النموذجي بشأن قانون حق المؤلف في الدول النامية والذي اعتمد منذ حوالي أربعين عاماً.</w:t>
      </w:r>
      <w:r w:rsidRPr="008D64F9">
        <w:rPr>
          <w:vertAlign w:val="superscript"/>
          <w:lang w:val="en-AU"/>
        </w:rPr>
        <w:footnoteReference w:id="30"/>
      </w:r>
    </w:p>
    <w:p w14:paraId="22372B43" w14:textId="77777777" w:rsidR="008D64F9" w:rsidRPr="008D64F9" w:rsidRDefault="008D64F9">
      <w:pPr>
        <w:pStyle w:val="ONUMA"/>
        <w:numPr>
          <w:ilvl w:val="1"/>
          <w:numId w:val="4"/>
        </w:numPr>
        <w:rPr>
          <w:rtl/>
          <w:lang w:bidi="ar-LB"/>
        </w:rPr>
      </w:pPr>
      <w:r w:rsidRPr="008D64F9">
        <w:rPr>
          <w:rtl/>
          <w:lang w:bidi="ar-LB"/>
        </w:rPr>
        <w:t>ونظراً للتبني التدريجي لأنظمة حق التتبع من قبل أكثر من نصف أعضاء اتحاد برن، فقد أصبح هناك الآن خلل واضح في حماية فناني المصنفات البصرية على مستوى العالم بين البلدان التي تبنت حق التتبع والبلدان التي لم تتبناه.</w:t>
      </w:r>
      <w:r w:rsidRPr="008D64F9">
        <w:rPr>
          <w:lang w:val="en-AU"/>
        </w:rPr>
        <w:t xml:space="preserve"> </w:t>
      </w:r>
      <w:r w:rsidRPr="008D64F9">
        <w:rPr>
          <w:rtl/>
          <w:lang w:bidi="ar-LB"/>
        </w:rPr>
        <w:t>ورغم ذلك، يتم اختبار فنهم والاستمتاع به على مستوى العالم دون مراعاة للحدود، وفي غياب أي قيود أخرى، قد تتم إعادة بيع مصنفاتهم في أي مكان في العالم،</w:t>
      </w:r>
      <w:r w:rsidRPr="008D64F9">
        <w:rPr>
          <w:lang w:val="en-AU"/>
        </w:rPr>
        <w:t xml:space="preserve"> </w:t>
      </w:r>
      <w:r w:rsidRPr="008D64F9">
        <w:rPr>
          <w:rtl/>
          <w:lang w:bidi="ar-LB"/>
        </w:rPr>
        <w:t>وذلك بفضل التكنولوجيات الرقمية والاتصالات الشبكية الشائعة في عصرنا هذا.</w:t>
      </w:r>
      <w:r w:rsidRPr="008D64F9">
        <w:rPr>
          <w:lang w:val="en-AU"/>
        </w:rPr>
        <w:t xml:space="preserve"> </w:t>
      </w:r>
    </w:p>
    <w:p w14:paraId="39837D1C" w14:textId="77777777" w:rsidR="008D64F9" w:rsidRPr="008D64F9" w:rsidRDefault="008D64F9">
      <w:pPr>
        <w:pStyle w:val="ONUMA"/>
        <w:numPr>
          <w:ilvl w:val="1"/>
          <w:numId w:val="4"/>
        </w:numPr>
        <w:rPr>
          <w:rtl/>
          <w:lang w:bidi="ar-LB"/>
        </w:rPr>
      </w:pPr>
      <w:r w:rsidRPr="008D64F9">
        <w:rPr>
          <w:rtl/>
          <w:lang w:bidi="ar-LB"/>
        </w:rPr>
        <w:t>وبغض النظر عن الإيرادات الإضافية التي قد يوفرها حق التتبع للفنانين الأحياء وذريتهم، يمكن أن تقدم هذه الأنظمة فوائد أخرى: فهي قد تشكل وسيلة لتتبع ملكية مصنفات الفنانين ومكانها وتزويد الفنانين بتحديث منتظم عن مصنفاتهم، خاصة إذا أدى نمو سمعتهم المهنية والفنية إلى ارتفاع سعر إعادة بيعها.</w:t>
      </w:r>
      <w:r w:rsidRPr="008D64F9">
        <w:rPr>
          <w:lang w:val="en-AU"/>
        </w:rPr>
        <w:t xml:space="preserve"> </w:t>
      </w:r>
    </w:p>
    <w:p w14:paraId="046377DD" w14:textId="77777777" w:rsidR="008D64F9" w:rsidRPr="008D64F9" w:rsidRDefault="008D64F9">
      <w:pPr>
        <w:pStyle w:val="ONUMA"/>
        <w:numPr>
          <w:ilvl w:val="1"/>
          <w:numId w:val="4"/>
        </w:numPr>
        <w:rPr>
          <w:rtl/>
          <w:lang w:bidi="ar-LB"/>
        </w:rPr>
      </w:pPr>
      <w:r w:rsidRPr="008D64F9">
        <w:rPr>
          <w:rtl/>
          <w:lang w:bidi="ar-LB"/>
        </w:rPr>
        <w:t>ركزت المناقشة السابقة على المصنفات الفنية البصرية، لأنها المصنفات الأساسية المعنية بجميع قوانين حق التتبع الوطنية.</w:t>
      </w:r>
      <w:r w:rsidRPr="008D64F9">
        <w:rPr>
          <w:lang w:val="en-AU"/>
        </w:rPr>
        <w:t xml:space="preserve"> </w:t>
      </w:r>
      <w:r w:rsidRPr="008D64F9">
        <w:rPr>
          <w:rtl/>
          <w:lang w:bidi="ar-LB"/>
        </w:rPr>
        <w:t>ومع ذلك، تتضمن بعض القوانين الوطنية أيضًا "المخطوطات الأصلية" لمصنفات الكُتاب والملحنين.</w:t>
      </w:r>
      <w:r w:rsidRPr="008D64F9">
        <w:rPr>
          <w:lang w:val="en-AU"/>
        </w:rPr>
        <w:t xml:space="preserve"> </w:t>
      </w:r>
      <w:r w:rsidRPr="008D64F9">
        <w:rPr>
          <w:rtl/>
          <w:lang w:bidi="ar-LB"/>
        </w:rPr>
        <w:t>وكما هو معروف، فإن مثل هذه المخطوطات قد تباع بأسعار مرتفعة عند إعادة بيعها، وخاصة عندما يكون المؤلفين والملحنين المشهورين.</w:t>
      </w:r>
      <w:r w:rsidRPr="008D64F9">
        <w:rPr>
          <w:lang w:val="en-AU"/>
        </w:rPr>
        <w:t xml:space="preserve"> </w:t>
      </w:r>
      <w:r w:rsidRPr="008D64F9">
        <w:rPr>
          <w:rtl/>
          <w:lang w:bidi="ar-LB"/>
        </w:rPr>
        <w:t>ولكن الحجج المؤيدة لتبني حق التتبع لمثل هذه المصنفات قد لا تكون مقنعة كما هو الحال بالنسبة لأعمال فناني المصنفات البصرية، لأنه عادة لن يحصل المؤلفون والملحنون على أعلى عائدات من مبيعات مخطوطاتهم الأصلية (باستثناء المخطوطات المزخرفة في العصور الوسطى): فالمؤلف عادة يستفيد بشكل كامل من حقوق الاستنساخ والنقل إلى الجمهور، وقيمة المخطوطات الأصلية قد تزداد بمرور الوقت، وحتى بعد وفاته، لا سيما مع زيادة شهرة المؤلف.</w:t>
      </w:r>
      <w:r w:rsidRPr="008D64F9">
        <w:rPr>
          <w:lang w:val="en-AU"/>
        </w:rPr>
        <w:t xml:space="preserve"> </w:t>
      </w:r>
      <w:r w:rsidRPr="008D64F9">
        <w:rPr>
          <w:rtl/>
          <w:lang w:bidi="ar-LB"/>
        </w:rPr>
        <w:t>وبالتالي، فإن حجة "عدم التوازن/التكافؤ"، والتي تبدو قوية للغاية في حالة فناني المصنفات البصرية، لا تتمتع بنفس القوة هنا.</w:t>
      </w:r>
      <w:r w:rsidRPr="008D64F9">
        <w:rPr>
          <w:lang w:val="en-AU"/>
        </w:rPr>
        <w:t xml:space="preserve"> </w:t>
      </w:r>
      <w:r w:rsidRPr="008D64F9">
        <w:rPr>
          <w:rtl/>
          <w:lang w:bidi="ar-LB"/>
        </w:rPr>
        <w:t>ورغم قيمة المخطوطات الأصلية باعتبارها سجلات أصلية للنوايا الأصلية للكاتب أو الملحن، ومهما كان حجم ارتباطها الوثيق بالشخص المبدع المعروف، فإن الحجج التي تربط بين حق التتبع وحقوق المؤلفين قد لا تكون مقنعة لواضعي السياسات الوطنية والمشرعين لشمل الكتاب أو الملحنين في حق التتبع.</w:t>
      </w:r>
    </w:p>
    <w:p w14:paraId="6FFF5B12" w14:textId="77777777" w:rsidR="008D64F9" w:rsidRPr="008D64F9" w:rsidRDefault="008D64F9" w:rsidP="00534856">
      <w:pPr>
        <w:pStyle w:val="Heading2"/>
        <w:rPr>
          <w:rtl/>
        </w:rPr>
      </w:pPr>
      <w:r w:rsidRPr="008D64F9">
        <w:rPr>
          <w:rtl/>
        </w:rPr>
        <w:t xml:space="preserve">الإطار الدولي: المادة 14(ثالثا) من اتفاقية برن  </w:t>
      </w:r>
    </w:p>
    <w:p w14:paraId="3255C471" w14:textId="77777777" w:rsidR="008D64F9" w:rsidRPr="008D64F9" w:rsidRDefault="008D64F9" w:rsidP="008D64F9">
      <w:pPr>
        <w:pStyle w:val="ONUMA"/>
        <w:rPr>
          <w:rtl/>
          <w:lang w:bidi="ar-LB"/>
        </w:rPr>
      </w:pPr>
      <w:r w:rsidRPr="008D64F9">
        <w:rPr>
          <w:rtl/>
          <w:lang w:bidi="ar-LB"/>
        </w:rPr>
        <w:t>من المفيد في هذه المرحلة عرض إطار حق التتبع المنصوص عليه في المادة 14(ثالثا) والتي أدرجت في اتفاقية برن خلال مؤتمر بروكسل للمراجعة في عام 1948 (حينها كان رقم المادة 14(ثانيا)).</w:t>
      </w:r>
      <w:r w:rsidRPr="008D64F9">
        <w:rPr>
          <w:lang w:val="en-AU"/>
        </w:rPr>
        <w:t xml:space="preserve"> </w:t>
      </w:r>
      <w:r w:rsidRPr="008D64F9">
        <w:rPr>
          <w:rtl/>
          <w:lang w:bidi="ar-LB"/>
        </w:rPr>
        <w:t>وقد تم تعديل هذه المادة بشكل طفيف في ستوكهولم عام 1967 وتم الاحتفاظ بها في مراجعة باريس عام 1971، وهي تنص على ما يلي:</w:t>
      </w:r>
    </w:p>
    <w:p w14:paraId="1F5DE31E" w14:textId="77777777" w:rsidR="008D64F9" w:rsidRPr="008D64F9" w:rsidRDefault="008D64F9" w:rsidP="008D64F9">
      <w:pPr>
        <w:pStyle w:val="BodyText"/>
        <w:ind w:left="562"/>
        <w:rPr>
          <w:rtl/>
          <w:lang w:bidi="ar-LB"/>
        </w:rPr>
      </w:pPr>
      <w:r w:rsidRPr="008D64F9">
        <w:rPr>
          <w:rtl/>
          <w:lang w:bidi="ar-LB"/>
        </w:rPr>
        <w:t>(1) فيما يتعلق بالمصنفات الفنية الأصلية والمخطوطات الأصلية للكتّاب والملحنين، يتمتع المؤلف، أو من له صفة بعد وفاته من أشخاص أو مؤسسات/هيئات وفقًا للتشريع الوطني، بحق غير قابل للتصرف فيه يتعلق بمصلحتهم في عمليات بيع المصنف التالية لأول تنازل يجريه مؤلف المصنف.</w:t>
      </w:r>
    </w:p>
    <w:p w14:paraId="6FDEB4FC" w14:textId="77777777" w:rsidR="008D64F9" w:rsidRPr="008D64F9" w:rsidRDefault="008D64F9" w:rsidP="008D64F9">
      <w:pPr>
        <w:pStyle w:val="BodyText"/>
        <w:ind w:left="562"/>
        <w:rPr>
          <w:rtl/>
          <w:lang w:bidi="ar-LB"/>
        </w:rPr>
      </w:pPr>
      <w:r w:rsidRPr="008D64F9">
        <w:rPr>
          <w:rtl/>
          <w:lang w:bidi="ar-LB"/>
        </w:rPr>
        <w:t>(2) لا يمكن المطالبة بتوفير الحماية المنصوص عليها في الفقرة السابقة في أي دولة من دول الاتحاد إلا إذا كان تشريع الدولة التي ينتمي إليها المؤلف يسمح بهذه الحماية، وضمن الحدود التي يسمح بها تشريع الدولة المطلوب توفير الحماية فيها.</w:t>
      </w:r>
    </w:p>
    <w:p w14:paraId="4DD22580" w14:textId="77777777" w:rsidR="008D64F9" w:rsidRPr="008D64F9" w:rsidRDefault="008D64F9" w:rsidP="008D64F9">
      <w:pPr>
        <w:pStyle w:val="BodyText"/>
        <w:ind w:left="562"/>
        <w:rPr>
          <w:rtl/>
          <w:lang w:bidi="ar-LB"/>
        </w:rPr>
      </w:pPr>
      <w:r w:rsidRPr="008D64F9">
        <w:rPr>
          <w:rtl/>
          <w:lang w:bidi="ar-LB"/>
        </w:rPr>
        <w:t>(3) يختص التشريع الوطني بتحديد إجراءات التحصيل والمبالغ الواجبة.</w:t>
      </w:r>
    </w:p>
    <w:p w14:paraId="11F58661" w14:textId="77777777" w:rsidR="008D64F9" w:rsidRPr="008D64F9" w:rsidRDefault="008D64F9" w:rsidP="008D64F9">
      <w:pPr>
        <w:pStyle w:val="ONUMA"/>
        <w:rPr>
          <w:rtl/>
          <w:lang w:bidi="ar-LB"/>
        </w:rPr>
      </w:pPr>
      <w:r w:rsidRPr="008D64F9">
        <w:rPr>
          <w:rtl/>
          <w:lang w:bidi="ar-LB"/>
        </w:rPr>
        <w:lastRenderedPageBreak/>
        <w:t>وما تنص عليه المادة 14 (ثالثا) لا يمكن اعتباره بأي شكل من الأشكال إطار شامل لحق التتبع، ولكن يجب ملاحظة الجوانب التالية من هذه المادة، اذ أنها توفر المبادئ التوجيهية العامة التي ينبغي لأي مخطط وطني لحق التتبع أن يلتزم بها لضمان الاتساق العام مع اتفاقية برن:</w:t>
      </w:r>
    </w:p>
    <w:p w14:paraId="1330F9C7" w14:textId="77777777" w:rsidR="008D64F9" w:rsidRPr="008D64F9" w:rsidRDefault="008D64F9">
      <w:pPr>
        <w:pStyle w:val="ONUMA"/>
        <w:numPr>
          <w:ilvl w:val="1"/>
          <w:numId w:val="4"/>
        </w:numPr>
        <w:rPr>
          <w:rtl/>
          <w:lang w:bidi="ar-LB"/>
        </w:rPr>
      </w:pPr>
      <w:r w:rsidRPr="008D64F9">
        <w:rPr>
          <w:rtl/>
          <w:lang w:bidi="ar-LB"/>
        </w:rPr>
        <w:t>كما هو الحال مع الحقوق المعنوية، فإن حق التتبع يعتبر حقًا غير قابل للتصرف للمؤلف، أي أنه لا يمكن نقله أو التنازل عنه من قبل المؤلف أو ورثته.</w:t>
      </w:r>
      <w:r w:rsidRPr="008D64F9">
        <w:rPr>
          <w:lang w:val="en-AU"/>
        </w:rPr>
        <w:t xml:space="preserve"> </w:t>
      </w:r>
      <w:r w:rsidRPr="008D64F9">
        <w:rPr>
          <w:rtl/>
          <w:lang w:bidi="ar-LB"/>
        </w:rPr>
        <w:t>وبالتالي فهو يختلف عن الحقوق الاقتصادية الحصرية الأخرى التي تضمنها الاتفاقية.</w:t>
      </w:r>
      <w:r w:rsidRPr="008D64F9">
        <w:rPr>
          <w:lang w:val="en-AU"/>
        </w:rPr>
        <w:t xml:space="preserve"> </w:t>
      </w:r>
      <w:r w:rsidRPr="008D64F9">
        <w:rPr>
          <w:rtl/>
          <w:lang w:bidi="ar-LB"/>
        </w:rPr>
        <w:t>ومن ناحية أخرى، يبقى حق التتبع حقًا اقتصاديًا (وليس حقا معنويا) يهدف إلى توفير وسيلة لتعويض المؤلفين في الحالات التي تكون فيها حقوقهم الاقتصادية الأخرى في العمل (الاستنساخ، والبث، وما إلى ذلك) لن تمنحهم عائدًا كافيًا حيث ترتبط القيمة الحقيقية للمصنف بالنسخة الأصلية للمصنف، وليس بالإيرادات التي يمكن كسبها من بيع وتوزيع النسخ أو من خلال الأداء العلني أو النشر على الإنترنت.</w:t>
      </w:r>
      <w:r w:rsidRPr="008D64F9">
        <w:rPr>
          <w:lang w:val="en-AU"/>
        </w:rPr>
        <w:t xml:space="preserve"> </w:t>
      </w:r>
      <w:r w:rsidRPr="008D64F9">
        <w:rPr>
          <w:rtl/>
          <w:lang w:bidi="ar-LB"/>
        </w:rPr>
        <w:t>ولذلك يعد حق التتبع جذابا لفناني المصنفات البصرية بشكل خاص ولكنه قد يكون مهما أيضًا لفئات أخرى من المبدعين (يرجى الاطلاع على الفقرة الفرعية ج أدناه).</w:t>
      </w:r>
    </w:p>
    <w:p w14:paraId="58EB0628" w14:textId="77777777" w:rsidR="008D64F9" w:rsidRPr="008D64F9" w:rsidRDefault="008D64F9">
      <w:pPr>
        <w:pStyle w:val="ONUMA"/>
        <w:numPr>
          <w:ilvl w:val="1"/>
          <w:numId w:val="4"/>
        </w:numPr>
        <w:rPr>
          <w:rtl/>
          <w:lang w:bidi="ar-LB"/>
        </w:rPr>
      </w:pPr>
      <w:r w:rsidRPr="008D64F9">
        <w:rPr>
          <w:rtl/>
          <w:lang w:bidi="ar-LB"/>
        </w:rPr>
        <w:t>لا ينطبق حق التتبع إلا على المبيعات اللاحقة للمصنف، وليس على البيع الأول الذي يُفترض أنه تم من قبل المؤلف أو نيابة عنه.</w:t>
      </w:r>
      <w:r w:rsidRPr="008D64F9">
        <w:rPr>
          <w:lang w:val="en-AU"/>
        </w:rPr>
        <w:t xml:space="preserve"> </w:t>
      </w:r>
    </w:p>
    <w:p w14:paraId="4B581595" w14:textId="77777777" w:rsidR="008D64F9" w:rsidRPr="008D64F9" w:rsidRDefault="008D64F9">
      <w:pPr>
        <w:pStyle w:val="ONUMA"/>
        <w:numPr>
          <w:ilvl w:val="1"/>
          <w:numId w:val="4"/>
        </w:numPr>
        <w:rPr>
          <w:rtl/>
          <w:lang w:bidi="ar-LB"/>
        </w:rPr>
      </w:pPr>
      <w:r w:rsidRPr="008D64F9">
        <w:rPr>
          <w:rtl/>
          <w:lang w:bidi="ar-LB"/>
        </w:rPr>
        <w:t>يمكن تطبيق حق التتبع على المخطوطات الأصلية لـ "الكُتاب والملحنين" وعلى المصنفات الفنية أيضا، ولكن المشرعين الوطنيين هم الذين يحددون عادة المصنفات التي يمكن أن تستفيد من هذا الحق.</w:t>
      </w:r>
    </w:p>
    <w:p w14:paraId="0D40C1EF" w14:textId="77777777" w:rsidR="008D64F9" w:rsidRPr="008D64F9" w:rsidRDefault="008D64F9">
      <w:pPr>
        <w:pStyle w:val="ONUMA"/>
        <w:numPr>
          <w:ilvl w:val="1"/>
          <w:numId w:val="4"/>
        </w:numPr>
        <w:rPr>
          <w:rtl/>
          <w:lang w:bidi="ar-LB"/>
        </w:rPr>
      </w:pPr>
      <w:r w:rsidRPr="008D64F9">
        <w:rPr>
          <w:rtl/>
          <w:lang w:bidi="ar-LB"/>
        </w:rPr>
        <w:t>لم يتم تحديد كيفية تقييم "المصلحة" في المبيعات اللاحقة.</w:t>
      </w:r>
      <w:r w:rsidRPr="008D64F9">
        <w:rPr>
          <w:lang w:val="en-AU"/>
        </w:rPr>
        <w:t xml:space="preserve"> </w:t>
      </w:r>
      <w:r w:rsidRPr="008D64F9">
        <w:rPr>
          <w:rtl/>
          <w:lang w:bidi="ar-LB"/>
        </w:rPr>
        <w:t>وبالتالي، يمكن للتشريعات الوطنية تحديد هذه "المصلحة" كنسبة من الزيادة الصافية في قيمة المصنف (في حال ينطبق ذلك) أو كنسبة من القيمة الإجمالية لسعر إعادة البيع.</w:t>
      </w:r>
      <w:r w:rsidRPr="008D64F9">
        <w:rPr>
          <w:lang w:val="en-AU"/>
        </w:rPr>
        <w:t xml:space="preserve"> </w:t>
      </w:r>
      <w:r w:rsidRPr="008D64F9">
        <w:rPr>
          <w:rtl/>
          <w:lang w:bidi="ar-LB"/>
        </w:rPr>
        <w:t>ويمكن العثور على كلا النهجين في القوانين الوطنية، إلا أن النهج الثاني هو المفضل بشكل عام.</w:t>
      </w:r>
      <w:r w:rsidRPr="008D64F9">
        <w:rPr>
          <w:lang w:val="en-AU"/>
        </w:rPr>
        <w:t xml:space="preserve"> </w:t>
      </w:r>
    </w:p>
    <w:p w14:paraId="085CA846" w14:textId="77777777" w:rsidR="008D64F9" w:rsidRPr="008D64F9" w:rsidRDefault="008D64F9">
      <w:pPr>
        <w:pStyle w:val="ONUMA"/>
        <w:numPr>
          <w:ilvl w:val="1"/>
          <w:numId w:val="4"/>
        </w:numPr>
        <w:rPr>
          <w:rtl/>
          <w:lang w:bidi="ar-LB"/>
        </w:rPr>
      </w:pPr>
      <w:r w:rsidRPr="008D64F9">
        <w:rPr>
          <w:rtl/>
          <w:lang w:bidi="ar-LB"/>
        </w:rPr>
        <w:t>من غير الواضح ما إذا كانت المبيعات اللاحقة تشمل جميع المبيعات، أو بعضها فقط، على سبيل المثال، المبيعات التي تتم في المزادات العلنية فقط أو "عمليات إعادة البيع التجاري" غير الخاصة التي تتم من خلال وسيط، مثل معرض أو وكيل أو سمسار (يشار اليه احيانا باسم "جهة متخصصة في سوق المصنفات الفنية").</w:t>
      </w:r>
      <w:r w:rsidRPr="008D64F9">
        <w:rPr>
          <w:lang w:val="en-AU"/>
        </w:rPr>
        <w:t xml:space="preserve"> </w:t>
      </w:r>
      <w:r w:rsidRPr="008D64F9">
        <w:rPr>
          <w:rtl/>
          <w:lang w:bidi="ar-LB"/>
        </w:rPr>
        <w:t>وبالتالي، هناك طرق مختلفة للتعامل مع هذه المسألة ضمن إطار القوانين الوطنية.</w:t>
      </w:r>
    </w:p>
    <w:p w14:paraId="65B02C9D" w14:textId="77777777" w:rsidR="008D64F9" w:rsidRPr="008D64F9" w:rsidRDefault="008D64F9">
      <w:pPr>
        <w:pStyle w:val="ONUMA"/>
        <w:numPr>
          <w:ilvl w:val="1"/>
          <w:numId w:val="4"/>
        </w:numPr>
        <w:rPr>
          <w:rtl/>
          <w:lang w:bidi="ar-LB"/>
        </w:rPr>
      </w:pPr>
      <w:r w:rsidRPr="008D64F9">
        <w:rPr>
          <w:rtl/>
          <w:lang w:bidi="ar-LB"/>
        </w:rPr>
        <w:t>تنص الفقرة (1) على أنه بعد وفاة المؤلف، يمكن أن  تمارس "مؤسسة أو هيئة" مرخص لها بموجب التشريع الوطني هذا الحق، بالاضافة إلى أي شخص مرخص له.</w:t>
      </w:r>
      <w:r w:rsidRPr="008D64F9">
        <w:rPr>
          <w:lang w:val="en-AU"/>
        </w:rPr>
        <w:t xml:space="preserve"> </w:t>
      </w:r>
      <w:r w:rsidRPr="008D64F9">
        <w:rPr>
          <w:rtl/>
          <w:lang w:bidi="ar-LB"/>
        </w:rPr>
        <w:t>ويسمح هذا الأمر للقوانين الوطنية، على سبيل المثال، بنقل ممارسة حق التتبع بعد الوفاة إلى هيئة عامة، يمكنها بعد ذلك تحصيل عائدات إعادة البيع واستخدامها لدعم الفنانين وأفراد أسرهم  بشكل عام، بدلاً من الورثة المباشرين للفنان المعني وأفراد أسرهم.</w:t>
      </w:r>
      <w:r w:rsidRPr="008D64F9">
        <w:rPr>
          <w:lang w:val="en-AU"/>
        </w:rPr>
        <w:t xml:space="preserve"> </w:t>
      </w:r>
      <w:r w:rsidRPr="008D64F9">
        <w:rPr>
          <w:rtl/>
          <w:lang w:bidi="ar-LB"/>
        </w:rPr>
        <w:t>ورغم ذلك، يمكن القول إن روح الفقرة (1) تتطلب أن يعود جزء على الأقل من العائدات إلى أحفاد أو ورثة المؤلف المتوفى.</w:t>
      </w:r>
      <w:r w:rsidRPr="008D64F9">
        <w:rPr>
          <w:lang w:val="en-AU"/>
        </w:rPr>
        <w:t xml:space="preserve"> </w:t>
      </w:r>
      <w:r w:rsidRPr="008D64F9">
        <w:rPr>
          <w:rtl/>
          <w:lang w:bidi="ar-LB"/>
        </w:rPr>
        <w:t>وتجدر الاشارة هنا من جديد إلى اختلاف مخططات حق التتبع الوطنية الحالية بين دولة وأخرة فيما يتعلق بالمقاربة المعتمدة لهذه القضية.</w:t>
      </w:r>
      <w:r w:rsidRPr="008D64F9">
        <w:rPr>
          <w:lang w:val="en-AU"/>
        </w:rPr>
        <w:t xml:space="preserve"> </w:t>
      </w:r>
    </w:p>
    <w:p w14:paraId="32AC832A" w14:textId="77777777" w:rsidR="008D64F9" w:rsidRPr="008D64F9" w:rsidRDefault="008D64F9">
      <w:pPr>
        <w:pStyle w:val="ONUMA"/>
        <w:numPr>
          <w:ilvl w:val="1"/>
          <w:numId w:val="4"/>
        </w:numPr>
        <w:rPr>
          <w:rtl/>
          <w:lang w:bidi="ar-LB"/>
        </w:rPr>
      </w:pPr>
      <w:r w:rsidRPr="008D64F9">
        <w:rPr>
          <w:rtl/>
          <w:lang w:bidi="ar-LB"/>
        </w:rPr>
        <w:t>تشير الفقرة (2) إلى أن الدول الأعضاء في اتفاقية برن غير ملزمة بتبني أو تطبيق حق التتبع: لا يمكن المطالبة به إلا في الدول التي تمنح مثل هذا الحق، وضمن الحدود الذي يسمح به قانون تلك الدولة، وفقط إذا كان تشريع الدولة التي ينتمي إليها المؤلف يمنح مثل هذه الحماية.</w:t>
      </w:r>
      <w:r w:rsidRPr="008D64F9">
        <w:rPr>
          <w:lang w:val="en-AU"/>
        </w:rPr>
        <w:t xml:space="preserve"> </w:t>
      </w:r>
      <w:r w:rsidRPr="008D64F9">
        <w:rPr>
          <w:rtl/>
          <w:lang w:bidi="ar-LB"/>
        </w:rPr>
        <w:t>وبالتالي فان الاعتراف بحق التتبع يخضع لشرط المعاملة بالمثل وهو ليس مشمولا في مبدأ المعاملة الوطنية الذي تنص عليه المادة  5 (1) من اتفاقية برن.</w:t>
      </w:r>
      <w:r w:rsidRPr="008D64F9">
        <w:rPr>
          <w:lang w:val="en-AU"/>
        </w:rPr>
        <w:t xml:space="preserve"> </w:t>
      </w:r>
    </w:p>
    <w:p w14:paraId="1F30ACF7" w14:textId="2AEF59A6" w:rsidR="008D64F9" w:rsidRPr="008D64F9" w:rsidRDefault="008D64F9">
      <w:pPr>
        <w:pStyle w:val="ONUMA"/>
        <w:numPr>
          <w:ilvl w:val="1"/>
          <w:numId w:val="4"/>
        </w:numPr>
        <w:rPr>
          <w:lang w:bidi="ar-LB"/>
        </w:rPr>
      </w:pPr>
      <w:r w:rsidRPr="008D64F9">
        <w:rPr>
          <w:rtl/>
          <w:lang w:bidi="ar-LB"/>
        </w:rPr>
        <w:t>تشير الفقرة (3) إلى أن تحديد العائدات المالية المتعلقة بحق التتبع وإجراءات تحصيلها هو من اختصاص القوانين الوطنية.</w:t>
      </w:r>
    </w:p>
    <w:p w14:paraId="5FC3359E" w14:textId="5EECCDA1" w:rsidR="008D64F9" w:rsidRDefault="008D64F9">
      <w:pPr>
        <w:bidi w:val="0"/>
        <w:rPr>
          <w:rFonts w:eastAsia="Times New Roman"/>
          <w:rtl/>
          <w:lang w:val="en-AU" w:eastAsia="en-US"/>
        </w:rPr>
      </w:pPr>
      <w:r>
        <w:rPr>
          <w:rtl/>
          <w:lang w:val="en-AU"/>
        </w:rPr>
        <w:br w:type="page"/>
      </w:r>
    </w:p>
    <w:p w14:paraId="5F81FD92" w14:textId="77777777" w:rsidR="008D64F9" w:rsidRPr="00850727" w:rsidRDefault="008D64F9" w:rsidP="00534856">
      <w:pPr>
        <w:pStyle w:val="Heading2"/>
        <w:rPr>
          <w:rtl/>
        </w:rPr>
      </w:pPr>
      <w:r w:rsidRPr="00850727">
        <w:rPr>
          <w:rtl/>
        </w:rPr>
        <w:lastRenderedPageBreak/>
        <w:t>المسائل التي ينبغي مراعاتها عند وضع مخطط وطني لحق التتبع</w:t>
      </w:r>
    </w:p>
    <w:p w14:paraId="18E9A90D" w14:textId="77777777" w:rsidR="008D64F9" w:rsidRPr="008D64F9" w:rsidRDefault="008D64F9" w:rsidP="008D64F9">
      <w:pPr>
        <w:pStyle w:val="ONUMA"/>
        <w:rPr>
          <w:rtl/>
          <w:lang w:bidi="ar-LB"/>
        </w:rPr>
      </w:pPr>
      <w:r w:rsidRPr="008D64F9">
        <w:rPr>
          <w:rtl/>
          <w:lang w:bidi="ar-LB"/>
        </w:rPr>
        <w:t>تتناول الأقسام التالية المسائل الرئيسية التي ينبغي أخذها في الاعتبار عند تصميم مخطط وطني لحق التتبع، وتحتوي ايضا على أحكام تشريعية مقترحة يمكن اعتمادها لتنفيذ مثل هذا المخطط أو تحسين المخطط الموجود مسبقا.</w:t>
      </w:r>
      <w:r w:rsidRPr="008D64F9">
        <w:rPr>
          <w:lang w:val="en-AU"/>
        </w:rPr>
        <w:t xml:space="preserve"> </w:t>
      </w:r>
      <w:r w:rsidRPr="008D64F9">
        <w:rPr>
          <w:rtl/>
          <w:lang w:bidi="ar-LB"/>
        </w:rPr>
        <w:t>وقد تم صياغة هذه الأحكام "النموذجية" بطريقة تتماشى مع محتوى اتفاقية برن، وهي تستند إلى أحكام موجودة في القوانين الوطنية القائمة والتي تمت الإشارة إليها بوضوح لمساعدة القراء.</w:t>
      </w:r>
      <w:r w:rsidRPr="008D64F9">
        <w:rPr>
          <w:lang w:val="en-AU"/>
        </w:rPr>
        <w:t xml:space="preserve"> </w:t>
      </w:r>
      <w:r w:rsidRPr="008D64F9">
        <w:rPr>
          <w:rtl/>
          <w:lang w:bidi="ar-LB"/>
        </w:rPr>
        <w:t xml:space="preserve">كما تم تقديم تعليقات على مختلف الأحكام، مع الأخذ في الاعتبار أن الخلفيات القانونية والتنظيمية للدول الأعضاء في اتفاقية برن قد تختلف إلى حد كبير.      </w:t>
      </w:r>
    </w:p>
    <w:p w14:paraId="461CDFFD" w14:textId="77777777" w:rsidR="008D64F9" w:rsidRPr="008D64F9" w:rsidRDefault="008D64F9" w:rsidP="008D64F9">
      <w:pPr>
        <w:pStyle w:val="ONUMA"/>
        <w:rPr>
          <w:rtl/>
          <w:lang w:bidi="ar-LB"/>
        </w:rPr>
      </w:pPr>
      <w:r w:rsidRPr="008D64F9">
        <w:rPr>
          <w:rtl/>
          <w:lang w:bidi="ar-LB"/>
        </w:rPr>
        <w:t xml:space="preserve">الأمور التي ينبغي مراعاتها هي:    </w:t>
      </w:r>
    </w:p>
    <w:p w14:paraId="5CC9D4FC" w14:textId="77777777" w:rsidR="008D64F9" w:rsidRPr="008D64F9" w:rsidRDefault="008D64F9">
      <w:pPr>
        <w:pStyle w:val="ONUMA"/>
        <w:numPr>
          <w:ilvl w:val="1"/>
          <w:numId w:val="4"/>
        </w:numPr>
        <w:rPr>
          <w:rtl/>
          <w:lang w:bidi="ar-LB"/>
        </w:rPr>
      </w:pPr>
      <w:r w:rsidRPr="008D64F9">
        <w:rPr>
          <w:rtl/>
          <w:lang w:bidi="ar-LB"/>
        </w:rPr>
        <w:t>أهداف مخطط حق التتبع</w:t>
      </w:r>
    </w:p>
    <w:p w14:paraId="45FCACDA" w14:textId="77777777" w:rsidR="008D64F9" w:rsidRPr="008D64F9" w:rsidRDefault="008D64F9">
      <w:pPr>
        <w:pStyle w:val="ONUMA"/>
        <w:numPr>
          <w:ilvl w:val="1"/>
          <w:numId w:val="4"/>
        </w:numPr>
        <w:rPr>
          <w:rtl/>
          <w:lang w:bidi="ar-LB"/>
        </w:rPr>
      </w:pPr>
      <w:r w:rsidRPr="008D64F9">
        <w:rPr>
          <w:rtl/>
          <w:lang w:bidi="ar-LB"/>
        </w:rPr>
        <w:t>تعريف حق التتبع</w:t>
      </w:r>
    </w:p>
    <w:p w14:paraId="097FF0DA" w14:textId="77777777" w:rsidR="008D64F9" w:rsidRPr="008D64F9" w:rsidRDefault="008D64F9">
      <w:pPr>
        <w:pStyle w:val="ONUMA"/>
        <w:numPr>
          <w:ilvl w:val="1"/>
          <w:numId w:val="4"/>
        </w:numPr>
        <w:rPr>
          <w:rtl/>
          <w:lang w:bidi="ar-LB"/>
        </w:rPr>
      </w:pPr>
      <w:r w:rsidRPr="008D64F9">
        <w:rPr>
          <w:rtl/>
          <w:lang w:bidi="ar-LB"/>
        </w:rPr>
        <w:t>المصنفات التي يشملها حق التتبع</w:t>
      </w:r>
      <w:r w:rsidRPr="008D64F9">
        <w:rPr>
          <w:lang w:val="en-AU"/>
        </w:rPr>
        <w:t xml:space="preserve"> </w:t>
      </w:r>
    </w:p>
    <w:p w14:paraId="0C47A3E1" w14:textId="77777777" w:rsidR="008D64F9" w:rsidRPr="008D64F9" w:rsidRDefault="008D64F9">
      <w:pPr>
        <w:pStyle w:val="ONUMA"/>
        <w:numPr>
          <w:ilvl w:val="1"/>
          <w:numId w:val="4"/>
        </w:numPr>
        <w:rPr>
          <w:rtl/>
          <w:lang w:bidi="ar-LB"/>
        </w:rPr>
      </w:pPr>
      <w:r w:rsidRPr="008D64F9">
        <w:rPr>
          <w:rtl/>
          <w:lang w:bidi="ar-LB"/>
        </w:rPr>
        <w:t>المصنفات المستثناة من حق التتبع</w:t>
      </w:r>
    </w:p>
    <w:p w14:paraId="3366A98F" w14:textId="77777777" w:rsidR="008D64F9" w:rsidRPr="008D64F9" w:rsidRDefault="008D64F9">
      <w:pPr>
        <w:pStyle w:val="ONUMA"/>
        <w:numPr>
          <w:ilvl w:val="1"/>
          <w:numId w:val="4"/>
        </w:numPr>
        <w:rPr>
          <w:rtl/>
          <w:lang w:bidi="ar-LB"/>
        </w:rPr>
      </w:pPr>
      <w:r w:rsidRPr="008D64F9">
        <w:rPr>
          <w:rtl/>
          <w:lang w:bidi="ar-LB"/>
        </w:rPr>
        <w:t>عمليات إعادة البيع التي يغطيها حق التتبع</w:t>
      </w:r>
      <w:r w:rsidRPr="008D64F9">
        <w:rPr>
          <w:lang w:val="en-AU"/>
        </w:rPr>
        <w:t xml:space="preserve"> </w:t>
      </w:r>
    </w:p>
    <w:p w14:paraId="04839CFB" w14:textId="77777777" w:rsidR="008D64F9" w:rsidRPr="008D64F9" w:rsidRDefault="008D64F9">
      <w:pPr>
        <w:pStyle w:val="ONUMA"/>
        <w:numPr>
          <w:ilvl w:val="1"/>
          <w:numId w:val="4"/>
        </w:numPr>
        <w:rPr>
          <w:rtl/>
          <w:lang w:bidi="ar-LB"/>
        </w:rPr>
      </w:pPr>
      <w:r w:rsidRPr="008D64F9">
        <w:rPr>
          <w:rtl/>
          <w:lang w:bidi="ar-LB"/>
        </w:rPr>
        <w:t>عمليات إعادة البيع المستثناة من حق التتبع</w:t>
      </w:r>
    </w:p>
    <w:p w14:paraId="482A0E58" w14:textId="77777777" w:rsidR="008D64F9" w:rsidRPr="008D64F9" w:rsidRDefault="008D64F9">
      <w:pPr>
        <w:pStyle w:val="ONUMA"/>
        <w:numPr>
          <w:ilvl w:val="1"/>
          <w:numId w:val="4"/>
        </w:numPr>
        <w:rPr>
          <w:rtl/>
          <w:lang w:bidi="ar-LB"/>
        </w:rPr>
      </w:pPr>
      <w:r w:rsidRPr="008D64F9">
        <w:rPr>
          <w:lang w:val="en-AU"/>
        </w:rPr>
        <w:t xml:space="preserve"> </w:t>
      </w:r>
      <w:r w:rsidRPr="008D64F9">
        <w:rPr>
          <w:rtl/>
          <w:lang w:bidi="ar-LB"/>
        </w:rPr>
        <w:t>ما الذي يشمله سعر البيع/إعادة البيع؟</w:t>
      </w:r>
    </w:p>
    <w:p w14:paraId="1075128C" w14:textId="77777777" w:rsidR="008D64F9" w:rsidRPr="008D64F9" w:rsidRDefault="008D64F9">
      <w:pPr>
        <w:pStyle w:val="ONUMA"/>
        <w:numPr>
          <w:ilvl w:val="1"/>
          <w:numId w:val="4"/>
        </w:numPr>
        <w:rPr>
          <w:rtl/>
          <w:lang w:bidi="ar-LB"/>
        </w:rPr>
      </w:pPr>
      <w:r w:rsidRPr="008D64F9">
        <w:rPr>
          <w:lang w:val="en-AU"/>
        </w:rPr>
        <w:t xml:space="preserve"> </w:t>
      </w:r>
      <w:r w:rsidRPr="008D64F9">
        <w:rPr>
          <w:rtl/>
          <w:lang w:bidi="ar-LB"/>
        </w:rPr>
        <w:t>المبلغ المطلوب تحصيله</w:t>
      </w:r>
    </w:p>
    <w:p w14:paraId="765550C2" w14:textId="77777777" w:rsidR="008D64F9" w:rsidRPr="008D64F9" w:rsidRDefault="008D64F9">
      <w:pPr>
        <w:pStyle w:val="ONUMA"/>
        <w:numPr>
          <w:ilvl w:val="1"/>
          <w:numId w:val="4"/>
        </w:numPr>
        <w:rPr>
          <w:rtl/>
          <w:lang w:bidi="ar-LB"/>
        </w:rPr>
      </w:pPr>
      <w:r w:rsidRPr="008D64F9">
        <w:rPr>
          <w:lang w:val="en-AU"/>
        </w:rPr>
        <w:t xml:space="preserve"> </w:t>
      </w:r>
      <w:r w:rsidRPr="008D64F9">
        <w:rPr>
          <w:rtl/>
          <w:lang w:bidi="ar-LB"/>
        </w:rPr>
        <w:t>من هو المسؤول عن دفع إتاوة حق التتبع</w:t>
      </w:r>
      <w:r w:rsidRPr="008D64F9">
        <w:rPr>
          <w:lang w:val="en-AU"/>
        </w:rPr>
        <w:t xml:space="preserve"> </w:t>
      </w:r>
    </w:p>
    <w:p w14:paraId="420822C1" w14:textId="77777777" w:rsidR="008D64F9" w:rsidRPr="008D64F9" w:rsidRDefault="008D64F9">
      <w:pPr>
        <w:pStyle w:val="ONUMA"/>
        <w:numPr>
          <w:ilvl w:val="1"/>
          <w:numId w:val="4"/>
        </w:numPr>
        <w:rPr>
          <w:rtl/>
          <w:lang w:bidi="ar-LB"/>
        </w:rPr>
      </w:pPr>
      <w:r w:rsidRPr="008D64F9">
        <w:rPr>
          <w:rtl/>
          <w:lang w:bidi="ar-LB"/>
        </w:rPr>
        <w:t>إدارة حق التتبع</w:t>
      </w:r>
    </w:p>
    <w:p w14:paraId="4D2A1EC1" w14:textId="77777777" w:rsidR="008D64F9" w:rsidRPr="008D64F9" w:rsidRDefault="008D64F9">
      <w:pPr>
        <w:pStyle w:val="ONUMA"/>
        <w:numPr>
          <w:ilvl w:val="1"/>
          <w:numId w:val="4"/>
        </w:numPr>
        <w:rPr>
          <w:rtl/>
          <w:lang w:bidi="ar-LB"/>
        </w:rPr>
      </w:pPr>
      <w:r w:rsidRPr="008D64F9">
        <w:rPr>
          <w:rtl/>
          <w:lang w:bidi="ar-LB"/>
        </w:rPr>
        <w:t>مدة حق التتبع</w:t>
      </w:r>
    </w:p>
    <w:p w14:paraId="63EAA761" w14:textId="77777777" w:rsidR="008D64F9" w:rsidRPr="008D64F9" w:rsidRDefault="008D64F9">
      <w:pPr>
        <w:pStyle w:val="ONUMA"/>
        <w:numPr>
          <w:ilvl w:val="1"/>
          <w:numId w:val="4"/>
        </w:numPr>
        <w:rPr>
          <w:rtl/>
          <w:lang w:bidi="ar-LB"/>
        </w:rPr>
      </w:pPr>
      <w:r w:rsidRPr="008D64F9">
        <w:rPr>
          <w:rtl/>
          <w:lang w:bidi="ar-LB"/>
        </w:rPr>
        <w:t>خصائص أخرى لحق التتبع – التصرّف والتنازل</w:t>
      </w:r>
    </w:p>
    <w:p w14:paraId="3C242934" w14:textId="77777777" w:rsidR="008D64F9" w:rsidRPr="008D64F9" w:rsidRDefault="008D64F9">
      <w:pPr>
        <w:pStyle w:val="ONUMA"/>
        <w:numPr>
          <w:ilvl w:val="1"/>
          <w:numId w:val="4"/>
        </w:numPr>
        <w:rPr>
          <w:rtl/>
          <w:lang w:bidi="ar-LB"/>
        </w:rPr>
      </w:pPr>
      <w:r w:rsidRPr="008D64F9">
        <w:rPr>
          <w:rtl/>
          <w:lang w:bidi="ar-LB"/>
        </w:rPr>
        <w:t>أهلية الحصول على حق التتبع والأشخاص الأجانب الذين يطالبون بالحق</w:t>
      </w:r>
    </w:p>
    <w:p w14:paraId="524D781F" w14:textId="77777777" w:rsidR="008D64F9" w:rsidRPr="008D64F9" w:rsidRDefault="008D64F9">
      <w:pPr>
        <w:pStyle w:val="ONUMA"/>
        <w:numPr>
          <w:ilvl w:val="1"/>
          <w:numId w:val="4"/>
        </w:numPr>
        <w:rPr>
          <w:rtl/>
          <w:lang w:bidi="ar-LB"/>
        </w:rPr>
      </w:pPr>
      <w:r w:rsidRPr="008D64F9">
        <w:rPr>
          <w:rtl/>
          <w:lang w:bidi="ar-LB"/>
        </w:rPr>
        <w:t>المسائل المتعلقة بالخلافة – ورثة المؤلفين وخلفاؤهم</w:t>
      </w:r>
    </w:p>
    <w:p w14:paraId="01061B00" w14:textId="77777777" w:rsidR="008D64F9" w:rsidRPr="008D64F9" w:rsidRDefault="008D64F9">
      <w:pPr>
        <w:pStyle w:val="ONUMA"/>
        <w:numPr>
          <w:ilvl w:val="1"/>
          <w:numId w:val="4"/>
        </w:numPr>
        <w:rPr>
          <w:rtl/>
          <w:lang w:bidi="ar-LB"/>
        </w:rPr>
      </w:pPr>
      <w:r w:rsidRPr="008D64F9">
        <w:rPr>
          <w:rtl/>
          <w:lang w:bidi="ar-LB"/>
        </w:rPr>
        <w:t>بعض الأحكام المفيدة الأخرى</w:t>
      </w:r>
    </w:p>
    <w:p w14:paraId="62468B64" w14:textId="09B4D9F9" w:rsidR="008D64F9" w:rsidRPr="008D64F9" w:rsidRDefault="008D64F9">
      <w:pPr>
        <w:pStyle w:val="ONUMA"/>
        <w:numPr>
          <w:ilvl w:val="2"/>
          <w:numId w:val="4"/>
        </w:numPr>
        <w:rPr>
          <w:rtl/>
          <w:lang w:bidi="ar-LB"/>
        </w:rPr>
      </w:pPr>
      <w:r w:rsidRPr="008D64F9">
        <w:rPr>
          <w:rtl/>
          <w:lang w:bidi="ar-LB"/>
        </w:rPr>
        <w:t>الحقوق المشتركة</w:t>
      </w:r>
    </w:p>
    <w:p w14:paraId="475E649A" w14:textId="7664FF28" w:rsidR="008D64F9" w:rsidRPr="008D64F9" w:rsidRDefault="008D64F9">
      <w:pPr>
        <w:pStyle w:val="ONUMA"/>
        <w:numPr>
          <w:ilvl w:val="2"/>
          <w:numId w:val="4"/>
        </w:numPr>
        <w:rPr>
          <w:rtl/>
          <w:lang w:bidi="ar-LB"/>
        </w:rPr>
      </w:pPr>
      <w:r w:rsidRPr="008D64F9">
        <w:rPr>
          <w:rtl/>
          <w:lang w:bidi="ar-LB"/>
        </w:rPr>
        <w:t>إثبات نسبة المصنف إلى المؤلف وبعض الافتراضات المفيدة</w:t>
      </w:r>
    </w:p>
    <w:p w14:paraId="0B46551F" w14:textId="77777777" w:rsidR="008D64F9" w:rsidRPr="008D64F9" w:rsidRDefault="008D64F9">
      <w:pPr>
        <w:pStyle w:val="ONUMA"/>
        <w:numPr>
          <w:ilvl w:val="2"/>
          <w:numId w:val="4"/>
        </w:numPr>
        <w:rPr>
          <w:rtl/>
          <w:lang w:bidi="ar-LB"/>
        </w:rPr>
      </w:pPr>
      <w:r w:rsidRPr="008D64F9">
        <w:rPr>
          <w:rtl/>
          <w:lang w:bidi="ar-LB"/>
        </w:rPr>
        <w:t>الحق في طلب المعلومات</w:t>
      </w:r>
    </w:p>
    <w:p w14:paraId="243C2C54" w14:textId="77777777" w:rsidR="008D64F9" w:rsidRPr="008D64F9" w:rsidRDefault="008D64F9">
      <w:pPr>
        <w:pStyle w:val="ONUMA"/>
        <w:numPr>
          <w:ilvl w:val="2"/>
          <w:numId w:val="4"/>
        </w:numPr>
        <w:rPr>
          <w:rtl/>
          <w:lang w:bidi="ar-LB"/>
        </w:rPr>
      </w:pPr>
      <w:r w:rsidRPr="008D64F9">
        <w:rPr>
          <w:lang w:val="en-AU"/>
        </w:rPr>
        <w:t xml:space="preserve"> </w:t>
      </w:r>
      <w:r w:rsidRPr="008D64F9">
        <w:rPr>
          <w:rtl/>
          <w:lang w:bidi="ar-LB"/>
        </w:rPr>
        <w:t>متى ينبغي تطبيق مخطط حق التتبع والفترات الانتقالية.</w:t>
      </w:r>
      <w:r w:rsidRPr="008D64F9">
        <w:rPr>
          <w:lang w:val="en-AU"/>
        </w:rPr>
        <w:t xml:space="preserve"> </w:t>
      </w:r>
    </w:p>
    <w:p w14:paraId="3CE0EFFF" w14:textId="77777777" w:rsidR="008D64F9" w:rsidRPr="00850727" w:rsidRDefault="008D64F9" w:rsidP="00534856">
      <w:pPr>
        <w:pStyle w:val="Heading2"/>
        <w:rPr>
          <w:rtl/>
        </w:rPr>
      </w:pPr>
      <w:r w:rsidRPr="00850727">
        <w:rPr>
          <w:rtl/>
        </w:rPr>
        <w:t>أهداف مخطط حق التتبع</w:t>
      </w:r>
    </w:p>
    <w:p w14:paraId="1C63E5F3" w14:textId="77777777" w:rsidR="008D64F9" w:rsidRPr="008D64F9" w:rsidRDefault="008D64F9" w:rsidP="008D64F9">
      <w:pPr>
        <w:pStyle w:val="ONUMA"/>
        <w:rPr>
          <w:u w:val="single"/>
          <w:rtl/>
          <w:lang w:bidi="ar-LB"/>
        </w:rPr>
      </w:pPr>
      <w:r w:rsidRPr="008D64F9">
        <w:rPr>
          <w:lang w:val="en-AU"/>
        </w:rPr>
        <w:t xml:space="preserve"> </w:t>
      </w:r>
      <w:r w:rsidRPr="008D64F9">
        <w:rPr>
          <w:rtl/>
          <w:lang w:bidi="ar-LB"/>
        </w:rPr>
        <w:t>من المفضل عادة صياغة بيان بالأهداف لأي مخطط تشريعي جديد.</w:t>
      </w:r>
      <w:r w:rsidRPr="008D64F9">
        <w:rPr>
          <w:lang w:val="en-AU"/>
        </w:rPr>
        <w:t xml:space="preserve"> </w:t>
      </w:r>
      <w:r w:rsidRPr="008D64F9">
        <w:rPr>
          <w:rtl/>
          <w:lang w:bidi="ar-LB"/>
        </w:rPr>
        <w:t>وقد تختلف الأساليب التشريعية الوطنية من حيث كمية التفاصيل التي يجب تضمينها في مثل هذه البيانات - وقد تفضل بعض البلدان عدم تضمين أي تفاصيل أو الإشارة إلى مراجعها ببساطة.</w:t>
      </w:r>
      <w:r w:rsidRPr="008D64F9">
        <w:rPr>
          <w:lang w:val="en-AU"/>
        </w:rPr>
        <w:t xml:space="preserve"> </w:t>
      </w:r>
      <w:r w:rsidRPr="008D64F9">
        <w:rPr>
          <w:rtl/>
          <w:lang w:bidi="ar-LB"/>
        </w:rPr>
        <w:t>وقد يختار البعض بيانًا موجزًا للأهداف، في حين قد يختار آخرون بيانًا أطول لتوضيح أسباب أو مبررات المخطط الجديد.</w:t>
      </w:r>
      <w:r w:rsidRPr="008D64F9">
        <w:rPr>
          <w:lang w:val="en-AU"/>
        </w:rPr>
        <w:t xml:space="preserve"> </w:t>
      </w:r>
      <w:r w:rsidRPr="008D64F9">
        <w:rPr>
          <w:rtl/>
          <w:lang w:bidi="ar-LB"/>
        </w:rPr>
        <w:t xml:space="preserve">ومن الممكن العثور على مثال لهذا البيان الموسع في الحيثيات الثلاثين لتوجيه المفوضية الأوروبية بشأن حق التتبع، والتي تقدم شرحاً </w:t>
      </w:r>
      <w:r w:rsidRPr="008D64F9">
        <w:rPr>
          <w:rtl/>
          <w:lang w:bidi="ar-LB"/>
        </w:rPr>
        <w:lastRenderedPageBreak/>
        <w:t xml:space="preserve">مفصلاً لأسباب </w:t>
      </w:r>
      <w:r w:rsidRPr="008D64F9">
        <w:rPr>
          <w:rFonts w:hint="cs"/>
          <w:rtl/>
          <w:lang w:bidi="ar-LB"/>
        </w:rPr>
        <w:t>اعتماد</w:t>
      </w:r>
      <w:r w:rsidRPr="008D64F9">
        <w:rPr>
          <w:rtl/>
          <w:lang w:bidi="ar-LB"/>
        </w:rPr>
        <w:t xml:space="preserve"> مثل هذا المخطط وتحدد مكوناته المختلفة ومبرراتها.</w:t>
      </w:r>
      <w:r w:rsidRPr="008D64F9">
        <w:rPr>
          <w:lang w:val="en-AU"/>
        </w:rPr>
        <w:t xml:space="preserve"> </w:t>
      </w:r>
      <w:r w:rsidRPr="008D64F9">
        <w:rPr>
          <w:rtl/>
          <w:lang w:bidi="ar-LB"/>
        </w:rPr>
        <w:t xml:space="preserve">ووفقا للتقاليد التشريعية للبلد، قد تكون مثل هذه البيانات مفيدة للمحاكم الوطنية عند تفسير الأحكام الموضوعية للمخطط.   </w:t>
      </w:r>
    </w:p>
    <w:p w14:paraId="304CE00E" w14:textId="77777777" w:rsidR="008D64F9" w:rsidRPr="008D64F9" w:rsidRDefault="008D64F9" w:rsidP="008D64F9">
      <w:pPr>
        <w:pStyle w:val="ONUMA"/>
        <w:rPr>
          <w:rtl/>
          <w:lang w:bidi="ar-LB"/>
        </w:rPr>
      </w:pPr>
      <w:r w:rsidRPr="008D64F9">
        <w:rPr>
          <w:rtl/>
          <w:lang w:bidi="ar-LB"/>
        </w:rPr>
        <w:t>يعرض الجدول 1 عدة مسودات بيانات قد تكون مفيدة لواضعي السياسات والمشرعين على المستوى الوطني.</w:t>
      </w:r>
      <w:r w:rsidRPr="008D64F9">
        <w:rPr>
          <w:lang w:val="en-AU"/>
        </w:rPr>
        <w:t xml:space="preserve"> </w:t>
      </w:r>
    </w:p>
    <w:p w14:paraId="103C53AD" w14:textId="77777777" w:rsidR="008D64F9" w:rsidRPr="008D64F9" w:rsidRDefault="008D64F9" w:rsidP="00850727">
      <w:pPr>
        <w:spacing w:after="240"/>
        <w:rPr>
          <w:rFonts w:asciiTheme="minorHAnsi" w:hAnsiTheme="minorHAnsi" w:cstheme="minorHAnsi"/>
          <w:bCs/>
          <w:i/>
          <w:iCs/>
          <w:rtl/>
          <w:lang w:bidi="ar-LB"/>
        </w:rPr>
      </w:pPr>
      <w:r w:rsidRPr="008D64F9">
        <w:rPr>
          <w:rFonts w:asciiTheme="minorHAnsi" w:hAnsiTheme="minorHAnsi" w:cstheme="minorHAnsi" w:hint="cs"/>
          <w:bCs/>
          <w:i/>
          <w:iCs/>
          <w:rtl/>
          <w:lang w:bidi="ar-LB"/>
        </w:rPr>
        <w:t>الجدول 1</w:t>
      </w:r>
      <w:r w:rsidRPr="008D64F9">
        <w:rPr>
          <w:rFonts w:asciiTheme="minorHAnsi" w:hAnsiTheme="minorHAnsi" w:cstheme="minorHAnsi"/>
          <w:bCs/>
          <w:i/>
          <w:iCs/>
        </w:rPr>
        <w:t xml:space="preserve"> </w:t>
      </w:r>
    </w:p>
    <w:tbl>
      <w:tblPr>
        <w:tblStyle w:val="TableGrid"/>
        <w:bidiVisual/>
        <w:tblW w:w="0" w:type="auto"/>
        <w:tblInd w:w="360" w:type="dxa"/>
        <w:tblLook w:val="04A0" w:firstRow="1" w:lastRow="0" w:firstColumn="1" w:lastColumn="0" w:noHBand="0" w:noVBand="1"/>
      </w:tblPr>
      <w:tblGrid>
        <w:gridCol w:w="2817"/>
        <w:gridCol w:w="2911"/>
        <w:gridCol w:w="2922"/>
      </w:tblGrid>
      <w:tr w:rsidR="008D64F9" w:rsidRPr="008D64F9" w14:paraId="7E78AD3D" w14:textId="77777777" w:rsidTr="00101B5A">
        <w:tc>
          <w:tcPr>
            <w:tcW w:w="2817" w:type="dxa"/>
          </w:tcPr>
          <w:p w14:paraId="6CFDC4DC" w14:textId="77777777" w:rsidR="008D64F9" w:rsidRPr="00850727" w:rsidRDefault="008D64F9" w:rsidP="008D64F9">
            <w:pPr>
              <w:pStyle w:val="BodyText"/>
              <w:rPr>
                <w:b/>
                <w:bCs/>
                <w:u w:val="single"/>
                <w:rtl/>
                <w:lang w:bidi="ar-LB"/>
              </w:rPr>
            </w:pPr>
            <w:r w:rsidRPr="00850727">
              <w:rPr>
                <w:b/>
                <w:bCs/>
                <w:rtl/>
                <w:lang w:bidi="ar-LB"/>
              </w:rPr>
              <w:t>نوع الحكم</w:t>
            </w:r>
          </w:p>
        </w:tc>
        <w:tc>
          <w:tcPr>
            <w:tcW w:w="2911" w:type="dxa"/>
          </w:tcPr>
          <w:p w14:paraId="5E762455" w14:textId="77777777" w:rsidR="008D64F9" w:rsidRPr="00850727" w:rsidRDefault="008D64F9" w:rsidP="008D64F9">
            <w:pPr>
              <w:pStyle w:val="BodyText"/>
              <w:rPr>
                <w:b/>
                <w:bCs/>
                <w:u w:val="single"/>
                <w:rtl/>
                <w:lang w:bidi="ar-LB"/>
              </w:rPr>
            </w:pPr>
            <w:r w:rsidRPr="00850727">
              <w:rPr>
                <w:b/>
                <w:bCs/>
                <w:rtl/>
                <w:lang w:bidi="ar-LB"/>
              </w:rPr>
              <w:t>النص المقترح</w:t>
            </w:r>
          </w:p>
        </w:tc>
        <w:tc>
          <w:tcPr>
            <w:tcW w:w="2922" w:type="dxa"/>
          </w:tcPr>
          <w:p w14:paraId="755CA6D2" w14:textId="77777777" w:rsidR="008D64F9" w:rsidRPr="00850727" w:rsidRDefault="008D64F9" w:rsidP="008D64F9">
            <w:pPr>
              <w:pStyle w:val="BodyText"/>
              <w:rPr>
                <w:b/>
                <w:bCs/>
                <w:u w:val="single"/>
                <w:rtl/>
                <w:lang w:bidi="ar-LB"/>
              </w:rPr>
            </w:pPr>
            <w:r w:rsidRPr="00850727">
              <w:rPr>
                <w:b/>
                <w:bCs/>
                <w:rtl/>
                <w:lang w:bidi="ar-LB"/>
              </w:rPr>
              <w:t>تعليقات/ملاحظات</w:t>
            </w:r>
          </w:p>
        </w:tc>
      </w:tr>
      <w:tr w:rsidR="008D64F9" w:rsidRPr="008D64F9" w14:paraId="61A74F3D" w14:textId="77777777" w:rsidTr="00101B5A">
        <w:tc>
          <w:tcPr>
            <w:tcW w:w="2817" w:type="dxa"/>
          </w:tcPr>
          <w:p w14:paraId="769AED2D" w14:textId="77777777" w:rsidR="008D64F9" w:rsidRPr="008D64F9" w:rsidRDefault="008D64F9" w:rsidP="008D64F9">
            <w:pPr>
              <w:pStyle w:val="BodyText"/>
              <w:rPr>
                <w:rtl/>
                <w:lang w:bidi="ar-LB"/>
              </w:rPr>
            </w:pPr>
            <w:r w:rsidRPr="008D64F9">
              <w:rPr>
                <w:rtl/>
                <w:lang w:bidi="ar-LB"/>
              </w:rPr>
              <w:t>بيان قصير (قد يتم تضمينه في عنوان التشريع)</w:t>
            </w:r>
            <w:r w:rsidRPr="008D64F9">
              <w:rPr>
                <w:lang w:val="en-AU"/>
              </w:rPr>
              <w:t xml:space="preserve"> </w:t>
            </w:r>
          </w:p>
        </w:tc>
        <w:tc>
          <w:tcPr>
            <w:tcW w:w="2911" w:type="dxa"/>
          </w:tcPr>
          <w:p w14:paraId="3089C678" w14:textId="77777777" w:rsidR="008D64F9" w:rsidRPr="008D64F9" w:rsidRDefault="008D64F9" w:rsidP="008D64F9">
            <w:pPr>
              <w:pStyle w:val="BodyText"/>
              <w:rPr>
                <w:rtl/>
                <w:lang w:bidi="ar-LB"/>
              </w:rPr>
            </w:pPr>
            <w:r w:rsidRPr="008D64F9">
              <w:rPr>
                <w:rtl/>
                <w:lang w:bidi="ar-LB"/>
              </w:rPr>
              <w:t>الهدف من هذا القانون هو إنشاء حق مؤلف يتعلق بإعادة بيع المصنفات الفنية الأصلية للمؤلف [والمخطوطات الأصلية للمصنفات الأدبية والدرامية والموسيقية] ولأغراض ذات صلة</w:t>
            </w:r>
          </w:p>
        </w:tc>
        <w:tc>
          <w:tcPr>
            <w:tcW w:w="2922" w:type="dxa"/>
          </w:tcPr>
          <w:p w14:paraId="308FAB75" w14:textId="77777777" w:rsidR="008D64F9" w:rsidRPr="008D64F9" w:rsidRDefault="008D64F9">
            <w:pPr>
              <w:pStyle w:val="BodyText"/>
              <w:numPr>
                <w:ilvl w:val="0"/>
                <w:numId w:val="14"/>
              </w:numPr>
              <w:ind w:left="360"/>
              <w:rPr>
                <w:rtl/>
                <w:lang w:bidi="ar-LB"/>
              </w:rPr>
            </w:pPr>
            <w:r w:rsidRPr="008D64F9">
              <w:rPr>
                <w:rtl/>
                <w:lang w:bidi="ar-LB"/>
              </w:rPr>
              <w:t>واضح ومختصر.</w:t>
            </w:r>
          </w:p>
          <w:p w14:paraId="12B17462" w14:textId="77777777" w:rsidR="008D64F9" w:rsidRPr="008D64F9" w:rsidRDefault="008D64F9">
            <w:pPr>
              <w:pStyle w:val="BodyText"/>
              <w:numPr>
                <w:ilvl w:val="0"/>
                <w:numId w:val="14"/>
              </w:numPr>
              <w:ind w:left="360"/>
              <w:rPr>
                <w:rtl/>
                <w:lang w:bidi="ar-LB"/>
              </w:rPr>
            </w:pPr>
            <w:r w:rsidRPr="008D64F9">
              <w:rPr>
                <w:rtl/>
                <w:lang w:bidi="ar-LB"/>
              </w:rPr>
              <w:t>من الواضح أن تفاصيل الحق الذي سيتم منحه متروكة لأحكام المخطط التشريعي الذي يليه، على سبيل المثال فيما يتعلق بأنواع المصنفات، وطبيعة الحق ومدته، وما إلى ذلك.</w:t>
            </w:r>
          </w:p>
          <w:p w14:paraId="3CCA9504" w14:textId="77777777" w:rsidR="008D64F9" w:rsidRPr="008D64F9" w:rsidRDefault="008D64F9">
            <w:pPr>
              <w:pStyle w:val="BodyText"/>
              <w:numPr>
                <w:ilvl w:val="0"/>
                <w:numId w:val="14"/>
              </w:numPr>
              <w:ind w:left="360"/>
              <w:rPr>
                <w:rtl/>
                <w:lang w:bidi="ar-LB"/>
              </w:rPr>
            </w:pPr>
            <w:r w:rsidRPr="008D64F9">
              <w:rPr>
                <w:rFonts w:hint="cs"/>
                <w:rtl/>
                <w:lang w:bidi="ar-LB"/>
              </w:rPr>
              <w:t>ي</w:t>
            </w:r>
            <w:r w:rsidRPr="008D64F9">
              <w:rPr>
                <w:rtl/>
                <w:lang w:bidi="ar-LB"/>
              </w:rPr>
              <w:t>شدد على أن هذا الحق هو حق يعود للمؤلف.</w:t>
            </w:r>
          </w:p>
          <w:p w14:paraId="42C383E2" w14:textId="77777777" w:rsidR="008D64F9" w:rsidRPr="008D64F9" w:rsidRDefault="008D64F9">
            <w:pPr>
              <w:pStyle w:val="BodyText"/>
              <w:numPr>
                <w:ilvl w:val="0"/>
                <w:numId w:val="14"/>
              </w:numPr>
              <w:ind w:left="360"/>
              <w:rPr>
                <w:rtl/>
                <w:lang w:bidi="ar-LB"/>
              </w:rPr>
            </w:pPr>
            <w:r w:rsidRPr="008D64F9">
              <w:rPr>
                <w:rtl/>
                <w:lang w:bidi="ar-LB"/>
              </w:rPr>
              <w:t>تشير عبارة "الأغراض ذات الصلة" إلى أن المخطط يتناول مسائل أخرى (يتبع الأسلوب المستخدم في أستراليا وبعض البلدان الأخرى التي تطبق القانون العام).</w:t>
            </w:r>
            <w:r w:rsidRPr="008D64F9">
              <w:rPr>
                <w:vertAlign w:val="superscript"/>
                <w:lang w:val="en-AU"/>
              </w:rPr>
              <w:footnoteReference w:id="31"/>
            </w:r>
          </w:p>
        </w:tc>
      </w:tr>
      <w:tr w:rsidR="008D64F9" w:rsidRPr="008D64F9" w14:paraId="1DA011BF" w14:textId="77777777" w:rsidTr="00101B5A">
        <w:tc>
          <w:tcPr>
            <w:tcW w:w="2817" w:type="dxa"/>
          </w:tcPr>
          <w:p w14:paraId="6A97C4B4" w14:textId="77777777" w:rsidR="008D64F9" w:rsidRPr="008D64F9" w:rsidRDefault="008D64F9" w:rsidP="008D64F9">
            <w:pPr>
              <w:pStyle w:val="BodyText"/>
              <w:rPr>
                <w:rtl/>
                <w:lang w:bidi="ar-LB"/>
              </w:rPr>
            </w:pPr>
            <w:r w:rsidRPr="008D64F9">
              <w:rPr>
                <w:rtl/>
                <w:lang w:bidi="ar-LB"/>
              </w:rPr>
              <w:t>بيان أكثر تحديدًا حيث سيتم تغطية المصنفات الفنية وحدها</w:t>
            </w:r>
            <w:r w:rsidRPr="008D64F9">
              <w:rPr>
                <w:lang w:val="en-AU"/>
              </w:rPr>
              <w:t xml:space="preserve"> </w:t>
            </w:r>
          </w:p>
        </w:tc>
        <w:tc>
          <w:tcPr>
            <w:tcW w:w="2911" w:type="dxa"/>
          </w:tcPr>
          <w:p w14:paraId="5B621CA8" w14:textId="77777777" w:rsidR="008D64F9" w:rsidRPr="008D64F9" w:rsidRDefault="008D64F9" w:rsidP="008D64F9">
            <w:pPr>
              <w:pStyle w:val="BodyText"/>
              <w:rPr>
                <w:rtl/>
                <w:lang w:bidi="ar-LB"/>
              </w:rPr>
            </w:pPr>
            <w:r w:rsidRPr="008D64F9">
              <w:rPr>
                <w:rtl/>
                <w:lang w:bidi="ar-LB"/>
              </w:rPr>
              <w:t>الهدف من هذا القانون هو إنشاء حق حصري وغير قابل للتصرف للمؤلفين في الحصول على عائدات من إعادة بيع المصنفات الفنية الأصلية</w:t>
            </w:r>
            <w:r w:rsidRPr="008D64F9">
              <w:t xml:space="preserve"> </w:t>
            </w:r>
          </w:p>
        </w:tc>
        <w:tc>
          <w:tcPr>
            <w:tcW w:w="2922" w:type="dxa"/>
          </w:tcPr>
          <w:p w14:paraId="5DF24F1E" w14:textId="77777777" w:rsidR="008D64F9" w:rsidRPr="008D64F9" w:rsidRDefault="008D64F9">
            <w:pPr>
              <w:pStyle w:val="BodyText"/>
              <w:numPr>
                <w:ilvl w:val="0"/>
                <w:numId w:val="14"/>
              </w:numPr>
              <w:ind w:left="360"/>
              <w:rPr>
                <w:rtl/>
                <w:lang w:bidi="ar-LB"/>
              </w:rPr>
            </w:pPr>
            <w:r w:rsidRPr="008D64F9">
              <w:rPr>
                <w:rtl/>
                <w:lang w:bidi="ar-LB"/>
              </w:rPr>
              <w:t>يقتصر على "المصنفات الفنية" ولكن من الممكن توسيع نطاقه ليشمل المخطوطات الأصلية للمصنفات إذا أردنا ذلك.</w:t>
            </w:r>
          </w:p>
          <w:p w14:paraId="33D215EE" w14:textId="77777777" w:rsidR="008D64F9" w:rsidRPr="008D64F9" w:rsidRDefault="008D64F9">
            <w:pPr>
              <w:pStyle w:val="BodyText"/>
              <w:numPr>
                <w:ilvl w:val="0"/>
                <w:numId w:val="14"/>
              </w:numPr>
              <w:ind w:left="360"/>
              <w:rPr>
                <w:rtl/>
                <w:lang w:bidi="ar-LB"/>
              </w:rPr>
            </w:pPr>
            <w:r w:rsidRPr="008D64F9">
              <w:rPr>
                <w:rtl/>
                <w:lang w:bidi="ar-LB"/>
              </w:rPr>
              <w:t>يحدد الطبيعة الحصرية وغير القابلة للتصرف للحق.</w:t>
            </w:r>
          </w:p>
        </w:tc>
      </w:tr>
      <w:tr w:rsidR="008D64F9" w:rsidRPr="008D64F9" w14:paraId="1B0146E1" w14:textId="77777777" w:rsidTr="00101B5A">
        <w:tc>
          <w:tcPr>
            <w:tcW w:w="2817" w:type="dxa"/>
          </w:tcPr>
          <w:p w14:paraId="20D58E67" w14:textId="77777777" w:rsidR="008D64F9" w:rsidRPr="008D64F9" w:rsidRDefault="008D64F9" w:rsidP="008D64F9">
            <w:pPr>
              <w:pStyle w:val="BodyText"/>
              <w:rPr>
                <w:rtl/>
                <w:lang w:bidi="ar-LB"/>
              </w:rPr>
            </w:pPr>
            <w:r w:rsidRPr="008D64F9">
              <w:rPr>
                <w:rtl/>
                <w:lang w:bidi="ar-LB"/>
              </w:rPr>
              <w:t>حكم وطني حديث (نيوزيلندا)</w:t>
            </w:r>
          </w:p>
        </w:tc>
        <w:tc>
          <w:tcPr>
            <w:tcW w:w="2911" w:type="dxa"/>
          </w:tcPr>
          <w:p w14:paraId="3BC4B9DE" w14:textId="77777777" w:rsidR="008D64F9" w:rsidRPr="00850727" w:rsidRDefault="008D64F9" w:rsidP="008D64F9">
            <w:pPr>
              <w:pStyle w:val="BodyText"/>
              <w:rPr>
                <w:b/>
                <w:bCs/>
                <w:rtl/>
                <w:lang w:bidi="ar-LB"/>
              </w:rPr>
            </w:pPr>
            <w:r w:rsidRPr="00850727">
              <w:rPr>
                <w:b/>
                <w:bCs/>
                <w:rtl/>
                <w:lang w:bidi="ar-LB"/>
              </w:rPr>
              <w:t>3 الغرض</w:t>
            </w:r>
          </w:p>
          <w:p w14:paraId="051B5930" w14:textId="77777777" w:rsidR="008D64F9" w:rsidRPr="008D64F9" w:rsidRDefault="008D64F9" w:rsidP="008D64F9">
            <w:pPr>
              <w:pStyle w:val="BodyText"/>
              <w:rPr>
                <w:rtl/>
                <w:lang w:bidi="ar-LB"/>
              </w:rPr>
            </w:pPr>
            <w:r w:rsidRPr="008D64F9">
              <w:rPr>
                <w:rtl/>
                <w:lang w:bidi="ar-LB"/>
              </w:rPr>
              <w:t>الغرض من هذا القانون هو:</w:t>
            </w:r>
          </w:p>
          <w:p w14:paraId="05392A42" w14:textId="77777777" w:rsidR="008D64F9" w:rsidRPr="008D64F9" w:rsidRDefault="008D64F9" w:rsidP="008D64F9">
            <w:pPr>
              <w:pStyle w:val="BodyText"/>
              <w:rPr>
                <w:rtl/>
                <w:lang w:bidi="ar-LB"/>
              </w:rPr>
            </w:pPr>
            <w:r w:rsidRPr="008D64F9">
              <w:rPr>
                <w:rtl/>
                <w:lang w:bidi="ar-LB"/>
              </w:rPr>
              <w:t>(أ) توفير الحق للفنانين المؤهلين وحاملي الحقوق المتعاقبين في تلقي إتاوات من عمليات إعادة البيع المؤهلة للمصنفات الفنية البصرية الأصلية؛</w:t>
            </w:r>
          </w:p>
          <w:p w14:paraId="7D16D2B5" w14:textId="77777777" w:rsidR="008D64F9" w:rsidRPr="008D64F9" w:rsidRDefault="008D64F9" w:rsidP="008D64F9">
            <w:pPr>
              <w:pStyle w:val="BodyText"/>
              <w:rPr>
                <w:rtl/>
                <w:lang w:bidi="ar-LB"/>
              </w:rPr>
            </w:pPr>
            <w:r w:rsidRPr="008D64F9">
              <w:rPr>
                <w:rtl/>
                <w:lang w:bidi="ar-LB"/>
              </w:rPr>
              <w:t>(ب) إدارة الإتاوات بطريقة:</w:t>
            </w:r>
          </w:p>
          <w:p w14:paraId="6F9E5473" w14:textId="77777777" w:rsidR="008D64F9" w:rsidRPr="008D64F9" w:rsidRDefault="008D64F9" w:rsidP="008D64F9">
            <w:pPr>
              <w:pStyle w:val="BodyText"/>
              <w:rPr>
                <w:rtl/>
                <w:lang w:bidi="ar-LB"/>
              </w:rPr>
            </w:pPr>
            <w:r w:rsidRPr="008D64F9">
              <w:rPr>
                <w:rtl/>
                <w:lang w:bidi="ar-LB"/>
              </w:rPr>
              <w:lastRenderedPageBreak/>
              <w:t>(1) تعترف بدور أصحاب الأرض وتحترمه، وتوفّر الدعم المناسب ثقافياً لفناني أصحاب الأرض؛</w:t>
            </w:r>
          </w:p>
          <w:p w14:paraId="281AB2CB" w14:textId="77777777" w:rsidR="008D64F9" w:rsidRPr="008D64F9" w:rsidRDefault="008D64F9" w:rsidP="008D64F9">
            <w:pPr>
              <w:pStyle w:val="BodyText"/>
              <w:rPr>
                <w:rtl/>
                <w:lang w:bidi="ar-LB"/>
              </w:rPr>
            </w:pPr>
            <w:r w:rsidRPr="008D64F9">
              <w:rPr>
                <w:rtl/>
                <w:lang w:bidi="ar-LB"/>
              </w:rPr>
              <w:t>و (2) لا تستبعد أيًا من جميع الشعوب في نيوزيلندا وتعترف بالاحتياجات المختلفة لهم.</w:t>
            </w:r>
          </w:p>
        </w:tc>
        <w:tc>
          <w:tcPr>
            <w:tcW w:w="2922" w:type="dxa"/>
          </w:tcPr>
          <w:p w14:paraId="2349E8B2" w14:textId="77777777" w:rsidR="008D64F9" w:rsidRPr="008D64F9" w:rsidRDefault="008D64F9">
            <w:pPr>
              <w:pStyle w:val="BodyText"/>
              <w:numPr>
                <w:ilvl w:val="0"/>
                <w:numId w:val="14"/>
              </w:numPr>
              <w:ind w:left="360"/>
              <w:rPr>
                <w:rtl/>
                <w:lang w:bidi="ar-LB"/>
              </w:rPr>
            </w:pPr>
            <w:r w:rsidRPr="008D64F9">
              <w:rPr>
                <w:rtl/>
                <w:lang w:bidi="ar-LB"/>
              </w:rPr>
              <w:lastRenderedPageBreak/>
              <w:t>ينص على غرض القانون بوضوح</w:t>
            </w:r>
          </w:p>
          <w:p w14:paraId="6570AB0F" w14:textId="77777777" w:rsidR="008D64F9" w:rsidRPr="008D64F9" w:rsidRDefault="008D64F9">
            <w:pPr>
              <w:pStyle w:val="BodyText"/>
              <w:numPr>
                <w:ilvl w:val="0"/>
                <w:numId w:val="14"/>
              </w:numPr>
              <w:ind w:left="360"/>
              <w:rPr>
                <w:rtl/>
                <w:lang w:bidi="ar-LB"/>
              </w:rPr>
            </w:pPr>
            <w:r w:rsidRPr="008D64F9">
              <w:rPr>
                <w:rtl/>
                <w:lang w:bidi="ar-LB"/>
              </w:rPr>
              <w:t>يقر بأغراض أخرى فيما يتعلق بمجتمع أصحاب الأرض (مجتمع الماوري) والمجتمع النيوزيلندي بشكل عام.</w:t>
            </w:r>
          </w:p>
          <w:p w14:paraId="2E5F59B5" w14:textId="77777777" w:rsidR="008D64F9" w:rsidRPr="008D64F9" w:rsidRDefault="008D64F9" w:rsidP="008D64F9">
            <w:pPr>
              <w:pStyle w:val="BodyText"/>
              <w:rPr>
                <w:lang w:val="en-AU"/>
              </w:rPr>
            </w:pPr>
          </w:p>
        </w:tc>
      </w:tr>
      <w:tr w:rsidR="008D64F9" w:rsidRPr="008D64F9" w14:paraId="04AF7CDC" w14:textId="77777777" w:rsidTr="00101B5A">
        <w:tc>
          <w:tcPr>
            <w:tcW w:w="2817" w:type="dxa"/>
          </w:tcPr>
          <w:p w14:paraId="1B08DC37" w14:textId="77777777" w:rsidR="008D64F9" w:rsidRPr="008D64F9" w:rsidRDefault="008D64F9" w:rsidP="008D64F9">
            <w:pPr>
              <w:pStyle w:val="BodyText"/>
              <w:rPr>
                <w:rtl/>
                <w:lang w:bidi="ar-LB"/>
              </w:rPr>
            </w:pPr>
            <w:r w:rsidRPr="008D64F9">
              <w:rPr>
                <w:rtl/>
                <w:lang w:bidi="ar-LB"/>
              </w:rPr>
              <w:t>بيان أطول ومفصل أكثر</w:t>
            </w:r>
            <w:r w:rsidRPr="008D64F9">
              <w:rPr>
                <w:lang w:val="en-AU"/>
              </w:rPr>
              <w:t xml:space="preserve"> </w:t>
            </w:r>
          </w:p>
        </w:tc>
        <w:tc>
          <w:tcPr>
            <w:tcW w:w="2911" w:type="dxa"/>
          </w:tcPr>
          <w:p w14:paraId="3DF4DF7B" w14:textId="77777777" w:rsidR="008D64F9" w:rsidRPr="008D64F9" w:rsidRDefault="008D64F9" w:rsidP="008D64F9">
            <w:pPr>
              <w:pStyle w:val="BodyText"/>
              <w:rPr>
                <w:rtl/>
                <w:lang w:bidi="ar-LB"/>
              </w:rPr>
            </w:pPr>
            <w:r w:rsidRPr="008D64F9">
              <w:rPr>
                <w:rtl/>
                <w:lang w:bidi="ar-LB"/>
              </w:rPr>
              <w:t>ان البرلمان/السلطة التشريعية…:</w:t>
            </w:r>
          </w:p>
          <w:p w14:paraId="762E3FAE" w14:textId="77777777" w:rsidR="008D64F9" w:rsidRPr="008D64F9" w:rsidRDefault="008D64F9" w:rsidP="008D64F9">
            <w:pPr>
              <w:pStyle w:val="BodyText"/>
              <w:rPr>
                <w:rtl/>
                <w:lang w:bidi="ar-LB"/>
              </w:rPr>
            </w:pPr>
            <w:r w:rsidRPr="008D64F9">
              <w:rPr>
                <w:rtl/>
                <w:lang w:bidi="ar-LB"/>
              </w:rPr>
              <w:t>يدرك بأن المؤلفين لا يحصلون عمومًا على أي فائدة مالية من الاستغلالات الأخرى لمصنفاتهم بعد النقل الأولي للتجسيدات الأصلية لتلك المصنفات،</w:t>
            </w:r>
          </w:p>
          <w:p w14:paraId="674DF9C8" w14:textId="77777777" w:rsidR="008D64F9" w:rsidRPr="008D64F9" w:rsidRDefault="008D64F9" w:rsidP="008D64F9">
            <w:pPr>
              <w:pStyle w:val="BodyText"/>
              <w:rPr>
                <w:rtl/>
                <w:lang w:bidi="ar-LB"/>
              </w:rPr>
            </w:pPr>
            <w:r w:rsidRPr="008D64F9">
              <w:rPr>
                <w:rtl/>
                <w:lang w:bidi="ar-LB"/>
              </w:rPr>
              <w:t>ويقر أن هذا الأمر يضع مؤلفي المصنفات الفنية الأصلية [والمخطوطات] في وضع مادي غير مؤاتٍ مقارنة بالمؤلفين الآخرين الذين يتم استغلال مصنفاتهم بسهولة أكبر من خلال حقوق الاستنساخ والتحوير والنقل إلى الجمهور،</w:t>
            </w:r>
            <w:r w:rsidRPr="008D64F9">
              <w:rPr>
                <w:lang w:val="en-GB"/>
              </w:rPr>
              <w:t xml:space="preserve"> </w:t>
            </w:r>
          </w:p>
          <w:p w14:paraId="35746C5C" w14:textId="77777777" w:rsidR="008D64F9" w:rsidRPr="008D64F9" w:rsidRDefault="008D64F9" w:rsidP="008D64F9">
            <w:pPr>
              <w:pStyle w:val="BodyText"/>
              <w:rPr>
                <w:rtl/>
                <w:lang w:bidi="ar-LB"/>
              </w:rPr>
            </w:pPr>
            <w:r w:rsidRPr="008D64F9">
              <w:rPr>
                <w:rtl/>
                <w:lang w:bidi="ar-LB"/>
              </w:rPr>
              <w:t xml:space="preserve">ويقر كذلك بأن حق مؤلفي المصنفات الفنية الأصلية </w:t>
            </w:r>
            <w:r w:rsidRPr="008D64F9">
              <w:rPr>
                <w:rFonts w:hint="cs"/>
                <w:rtl/>
                <w:lang w:bidi="ar-LB"/>
              </w:rPr>
              <w:t>[</w:t>
            </w:r>
            <w:r w:rsidRPr="008D64F9">
              <w:rPr>
                <w:rtl/>
                <w:lang w:bidi="ar-LB"/>
              </w:rPr>
              <w:t>ومؤلفي المخطوطات الأصلية م</w:t>
            </w:r>
            <w:r w:rsidRPr="008D64F9">
              <w:rPr>
                <w:rFonts w:hint="cs"/>
                <w:rtl/>
                <w:lang w:bidi="ar-LB"/>
              </w:rPr>
              <w:t xml:space="preserve">ن </w:t>
            </w:r>
            <w:r w:rsidRPr="008D64F9">
              <w:rPr>
                <w:rtl/>
                <w:lang w:bidi="ar-LB"/>
              </w:rPr>
              <w:t>الكُتاب والملحنين</w:t>
            </w:r>
            <w:r w:rsidRPr="008D64F9">
              <w:rPr>
                <w:rFonts w:hint="cs"/>
                <w:rtl/>
                <w:lang w:bidi="ar-LB"/>
              </w:rPr>
              <w:t>]</w:t>
            </w:r>
            <w:r w:rsidRPr="008D64F9">
              <w:rPr>
                <w:rtl/>
                <w:lang w:bidi="ar-LB"/>
              </w:rPr>
              <w:t xml:space="preserve"> في الاستفادة من أي عملية بيع للمصنف بعد التنازل الأول من جانب المؤلف، هو حق معترف به بالفعل كحق للمؤلف بموجب المادة 14(ثالثا) من اتفاقية برن، وإن كان على أساس اختياري وخاضع لشرط المعاملة بالمثل،</w:t>
            </w:r>
          </w:p>
          <w:p w14:paraId="4E6DE52E" w14:textId="77777777" w:rsidR="008D64F9" w:rsidRPr="008D64F9" w:rsidRDefault="008D64F9" w:rsidP="008D64F9">
            <w:pPr>
              <w:pStyle w:val="BodyText"/>
              <w:rPr>
                <w:i/>
                <w:rtl/>
                <w:lang w:bidi="ar-LB"/>
              </w:rPr>
            </w:pPr>
            <w:r w:rsidRPr="008D64F9">
              <w:rPr>
                <w:rtl/>
                <w:lang w:bidi="ar-LB"/>
              </w:rPr>
              <w:t>ويقر أيضا بأن هذا الحق له قيمة بالنسبة للمصنفات التي تشكل تعبيرات ثقافية تقليدية لمجتمعات السكان الأصليين،</w:t>
            </w:r>
          </w:p>
          <w:p w14:paraId="68FDF4CB" w14:textId="77777777" w:rsidR="008D64F9" w:rsidRPr="008D64F9" w:rsidRDefault="008D64F9" w:rsidP="008D64F9">
            <w:pPr>
              <w:pStyle w:val="BodyText"/>
              <w:rPr>
                <w:rtl/>
                <w:lang w:bidi="ar-LB"/>
              </w:rPr>
            </w:pPr>
            <w:r w:rsidRPr="008D64F9">
              <w:rPr>
                <w:rtl/>
                <w:lang w:bidi="ar-LB"/>
              </w:rPr>
              <w:t>وبالتالي فهو يصدر هذا القانون لتحقيق الأهداف التالية:</w:t>
            </w:r>
            <w:r w:rsidRPr="008D64F9">
              <w:rPr>
                <w:lang w:val="en-GB"/>
              </w:rPr>
              <w:t xml:space="preserve"> </w:t>
            </w:r>
          </w:p>
          <w:p w14:paraId="71A4FCD7" w14:textId="77777777" w:rsidR="008D64F9" w:rsidRPr="008D64F9" w:rsidRDefault="008D64F9">
            <w:pPr>
              <w:pStyle w:val="BodyText"/>
              <w:numPr>
                <w:ilvl w:val="0"/>
                <w:numId w:val="14"/>
              </w:numPr>
              <w:ind w:left="360"/>
              <w:rPr>
                <w:rtl/>
                <w:lang w:bidi="ar-LB"/>
              </w:rPr>
            </w:pPr>
            <w:r w:rsidRPr="008D64F9">
              <w:rPr>
                <w:rtl/>
                <w:lang w:bidi="ar-LB"/>
              </w:rPr>
              <w:t>تطوير الحماية لحقوق جميع المؤلفين في مصنفاتهم الأدبية والفنية بطريقة فعالة وموحدة قدر الإمكان والحفاظ على هذه الحماية،</w:t>
            </w:r>
          </w:p>
          <w:p w14:paraId="6184AFED" w14:textId="127CF28F" w:rsidR="008D64F9" w:rsidRPr="008D64F9" w:rsidRDefault="008D64F9">
            <w:pPr>
              <w:pStyle w:val="BodyText"/>
              <w:numPr>
                <w:ilvl w:val="0"/>
                <w:numId w:val="14"/>
              </w:numPr>
              <w:ind w:left="360"/>
              <w:rPr>
                <w:u w:val="single"/>
                <w:rtl/>
                <w:lang w:bidi="ar-LB"/>
              </w:rPr>
            </w:pPr>
            <w:r w:rsidRPr="008D64F9">
              <w:rPr>
                <w:rtl/>
                <w:lang w:bidi="ar-LB"/>
              </w:rPr>
              <w:t xml:space="preserve">النص في القانون الوطني على الحق الحصري والغير قابل للتصرف لمؤلفي المصنفات الفنية الأصلية [والمخطوطات] في الحصول على اتاوات من </w:t>
            </w:r>
            <w:r w:rsidRPr="008D64F9">
              <w:rPr>
                <w:rtl/>
                <w:lang w:bidi="ar-LB"/>
              </w:rPr>
              <w:lastRenderedPageBreak/>
              <w:t>عمليات إعادة البيع، والذي يُطلق عليه اسم "حق التتبع" وذلك فيما يتعلق بعائدات عمليات إعادة بيع هذه المصنفات الفنية الأصلية [والمخطوطات] التي تحدث بعد أول نقل لملكية هذه المصنفات الفنية [والمخطوطات].</w:t>
            </w:r>
          </w:p>
        </w:tc>
        <w:tc>
          <w:tcPr>
            <w:tcW w:w="2922" w:type="dxa"/>
          </w:tcPr>
          <w:p w14:paraId="3A5DFFA0" w14:textId="77777777" w:rsidR="008D64F9" w:rsidRPr="008D64F9" w:rsidRDefault="008D64F9">
            <w:pPr>
              <w:pStyle w:val="BodyText"/>
              <w:numPr>
                <w:ilvl w:val="0"/>
                <w:numId w:val="14"/>
              </w:numPr>
              <w:ind w:left="360"/>
              <w:rPr>
                <w:rtl/>
                <w:lang w:bidi="ar-LB"/>
              </w:rPr>
            </w:pPr>
            <w:r w:rsidRPr="008D64F9">
              <w:rPr>
                <w:rtl/>
                <w:lang w:bidi="ar-LB"/>
              </w:rPr>
              <w:lastRenderedPageBreak/>
              <w:t>يعتبر هذا البيان أن حق التتبع المقترح هو من حقوق المؤلف، وبالتالي يتماشى مع نصوص اتفاقية برن (اتفاقية حقوق المؤلفين الرائدة).</w:t>
            </w:r>
          </w:p>
          <w:p w14:paraId="43245F83" w14:textId="77777777" w:rsidR="008D64F9" w:rsidRPr="008D64F9" w:rsidRDefault="008D64F9">
            <w:pPr>
              <w:pStyle w:val="BodyText"/>
              <w:numPr>
                <w:ilvl w:val="0"/>
                <w:numId w:val="14"/>
              </w:numPr>
              <w:ind w:left="360"/>
              <w:rPr>
                <w:rtl/>
                <w:lang w:bidi="ar-LB"/>
              </w:rPr>
            </w:pPr>
            <w:r w:rsidRPr="008D64F9">
              <w:rPr>
                <w:rtl/>
                <w:lang w:bidi="ar-LB"/>
              </w:rPr>
              <w:t>ويفترض هذا البيان أن حق التتبع المقترح هو حق اقتصادي، وليس حق معنوي، وأن مبرره الأساسي يكمن في قدرته على تحقيق نوع من التوازن بين فناني المصنفات البصرية والفئات الأخرى من المؤلفين.</w:t>
            </w:r>
          </w:p>
          <w:p w14:paraId="6570FBE1" w14:textId="3927DC00" w:rsidR="008D64F9" w:rsidRPr="008D64F9" w:rsidRDefault="008D64F9">
            <w:pPr>
              <w:pStyle w:val="BodyText"/>
              <w:numPr>
                <w:ilvl w:val="0"/>
                <w:numId w:val="14"/>
              </w:numPr>
              <w:ind w:left="360"/>
              <w:rPr>
                <w:rtl/>
                <w:lang w:bidi="ar-LB"/>
              </w:rPr>
            </w:pPr>
            <w:r w:rsidRPr="008D64F9">
              <w:rPr>
                <w:rtl/>
                <w:lang w:bidi="ar-LB"/>
              </w:rPr>
              <w:t>ويسلط الضوء على أن حق التتبع المقترح قد يكون ذا أهمية خاصة لمجتمعات السكان الأصليين في سياق التعبير الثقافي التقليدي.</w:t>
            </w:r>
          </w:p>
          <w:p w14:paraId="3A7BD808" w14:textId="77777777" w:rsidR="008D64F9" w:rsidRPr="008D64F9" w:rsidRDefault="008D64F9">
            <w:pPr>
              <w:pStyle w:val="BodyText"/>
              <w:numPr>
                <w:ilvl w:val="0"/>
                <w:numId w:val="14"/>
              </w:numPr>
              <w:ind w:left="360"/>
              <w:rPr>
                <w:u w:val="single"/>
                <w:rtl/>
                <w:lang w:bidi="ar-LB"/>
              </w:rPr>
            </w:pPr>
            <w:r w:rsidRPr="008D64F9">
              <w:rPr>
                <w:rtl/>
                <w:lang w:bidi="ar-LB"/>
              </w:rPr>
              <w:t>وهو يشمل المخطوطات الأصلية باعتبارها موضوعًا محتملًا لحق التتبع المقترح.</w:t>
            </w:r>
          </w:p>
          <w:p w14:paraId="3C1B76F6" w14:textId="77777777" w:rsidR="008D64F9" w:rsidRPr="008D64F9" w:rsidRDefault="008D64F9" w:rsidP="008D64F9">
            <w:pPr>
              <w:pStyle w:val="BodyText"/>
              <w:rPr>
                <w:u w:val="single"/>
                <w:lang w:val="en-AU"/>
              </w:rPr>
            </w:pPr>
          </w:p>
        </w:tc>
      </w:tr>
    </w:tbl>
    <w:p w14:paraId="00FF6607" w14:textId="77777777" w:rsidR="008D64F9" w:rsidRPr="00C2105C" w:rsidRDefault="008D64F9" w:rsidP="00534856">
      <w:pPr>
        <w:pStyle w:val="Heading2"/>
        <w:rPr>
          <w:u w:val="single"/>
          <w:rtl/>
        </w:rPr>
      </w:pPr>
      <w:r w:rsidRPr="00C2105C">
        <w:rPr>
          <w:rtl/>
        </w:rPr>
        <w:t>تعريف حق التتبع والمصطلحات الأخرى</w:t>
      </w:r>
      <w:r w:rsidRPr="00C2105C">
        <w:rPr>
          <w:lang w:bidi="ar-SA"/>
        </w:rPr>
        <w:t xml:space="preserve"> </w:t>
      </w:r>
    </w:p>
    <w:p w14:paraId="60F9BBBC" w14:textId="77777777" w:rsidR="008D64F9" w:rsidRPr="008D64F9" w:rsidRDefault="008D64F9" w:rsidP="008D64F9">
      <w:pPr>
        <w:pStyle w:val="ONUMA"/>
        <w:rPr>
          <w:u w:val="single"/>
          <w:rtl/>
          <w:lang w:bidi="ar-LB"/>
        </w:rPr>
      </w:pPr>
      <w:r w:rsidRPr="008D64F9">
        <w:rPr>
          <w:rtl/>
          <w:lang w:bidi="ar-LB"/>
        </w:rPr>
        <w:t>من المفيد في أي مخطط تشريعي أن نبدأ بتعريف واضح للموضوع الذي يتناوله، وفي هذه الحالة "حق التتبع".</w:t>
      </w:r>
      <w:r w:rsidRPr="008D64F9">
        <w:rPr>
          <w:lang w:val="en-AU"/>
        </w:rPr>
        <w:t xml:space="preserve"> </w:t>
      </w:r>
      <w:r w:rsidRPr="008D64F9">
        <w:rPr>
          <w:rtl/>
          <w:lang w:bidi="ar-LB"/>
        </w:rPr>
        <w:t>وقد يختلف مستوى التفصيل وذلك وفقًا للأسلوب التشريعي والتقاليد الخاصة بكل دولة من الدول الأعضاء.</w:t>
      </w:r>
      <w:r w:rsidRPr="008D64F9">
        <w:rPr>
          <w:lang w:val="en-AU"/>
        </w:rPr>
        <w:t xml:space="preserve"> </w:t>
      </w:r>
      <w:r w:rsidRPr="008D64F9">
        <w:rPr>
          <w:rtl/>
          <w:lang w:bidi="ar-LB"/>
        </w:rPr>
        <w:t>وإن بعض الأحكام الموجودة في القوانين الحالية أو النموذجية تُعرّف الحق ونطاقه بشكل كامل تقريباً في حكم واحد، على سبيل المثال توجيه المفوضية الأوروبية وقانون ويبو النموذجي؛ بينما تشير قوانين أخرى إلى التعريفات الواردة في أحكام أخرى من قوانينها لتحديد نطاق الحق، وينطبق ذلك على الحكم الأسترالي على سبيل المثال.</w:t>
      </w:r>
      <w:r w:rsidRPr="008D64F9">
        <w:rPr>
          <w:lang w:val="en-AU"/>
        </w:rPr>
        <w:t xml:space="preserve"> </w:t>
      </w:r>
      <w:r w:rsidRPr="008D64F9">
        <w:rPr>
          <w:rtl/>
          <w:lang w:bidi="ar-LB"/>
        </w:rPr>
        <w:t>وتتضمن قوانين أخرى، مثل القانون الفرنسي الأصلي لعام 1920 وإصداراته اللاحقة، عدة أحكام مفصلة في التشريع الرئيسي والتي يتم بعد ذلك التوسع فيها في المراسيم أو اللوائح التنفيذية.</w:t>
      </w:r>
      <w:r w:rsidRPr="008D64F9">
        <w:rPr>
          <w:vertAlign w:val="superscript"/>
          <w:lang w:val="en-AU"/>
        </w:rPr>
        <w:footnoteReference w:id="32"/>
      </w:r>
      <w:r w:rsidRPr="008D64F9">
        <w:rPr>
          <w:lang w:val="en-AU"/>
        </w:rPr>
        <w:t xml:space="preserve"> </w:t>
      </w:r>
      <w:r w:rsidRPr="008D64F9">
        <w:rPr>
          <w:rtl/>
          <w:lang w:bidi="ar-LB"/>
        </w:rPr>
        <w:t>ولا يوجد نهج صحيح أو خاطئ هنا: يجب أن يتصرف المشرعون الوطنيون بالطريقة الأكثر مألوفة لهم من حيث الصياغة والشكل.</w:t>
      </w:r>
      <w:r w:rsidRPr="008D64F9">
        <w:rPr>
          <w:lang w:val="en-AU"/>
        </w:rPr>
        <w:t xml:space="preserve"> </w:t>
      </w:r>
      <w:r w:rsidRPr="008D64F9">
        <w:rPr>
          <w:rtl/>
          <w:lang w:bidi="ar-LB"/>
        </w:rPr>
        <w:t>وبالإضافة إلى ذلك، فإن حتى أكثر أنواع التعريفات تفصيلاً سوف تتطلب حتماً ادراج أحكاماً إضافية لتوفير المحتوى المناسب للمخططات، وإلا يجب الاعتماد على التفسيرات القضائية ضمن إطار الأنظمة القضائية الوطنية.</w:t>
      </w:r>
      <w:r w:rsidRPr="008D64F9">
        <w:rPr>
          <w:lang w:val="en-AU"/>
        </w:rPr>
        <w:t xml:space="preserve"> </w:t>
      </w:r>
    </w:p>
    <w:p w14:paraId="1AAF1DF2" w14:textId="77777777" w:rsidR="008D64F9" w:rsidRPr="008D64F9" w:rsidRDefault="008D64F9" w:rsidP="008D64F9">
      <w:pPr>
        <w:pStyle w:val="ONUMA"/>
        <w:rPr>
          <w:u w:val="single"/>
          <w:rtl/>
          <w:lang w:bidi="ar-LB"/>
        </w:rPr>
      </w:pPr>
      <w:r w:rsidRPr="008D64F9">
        <w:rPr>
          <w:lang w:val="en-AU"/>
        </w:rPr>
        <w:t xml:space="preserve"> </w:t>
      </w:r>
      <w:r w:rsidRPr="008D64F9">
        <w:rPr>
          <w:rtl/>
          <w:lang w:bidi="ar-LB"/>
        </w:rPr>
        <w:t>ومن الأمثلة على التعريفات المفصلة لحق التتبع التي تتضمن معظم العناصر الرئيسية للمخطط التشريعي، نذكر التعريف الوارد في المادة 1.1 من التوجيه 2001/84/</w:t>
      </w:r>
      <w:r w:rsidRPr="008D64F9">
        <w:rPr>
          <w:lang w:val="en-AU"/>
        </w:rPr>
        <w:t>EC</w:t>
      </w:r>
      <w:r w:rsidRPr="008D64F9">
        <w:rPr>
          <w:rtl/>
          <w:lang w:bidi="ar-LB"/>
        </w:rPr>
        <w:t xml:space="preserve"> للبرلمان والمجلس الأوروبي المؤرخ 27 سبتمبر 2001 بشأن حق إعادة البيع لصالح مؤلف المصنف الفني الأصلي ("توجيه المفوضية الأوروبية").</w:t>
      </w:r>
      <w:r w:rsidRPr="008D64F9">
        <w:rPr>
          <w:lang w:val="en-AU"/>
        </w:rPr>
        <w:t xml:space="preserve"> </w:t>
      </w:r>
      <w:r w:rsidRPr="008D64F9">
        <w:rPr>
          <w:rtl/>
          <w:lang w:bidi="ar-LB"/>
        </w:rPr>
        <w:t xml:space="preserve">وينص هذا التوجيه على ما يلي:  </w:t>
      </w:r>
    </w:p>
    <w:p w14:paraId="4B1C8470" w14:textId="6657B6D5" w:rsidR="008D64F9" w:rsidRPr="008D64F9" w:rsidRDefault="008D64F9" w:rsidP="008D64F9">
      <w:pPr>
        <w:pStyle w:val="BodyText"/>
        <w:ind w:left="562"/>
        <w:rPr>
          <w:rtl/>
          <w:lang w:bidi="ar-LB"/>
        </w:rPr>
      </w:pPr>
      <w:r w:rsidRPr="008D64F9">
        <w:rPr>
          <w:rtl/>
          <w:lang w:bidi="ar-LB"/>
        </w:rPr>
        <w:t>تنص الدول الأعضاء على حق التتبع لصالح مؤلف المصنف الفني الأصلي، والذي يعرف بأنه حق غير قابل للتصرف ولا يمكن التنازل عنه، حتى مقدمًا، والذي بموجبه يحق للمؤلف الحصول على إتاوات على أساس سعر البيع الذي تم الحصول عليه خلال أي عملية إعادة بيع للمصنف بعد أول نقل لملكية المصنف من قبل المؤلف.</w:t>
      </w:r>
      <w:r w:rsidRPr="008D64F9">
        <w:rPr>
          <w:vertAlign w:val="superscript"/>
          <w:lang w:val="en-AU"/>
        </w:rPr>
        <w:footnoteReference w:id="33"/>
      </w:r>
    </w:p>
    <w:p w14:paraId="20118705" w14:textId="55F9C0CF" w:rsidR="008D64F9" w:rsidRPr="008D64F9" w:rsidRDefault="008D64F9" w:rsidP="008D64F9">
      <w:pPr>
        <w:pStyle w:val="ONUMA"/>
        <w:rPr>
          <w:rtl/>
          <w:lang w:bidi="ar-LB"/>
        </w:rPr>
      </w:pPr>
      <w:r w:rsidRPr="008D64F9">
        <w:rPr>
          <w:rtl/>
          <w:lang w:bidi="ar-LB"/>
        </w:rPr>
        <w:t>ويتضمن القانون النموذجي التونسي للويبو بشأن حق المؤلف في البلدان النامية لعام 1976 (المادة 4 (ثانيا)(1)) حكماً أكثر تفصيلاً:</w:t>
      </w:r>
    </w:p>
    <w:p w14:paraId="5B75857C" w14:textId="77777777" w:rsidR="008D64F9" w:rsidRPr="008D64F9" w:rsidRDefault="008D64F9" w:rsidP="008D64F9">
      <w:pPr>
        <w:pStyle w:val="BodyText"/>
        <w:ind w:left="562"/>
        <w:rPr>
          <w:rtl/>
          <w:lang w:bidi="ar-LB"/>
        </w:rPr>
      </w:pPr>
      <w:r w:rsidRPr="008D64F9">
        <w:rPr>
          <w:rtl/>
          <w:lang w:bidi="ar-LB"/>
        </w:rPr>
        <w:t>على الرغم من أي تنازل عن ملكية المصنف الأصلي، يتمتع مؤلفو المصنفات التصويرية والثلاثية الأبعاد [والمخطوطات] بحق غير قابل للتصرف في الحصول على حصة من عائدات أي عملية بيع لهذا المصنف [أو المخطوطة] بالمزاد العلني أو من خلال تاجر، مهما كانت الأساليب التي يستخدمها الأخير لتنفيذ عملية البيع.</w:t>
      </w:r>
      <w:r w:rsidRPr="008D64F9">
        <w:rPr>
          <w:lang w:bidi="ar-LB"/>
        </w:rPr>
        <w:t xml:space="preserve"> </w:t>
      </w:r>
    </w:p>
    <w:p w14:paraId="468EC881" w14:textId="77777777" w:rsidR="008D64F9" w:rsidRPr="008D64F9" w:rsidRDefault="008D64F9" w:rsidP="008D64F9">
      <w:pPr>
        <w:pStyle w:val="ONUMA"/>
        <w:rPr>
          <w:rtl/>
          <w:lang w:bidi="ar-LB"/>
        </w:rPr>
      </w:pPr>
      <w:r w:rsidRPr="008D64F9">
        <w:rPr>
          <w:rtl/>
          <w:lang w:bidi="ar-LB"/>
        </w:rPr>
        <w:t>وبنفس الطريقة، يحتوي القانون الغواتيمالي على نص يتضمن جميع عناصر حق التتبع تقريبًا في حكم واحد:</w:t>
      </w:r>
    </w:p>
    <w:p w14:paraId="6EAECA43" w14:textId="77777777" w:rsidR="008D64F9" w:rsidRPr="008D64F9" w:rsidRDefault="008D64F9" w:rsidP="008D64F9">
      <w:pPr>
        <w:pStyle w:val="BodyText"/>
        <w:ind w:left="562"/>
        <w:rPr>
          <w:rtl/>
          <w:lang w:bidi="ar-LB"/>
        </w:rPr>
      </w:pPr>
      <w:r w:rsidRPr="008D64F9">
        <w:rPr>
          <w:rtl/>
          <w:lang w:bidi="ar-LB"/>
        </w:rPr>
        <w:t>في حالة إعادة بيع المصنفات الفنية الأصلية، عن طريق المزاد العلني أو من خلال تاجر متخصص في المصنفات الفنية، يتمتع المؤلف، أو ورثته في حال ينطبق ذلك، بحق تحصيل عشرة بالمائة (10%) من سعر البيع من البائع.</w:t>
      </w:r>
      <w:r w:rsidRPr="008D64F9">
        <w:rPr>
          <w:lang w:val="en-AU"/>
        </w:rPr>
        <w:t xml:space="preserve"> </w:t>
      </w:r>
      <w:r w:rsidRPr="008D64F9">
        <w:rPr>
          <w:rtl/>
          <w:lang w:bidi="ar-LB"/>
        </w:rPr>
        <w:t xml:space="preserve">ويتم جمع هذا الحق </w:t>
      </w:r>
      <w:r w:rsidRPr="008D64F9">
        <w:rPr>
          <w:rtl/>
          <w:lang w:bidi="ar-LB"/>
        </w:rPr>
        <w:lastRenderedPageBreak/>
        <w:t>وتوزيعه من قبل منظمة إدارة جماعية، في حال ينطبق ذلك، ما لم يتفق الطرفان على خلاف ذلك.</w:t>
      </w:r>
      <w:r w:rsidRPr="008D64F9">
        <w:rPr>
          <w:lang w:val="en-AU"/>
        </w:rPr>
        <w:t xml:space="preserve"> </w:t>
      </w:r>
      <w:r w:rsidRPr="008D64F9">
        <w:rPr>
          <w:rtl/>
          <w:lang w:bidi="ar-LB"/>
        </w:rPr>
        <w:t>ويسري هذا الحكم أيضاً على المؤلفين والملحنين الذين يتم بيع مخطوطاتهم الأصلية.</w:t>
      </w:r>
      <w:r w:rsidRPr="008D64F9">
        <w:rPr>
          <w:vertAlign w:val="superscript"/>
          <w:lang w:val="en-AU"/>
        </w:rPr>
        <w:footnoteReference w:id="34"/>
      </w:r>
    </w:p>
    <w:p w14:paraId="42925E88" w14:textId="77777777" w:rsidR="008D64F9" w:rsidRPr="008D64F9" w:rsidRDefault="008D64F9" w:rsidP="008D64F9">
      <w:pPr>
        <w:pStyle w:val="ONUMA"/>
        <w:keepNext/>
        <w:rPr>
          <w:rtl/>
          <w:lang w:bidi="ar-LB"/>
        </w:rPr>
      </w:pPr>
      <w:r w:rsidRPr="008D64F9">
        <w:rPr>
          <w:rtl/>
          <w:lang w:bidi="ar-LB"/>
        </w:rPr>
        <w:t xml:space="preserve">ومن ناحية أخرى، يتطلب الحكم الأسترالي (المادة 6 </w:t>
      </w:r>
      <w:r w:rsidRPr="008D64F9">
        <w:rPr>
          <w:i/>
          <w:rtl/>
          <w:lang w:bidi="ar-LB"/>
        </w:rPr>
        <w:t>من قانون حق التتبع لفناني المصنفات البصرية لعام 2009</w:t>
      </w:r>
      <w:r w:rsidRPr="008D64F9">
        <w:rPr>
          <w:rtl/>
          <w:lang w:bidi="ar-LB"/>
        </w:rPr>
        <w:t>)</w:t>
      </w:r>
      <w:r w:rsidRPr="008D64F9">
        <w:rPr>
          <w:rFonts w:hint="cs"/>
          <w:rtl/>
          <w:lang w:bidi="ar-LB"/>
        </w:rPr>
        <w:t>،</w:t>
      </w:r>
      <w:r w:rsidRPr="008D64F9">
        <w:rPr>
          <w:rtl/>
          <w:lang w:bidi="ar-LB"/>
        </w:rPr>
        <w:t xml:space="preserve"> الإشارة إلى أحكام تفسيرية أخرى:</w:t>
      </w:r>
    </w:p>
    <w:p w14:paraId="04415A5B" w14:textId="77777777" w:rsidR="008D64F9" w:rsidRPr="008D64F9" w:rsidRDefault="008D64F9" w:rsidP="008D64F9">
      <w:pPr>
        <w:pStyle w:val="BodyText"/>
        <w:ind w:left="562"/>
        <w:rPr>
          <w:rtl/>
          <w:lang w:bidi="ar-LB"/>
        </w:rPr>
      </w:pPr>
      <w:r w:rsidRPr="008D64F9">
        <w:rPr>
          <w:rtl/>
          <w:lang w:bidi="ar-LB"/>
        </w:rPr>
        <w:t>حق التتبع هو الحق في الحصول على اتاوات عند إعادة البيع التجاري للمصنف الفني.</w:t>
      </w:r>
    </w:p>
    <w:p w14:paraId="5A340B75" w14:textId="2E54E64F" w:rsidR="008D64F9" w:rsidRPr="008D64F9" w:rsidRDefault="008D64F9" w:rsidP="008D64F9">
      <w:pPr>
        <w:pStyle w:val="ONUMA"/>
        <w:rPr>
          <w:rtl/>
          <w:lang w:bidi="ar-LB"/>
        </w:rPr>
      </w:pPr>
      <w:r w:rsidRPr="008D64F9">
        <w:rPr>
          <w:rtl/>
          <w:lang w:bidi="ar-LB"/>
        </w:rPr>
        <w:t>والحكم الكيني مشابه للحكم الأسترالي، ولكنه أكثر تفصيلا، اذ أنه يشير إلى الأشخاص الذين يشملهم حق التتبع:</w:t>
      </w:r>
    </w:p>
    <w:p w14:paraId="19A85C66" w14:textId="77777777" w:rsidR="008D64F9" w:rsidRPr="008D64F9" w:rsidRDefault="008D64F9" w:rsidP="008D64F9">
      <w:pPr>
        <w:pStyle w:val="BodyText"/>
        <w:ind w:left="562"/>
        <w:rPr>
          <w:rtl/>
          <w:lang w:bidi="ar-LB"/>
        </w:rPr>
      </w:pPr>
      <w:r w:rsidRPr="008D64F9">
        <w:rPr>
          <w:rtl/>
          <w:lang w:bidi="ar-LB"/>
        </w:rPr>
        <w:t>"حق التتبع" هو حق الفنان أو مجموعة الفنانين أو خلفائهم في تلقي اتاوات عند إعادة البيع التجاري للمصنف الفني؛</w:t>
      </w:r>
      <w:r w:rsidRPr="008D64F9">
        <w:rPr>
          <w:vertAlign w:val="superscript"/>
          <w:lang w:val="en-GB"/>
        </w:rPr>
        <w:footnoteReference w:id="35"/>
      </w:r>
    </w:p>
    <w:p w14:paraId="6AED872C" w14:textId="77777777" w:rsidR="008D64F9" w:rsidRPr="008D64F9" w:rsidRDefault="008D64F9" w:rsidP="008D64F9">
      <w:pPr>
        <w:pStyle w:val="ONUMA"/>
        <w:rPr>
          <w:rtl/>
          <w:lang w:bidi="ar-LB"/>
        </w:rPr>
      </w:pPr>
      <w:r w:rsidRPr="008D64F9">
        <w:rPr>
          <w:rtl/>
          <w:lang w:bidi="ar-LB"/>
        </w:rPr>
        <w:t>ومن وجهة نظر المستفيدين المحتملين من أي مخطط لحق التتبع، يُعد الهدف الأكثر أهمية لأي حكم يعرف هذا الحق هو تسليط الضوء على الجوانب الرئيسية للحق، وهو الحق في تلقي اتاوات من كل عملية إعادة بيع تجاري للمصنف بعد أول نقل للملكية من قبل المؤلف (الفنان).</w:t>
      </w:r>
    </w:p>
    <w:p w14:paraId="645F3502" w14:textId="77777777" w:rsidR="008D64F9" w:rsidRPr="008D64F9" w:rsidRDefault="008D64F9" w:rsidP="008D64F9">
      <w:pPr>
        <w:pStyle w:val="ONUMA"/>
        <w:rPr>
          <w:rtl/>
          <w:lang w:bidi="ar-LB"/>
        </w:rPr>
      </w:pPr>
      <w:r w:rsidRPr="008D64F9">
        <w:rPr>
          <w:rtl/>
          <w:lang w:bidi="ar-LB"/>
        </w:rPr>
        <w:t>الأحكام النموذجية المقترحة هنا هي:</w:t>
      </w:r>
    </w:p>
    <w:p w14:paraId="3381890F" w14:textId="77777777" w:rsidR="008D64F9" w:rsidRDefault="008D64F9" w:rsidP="008D64F9">
      <w:pPr>
        <w:spacing w:after="240"/>
        <w:rPr>
          <w:rFonts w:asciiTheme="minorHAnsi" w:hAnsiTheme="minorHAnsi" w:cstheme="minorHAnsi"/>
          <w:bCs/>
          <w:i/>
          <w:iCs/>
          <w:rtl/>
          <w:lang w:bidi="ar-LB"/>
        </w:rPr>
      </w:pPr>
      <w:r w:rsidRPr="008D64F9">
        <w:rPr>
          <w:rFonts w:asciiTheme="minorHAnsi" w:hAnsiTheme="minorHAnsi" w:cstheme="minorHAnsi"/>
          <w:bCs/>
          <w:i/>
          <w:iCs/>
          <w:rtl/>
          <w:lang w:bidi="ar-LB"/>
        </w:rPr>
        <w:t>الجدول 2</w:t>
      </w:r>
    </w:p>
    <w:tbl>
      <w:tblPr>
        <w:tblStyle w:val="TableGrid"/>
        <w:bidiVisual/>
        <w:tblW w:w="0" w:type="auto"/>
        <w:tblLook w:val="04A0" w:firstRow="1" w:lastRow="0" w:firstColumn="1" w:lastColumn="0" w:noHBand="0" w:noVBand="1"/>
      </w:tblPr>
      <w:tblGrid>
        <w:gridCol w:w="2122"/>
        <w:gridCol w:w="3884"/>
        <w:gridCol w:w="3004"/>
      </w:tblGrid>
      <w:tr w:rsidR="008D64F9" w:rsidRPr="008D64F9" w14:paraId="3457054B" w14:textId="77777777" w:rsidTr="00101B5A">
        <w:tc>
          <w:tcPr>
            <w:tcW w:w="2122" w:type="dxa"/>
          </w:tcPr>
          <w:p w14:paraId="7706CFD8" w14:textId="77777777" w:rsidR="008D64F9" w:rsidRPr="008D64F9" w:rsidRDefault="008D64F9" w:rsidP="008D64F9">
            <w:pPr>
              <w:pStyle w:val="BodyText"/>
              <w:rPr>
                <w:b/>
                <w:bCs/>
                <w:rtl/>
                <w:lang w:bidi="ar-LB"/>
              </w:rPr>
            </w:pPr>
            <w:r w:rsidRPr="008D64F9">
              <w:rPr>
                <w:b/>
                <w:bCs/>
                <w:rtl/>
                <w:lang w:bidi="ar-LB"/>
              </w:rPr>
              <w:t>نوع الحكم</w:t>
            </w:r>
          </w:p>
        </w:tc>
        <w:tc>
          <w:tcPr>
            <w:tcW w:w="3884" w:type="dxa"/>
          </w:tcPr>
          <w:p w14:paraId="5B609411" w14:textId="77777777" w:rsidR="008D64F9" w:rsidRPr="008D64F9" w:rsidRDefault="008D64F9" w:rsidP="008D64F9">
            <w:pPr>
              <w:pStyle w:val="BodyText"/>
              <w:rPr>
                <w:b/>
                <w:bCs/>
                <w:rtl/>
                <w:lang w:bidi="ar-LB"/>
              </w:rPr>
            </w:pPr>
            <w:r w:rsidRPr="008D64F9">
              <w:rPr>
                <w:b/>
                <w:bCs/>
                <w:rtl/>
                <w:lang w:bidi="ar-LB"/>
              </w:rPr>
              <w:t>النص المقترح</w:t>
            </w:r>
          </w:p>
        </w:tc>
        <w:tc>
          <w:tcPr>
            <w:tcW w:w="3004" w:type="dxa"/>
          </w:tcPr>
          <w:p w14:paraId="231D4118" w14:textId="77777777" w:rsidR="008D64F9" w:rsidRPr="008D64F9" w:rsidRDefault="008D64F9" w:rsidP="008D64F9">
            <w:pPr>
              <w:pStyle w:val="BodyText"/>
              <w:rPr>
                <w:b/>
                <w:bCs/>
                <w:rtl/>
                <w:lang w:bidi="ar-LB"/>
              </w:rPr>
            </w:pPr>
            <w:r w:rsidRPr="008D64F9">
              <w:rPr>
                <w:b/>
                <w:bCs/>
                <w:rtl/>
                <w:lang w:bidi="ar-LB"/>
              </w:rPr>
              <w:t>تعليقات/ملاحظات</w:t>
            </w:r>
          </w:p>
        </w:tc>
      </w:tr>
      <w:tr w:rsidR="008D64F9" w:rsidRPr="008D64F9" w14:paraId="77F749E3" w14:textId="77777777" w:rsidTr="00101B5A">
        <w:tc>
          <w:tcPr>
            <w:tcW w:w="2122" w:type="dxa"/>
          </w:tcPr>
          <w:p w14:paraId="0972E458" w14:textId="77777777" w:rsidR="008D64F9" w:rsidRPr="008D64F9" w:rsidRDefault="008D64F9" w:rsidP="008D64F9">
            <w:pPr>
              <w:pStyle w:val="BodyText"/>
              <w:rPr>
                <w:rtl/>
                <w:lang w:bidi="ar-LB"/>
              </w:rPr>
            </w:pPr>
            <w:r w:rsidRPr="008D64F9">
              <w:rPr>
                <w:rtl/>
                <w:lang w:bidi="ar-LB"/>
              </w:rPr>
              <w:t>حكم عام</w:t>
            </w:r>
          </w:p>
        </w:tc>
        <w:tc>
          <w:tcPr>
            <w:tcW w:w="3884" w:type="dxa"/>
          </w:tcPr>
          <w:p w14:paraId="17AEAC22" w14:textId="77777777" w:rsidR="008D64F9" w:rsidRPr="008D64F9" w:rsidRDefault="008D64F9" w:rsidP="008D64F9">
            <w:pPr>
              <w:pStyle w:val="BodyText"/>
              <w:rPr>
                <w:rtl/>
                <w:lang w:bidi="ar-LB"/>
              </w:rPr>
            </w:pPr>
            <w:r w:rsidRPr="008D64F9">
              <w:rPr>
                <w:rtl/>
                <w:lang w:bidi="ar-LB"/>
              </w:rPr>
              <w:t>حق التتبع هو الحق في تلقي اتاوات من كل عملية إعادة بيع تجاري لمصنف فني أصلي [ومخطوطة] بعد بيعه للمرة الأولى أو نقل ملكيته من قبل المؤلف.</w:t>
            </w:r>
            <w:r w:rsidRPr="008D64F9">
              <w:rPr>
                <w:vertAlign w:val="superscript"/>
              </w:rPr>
              <w:footnoteReference w:id="36"/>
            </w:r>
          </w:p>
        </w:tc>
        <w:tc>
          <w:tcPr>
            <w:tcW w:w="3004" w:type="dxa"/>
          </w:tcPr>
          <w:p w14:paraId="230E559E" w14:textId="77777777" w:rsidR="008D64F9" w:rsidRPr="008D64F9" w:rsidRDefault="008D64F9" w:rsidP="008D64F9">
            <w:pPr>
              <w:pStyle w:val="BodyText"/>
              <w:rPr>
                <w:rtl/>
                <w:lang w:bidi="ar-LB"/>
              </w:rPr>
            </w:pPr>
            <w:r w:rsidRPr="008D64F9">
              <w:rPr>
                <w:rtl/>
                <w:lang w:bidi="ar-LB"/>
              </w:rPr>
              <w:t>نص موجز وواضح، ولكن التعبيرات المختلفة هنا سوف تتطلب تعريفًا إضافيًا، مثل "الاتاوات"، و"إعادة البيع التجاري"، وما هو قصود بـ "المصنف الفني الأصلي" ومن الذي يستفيد من الحق، وما هي طبيعة الحق.</w:t>
            </w:r>
          </w:p>
        </w:tc>
      </w:tr>
      <w:tr w:rsidR="008D64F9" w:rsidRPr="008D64F9" w14:paraId="6C32A4F2" w14:textId="77777777" w:rsidTr="00101B5A">
        <w:tc>
          <w:tcPr>
            <w:tcW w:w="2122" w:type="dxa"/>
          </w:tcPr>
          <w:p w14:paraId="64DA9235" w14:textId="77777777" w:rsidR="008D64F9" w:rsidRPr="008D64F9" w:rsidRDefault="008D64F9" w:rsidP="008D64F9">
            <w:pPr>
              <w:pStyle w:val="BodyText"/>
              <w:rPr>
                <w:rtl/>
                <w:lang w:bidi="ar-LB"/>
              </w:rPr>
            </w:pPr>
            <w:r w:rsidRPr="008D64F9">
              <w:rPr>
                <w:rtl/>
                <w:lang w:bidi="ar-LB"/>
              </w:rPr>
              <w:t>حكم أكثر تفصيلا</w:t>
            </w:r>
          </w:p>
        </w:tc>
        <w:tc>
          <w:tcPr>
            <w:tcW w:w="3884" w:type="dxa"/>
          </w:tcPr>
          <w:p w14:paraId="3027E820" w14:textId="77777777" w:rsidR="008D64F9" w:rsidRPr="008D64F9" w:rsidRDefault="008D64F9" w:rsidP="008D64F9">
            <w:pPr>
              <w:pStyle w:val="BodyText"/>
              <w:rPr>
                <w:rtl/>
                <w:lang w:bidi="ar-LB"/>
              </w:rPr>
            </w:pPr>
            <w:r w:rsidRPr="008D64F9">
              <w:rPr>
                <w:rtl/>
                <w:lang w:bidi="ar-LB"/>
              </w:rPr>
              <w:t>44.</w:t>
            </w:r>
            <w:r w:rsidRPr="008D64F9">
              <w:t xml:space="preserve"> </w:t>
            </w:r>
            <w:r w:rsidRPr="008D64F9">
              <w:rPr>
                <w:rtl/>
                <w:lang w:bidi="ar-LB"/>
              </w:rPr>
              <w:t>يتمتع مؤلفو المصنفات التصويرية والثلاثية الأبعاد، على الرغم من أي تنازل عن ملكية المصنف الأصلي، بحق غير قابل للتصرف في الحصول على حصة من العائدات من أي عملية بيع لهذا المصنف بالمزاد العلني أو من خلال تاجر، بغض النظر عن الإجراءات المتبعة في عملية البيع التي يقوم بها الأخير.</w:t>
            </w:r>
            <w:r w:rsidRPr="008D64F9">
              <w:rPr>
                <w:vertAlign w:val="superscript"/>
                <w:lang w:val="en-GB"/>
              </w:rPr>
              <w:footnoteReference w:id="37"/>
            </w:r>
          </w:p>
        </w:tc>
        <w:tc>
          <w:tcPr>
            <w:tcW w:w="3004" w:type="dxa"/>
          </w:tcPr>
          <w:p w14:paraId="0600EA8C" w14:textId="77777777" w:rsidR="008D64F9" w:rsidRPr="008D64F9" w:rsidRDefault="008D64F9" w:rsidP="008D64F9">
            <w:pPr>
              <w:pStyle w:val="BodyText"/>
              <w:rPr>
                <w:rtl/>
                <w:lang w:bidi="ar-LB"/>
              </w:rPr>
            </w:pPr>
            <w:r w:rsidRPr="008D64F9">
              <w:rPr>
                <w:rtl/>
                <w:lang w:bidi="ar-LB"/>
              </w:rPr>
              <w:t>هذا النص يحدد أن الحق غير قابل للتصرف، ومن يستفيد منه، ومتى ينشأ، ويشير إلى أن تطبيق هذا الحق يقتصر على حالات بيع معينة (بالمزاد العلني أو من خلال تاجر).</w:t>
            </w:r>
          </w:p>
        </w:tc>
      </w:tr>
      <w:tr w:rsidR="008D64F9" w:rsidRPr="008D64F9" w14:paraId="4A08CDAC" w14:textId="77777777" w:rsidTr="00101B5A">
        <w:tc>
          <w:tcPr>
            <w:tcW w:w="2122" w:type="dxa"/>
          </w:tcPr>
          <w:p w14:paraId="6DEEB892" w14:textId="77777777" w:rsidR="008D64F9" w:rsidRPr="008D64F9" w:rsidRDefault="008D64F9" w:rsidP="008D64F9">
            <w:pPr>
              <w:pStyle w:val="BodyText"/>
              <w:rPr>
                <w:rtl/>
                <w:lang w:bidi="ar-LB"/>
              </w:rPr>
            </w:pPr>
            <w:r w:rsidRPr="008D64F9">
              <w:rPr>
                <w:rtl/>
                <w:lang w:bidi="ar-LB"/>
              </w:rPr>
              <w:t>بعض التعريفات المفيدة (لجميع الأنظمة التشريعية)</w:t>
            </w:r>
          </w:p>
        </w:tc>
        <w:tc>
          <w:tcPr>
            <w:tcW w:w="3884" w:type="dxa"/>
          </w:tcPr>
          <w:p w14:paraId="7A2B9F2A" w14:textId="77777777" w:rsidR="008D64F9" w:rsidRPr="008D64F9" w:rsidRDefault="008D64F9" w:rsidP="008D64F9">
            <w:pPr>
              <w:pStyle w:val="BodyText"/>
              <w:rPr>
                <w:rtl/>
                <w:lang w:bidi="ar-LB"/>
              </w:rPr>
            </w:pPr>
            <w:r w:rsidRPr="008D64F9">
              <w:rPr>
                <w:rtl/>
                <w:lang w:bidi="ar-LB"/>
              </w:rPr>
              <w:t>"المصنف الفني"</w:t>
            </w:r>
          </w:p>
          <w:p w14:paraId="7685FE46" w14:textId="77777777" w:rsidR="008D64F9" w:rsidRPr="008D64F9" w:rsidRDefault="008D64F9" w:rsidP="008D64F9">
            <w:pPr>
              <w:pStyle w:val="BodyText"/>
              <w:rPr>
                <w:rtl/>
                <w:lang w:bidi="ar-LB"/>
              </w:rPr>
            </w:pPr>
            <w:r w:rsidRPr="008D64F9">
              <w:rPr>
                <w:rtl/>
                <w:lang w:bidi="ar-LB"/>
              </w:rPr>
              <w:t>(1) المصنف الفني هو مصنف فني بصري أصلي:</w:t>
            </w:r>
          </w:p>
          <w:p w14:paraId="0D78B28D" w14:textId="77777777" w:rsidR="008D64F9" w:rsidRPr="008D64F9" w:rsidRDefault="008D64F9" w:rsidP="008D64F9">
            <w:pPr>
              <w:pStyle w:val="BodyText"/>
              <w:rPr>
                <w:rtl/>
                <w:lang w:bidi="ar-LB"/>
              </w:rPr>
            </w:pPr>
            <w:r w:rsidRPr="008D64F9">
              <w:rPr>
                <w:rtl/>
                <w:lang w:bidi="ar-LB"/>
              </w:rPr>
              <w:lastRenderedPageBreak/>
              <w:t>(أ) قام فنان واحد أو مجموعة من الفنانين بإنتاجه؛ أو</w:t>
            </w:r>
          </w:p>
          <w:p w14:paraId="6A668D15" w14:textId="77777777" w:rsidR="008D64F9" w:rsidRPr="008D64F9" w:rsidRDefault="008D64F9" w:rsidP="008D64F9">
            <w:pPr>
              <w:pStyle w:val="BodyText"/>
              <w:rPr>
                <w:rtl/>
                <w:lang w:bidi="ar-LB"/>
              </w:rPr>
            </w:pPr>
            <w:r w:rsidRPr="008D64F9">
              <w:rPr>
                <w:rtl/>
                <w:lang w:bidi="ar-LB"/>
              </w:rPr>
              <w:t>(ب) تم إنتاجه تحت إشراف الفنان أو الفنانين.</w:t>
            </w:r>
            <w:r w:rsidRPr="008D64F9">
              <w:rPr>
                <w:vertAlign w:val="superscript"/>
                <w:lang w:val="en-GB"/>
              </w:rPr>
              <w:footnoteReference w:id="38"/>
            </w:r>
          </w:p>
          <w:p w14:paraId="7B3F51DE" w14:textId="77777777" w:rsidR="008D64F9" w:rsidRPr="008D64F9" w:rsidRDefault="008D64F9" w:rsidP="008D64F9">
            <w:pPr>
              <w:pStyle w:val="BodyText"/>
              <w:rPr>
                <w:lang w:val="en-GB"/>
              </w:rPr>
            </w:pPr>
          </w:p>
          <w:p w14:paraId="4734996D" w14:textId="77777777" w:rsidR="008D64F9" w:rsidRPr="008D64F9" w:rsidRDefault="008D64F9" w:rsidP="008D64F9">
            <w:pPr>
              <w:pStyle w:val="BodyText"/>
              <w:rPr>
                <w:rtl/>
                <w:lang w:bidi="ar-LB"/>
              </w:rPr>
            </w:pPr>
            <w:r w:rsidRPr="008D64F9">
              <w:rPr>
                <w:rtl/>
                <w:lang w:bidi="ar-LB"/>
              </w:rPr>
              <w:t>"المؤلف"، فيما يتعلق</w:t>
            </w:r>
          </w:p>
          <w:p w14:paraId="47EEB41A" w14:textId="77777777" w:rsidR="008D64F9" w:rsidRPr="008D64F9" w:rsidRDefault="008D64F9" w:rsidP="008D64F9">
            <w:pPr>
              <w:pStyle w:val="BodyText"/>
              <w:rPr>
                <w:rtl/>
                <w:lang w:bidi="ar-LB"/>
              </w:rPr>
            </w:pPr>
            <w:r w:rsidRPr="008D64F9">
              <w:rPr>
                <w:rtl/>
                <w:lang w:bidi="ar-LB"/>
              </w:rPr>
              <w:t>(أ) بالعمل الأدبي أو الموسيقي أو الدرامي أو الفني، هو الشخص الذي يصنع أو ينتج المصنف أولاً؛</w:t>
            </w:r>
          </w:p>
          <w:p w14:paraId="2B802A8E" w14:textId="77777777" w:rsidR="008D64F9" w:rsidRPr="008D64F9" w:rsidRDefault="008D64F9" w:rsidP="008D64F9">
            <w:pPr>
              <w:pStyle w:val="BodyText"/>
              <w:rPr>
                <w:rtl/>
                <w:lang w:bidi="ar-LB"/>
              </w:rPr>
            </w:pPr>
            <w:r w:rsidRPr="008D64F9">
              <w:rPr>
                <w:rtl/>
                <w:lang w:bidi="ar-LB"/>
              </w:rPr>
              <w:t>…</w:t>
            </w:r>
            <w:r w:rsidRPr="008D64F9">
              <w:rPr>
                <w:vertAlign w:val="superscript"/>
              </w:rPr>
              <w:footnoteReference w:id="39"/>
            </w:r>
          </w:p>
          <w:p w14:paraId="6EED4CA5" w14:textId="77777777" w:rsidR="008D64F9" w:rsidRPr="008D64F9" w:rsidRDefault="008D64F9" w:rsidP="008D64F9">
            <w:pPr>
              <w:pStyle w:val="BodyText"/>
            </w:pPr>
          </w:p>
          <w:p w14:paraId="20A24596" w14:textId="77777777" w:rsidR="008D64F9" w:rsidRPr="008D64F9" w:rsidRDefault="008D64F9" w:rsidP="008D64F9">
            <w:pPr>
              <w:pStyle w:val="BodyText"/>
              <w:rPr>
                <w:rtl/>
                <w:lang w:bidi="ar-LB"/>
              </w:rPr>
            </w:pPr>
            <w:r w:rsidRPr="008D64F9">
              <w:rPr>
                <w:rtl/>
                <w:lang w:bidi="ar-LB"/>
              </w:rPr>
              <w:t>"حق التتبع" يعني حق الفنان أو مجموعة الفنانين أو خلفائهم في الحصول على اتاوات عند إعادة البيع التجاري للمصنف الفني؛</w:t>
            </w:r>
            <w:r w:rsidRPr="008D64F9">
              <w:rPr>
                <w:vertAlign w:val="superscript"/>
                <w:lang w:val="en-GB"/>
              </w:rPr>
              <w:footnoteReference w:id="40"/>
            </w:r>
            <w:r w:rsidRPr="008D64F9">
              <w:t xml:space="preserve"> </w:t>
            </w:r>
          </w:p>
          <w:p w14:paraId="0C5457D9" w14:textId="77777777" w:rsidR="008D64F9" w:rsidRPr="008D64F9" w:rsidRDefault="008D64F9" w:rsidP="008D64F9">
            <w:pPr>
              <w:pStyle w:val="BodyText"/>
            </w:pPr>
          </w:p>
          <w:p w14:paraId="1ABAD6D5" w14:textId="77777777" w:rsidR="008D64F9" w:rsidRPr="008D64F9" w:rsidRDefault="008D64F9" w:rsidP="008D64F9">
            <w:pPr>
              <w:pStyle w:val="BodyText"/>
              <w:rPr>
                <w:rtl/>
                <w:lang w:bidi="ar-LB"/>
              </w:rPr>
            </w:pPr>
            <w:r w:rsidRPr="008D64F9">
              <w:rPr>
                <w:rtl/>
                <w:lang w:bidi="ar-LB"/>
              </w:rPr>
              <w:t>"إعادة البيع التجاري" - يرجى الاطلاع على التعريفات المقترحة في الجدول 5.</w:t>
            </w:r>
          </w:p>
        </w:tc>
        <w:tc>
          <w:tcPr>
            <w:tcW w:w="3004" w:type="dxa"/>
          </w:tcPr>
          <w:p w14:paraId="0CD0694C" w14:textId="77777777" w:rsidR="008D64F9" w:rsidRPr="008D64F9" w:rsidRDefault="008D64F9">
            <w:pPr>
              <w:pStyle w:val="BodyText"/>
              <w:numPr>
                <w:ilvl w:val="0"/>
                <w:numId w:val="15"/>
              </w:numPr>
              <w:ind w:left="360"/>
              <w:rPr>
                <w:lang w:val="en-AU"/>
              </w:rPr>
            </w:pPr>
            <w:r w:rsidRPr="008D64F9">
              <w:rPr>
                <w:rtl/>
                <w:lang w:bidi="ar-LB"/>
              </w:rPr>
              <w:lastRenderedPageBreak/>
              <w:t>وجود سلسلة من التعابير المحددة التي تستخدم بعد ذلك في بقية القانون قد يسمح بسهولة الصياغة وتجنب التكرار.</w:t>
            </w:r>
          </w:p>
          <w:p w14:paraId="326439C3" w14:textId="77777777" w:rsidR="008D64F9" w:rsidRPr="008D64F9" w:rsidRDefault="008D64F9">
            <w:pPr>
              <w:pStyle w:val="BodyText"/>
              <w:numPr>
                <w:ilvl w:val="0"/>
                <w:numId w:val="15"/>
              </w:numPr>
              <w:ind w:left="360"/>
              <w:rPr>
                <w:rtl/>
                <w:lang w:bidi="ar-LB"/>
              </w:rPr>
            </w:pPr>
            <w:r w:rsidRPr="008D64F9">
              <w:rPr>
                <w:rtl/>
                <w:lang w:bidi="ar-LB"/>
              </w:rPr>
              <w:lastRenderedPageBreak/>
              <w:t xml:space="preserve">تشير كلمة </w:t>
            </w:r>
            <w:r w:rsidRPr="008D64F9">
              <w:rPr>
                <w:rFonts w:hint="cs"/>
                <w:rtl/>
                <w:lang w:bidi="ar-LB"/>
              </w:rPr>
              <w:t>"</w:t>
            </w:r>
            <w:r w:rsidRPr="008D64F9">
              <w:rPr>
                <w:rtl/>
                <w:lang w:bidi="ar-LB"/>
              </w:rPr>
              <w:t>أصلي</w:t>
            </w:r>
            <w:r w:rsidRPr="008D64F9">
              <w:rPr>
                <w:rFonts w:hint="cs"/>
                <w:rtl/>
                <w:lang w:bidi="ar-LB"/>
              </w:rPr>
              <w:t>"</w:t>
            </w:r>
            <w:r w:rsidRPr="008D64F9">
              <w:rPr>
                <w:rtl/>
                <w:lang w:bidi="ar-LB"/>
              </w:rPr>
              <w:t xml:space="preserve"> في تعريف </w:t>
            </w:r>
            <w:r w:rsidRPr="008D64F9">
              <w:rPr>
                <w:rFonts w:hint="cs"/>
                <w:rtl/>
                <w:lang w:bidi="ar-LB"/>
              </w:rPr>
              <w:t>"</w:t>
            </w:r>
            <w:r w:rsidRPr="008D64F9">
              <w:rPr>
                <w:rtl/>
                <w:lang w:bidi="ar-LB"/>
              </w:rPr>
              <w:t>المصنف الفني</w:t>
            </w:r>
            <w:r w:rsidRPr="008D64F9">
              <w:rPr>
                <w:rFonts w:hint="cs"/>
                <w:rtl/>
                <w:lang w:bidi="ar-LB"/>
              </w:rPr>
              <w:t>"</w:t>
            </w:r>
            <w:r w:rsidRPr="008D64F9">
              <w:rPr>
                <w:rtl/>
                <w:lang w:bidi="ar-LB"/>
              </w:rPr>
              <w:t xml:space="preserve"> إلى أن الحق يتعلق بأول تجسيد مادي أو ملموس للعمل </w:t>
            </w:r>
            <w:r w:rsidRPr="008D64F9">
              <w:rPr>
                <w:rFonts w:hint="cs"/>
                <w:rtl/>
                <w:lang w:bidi="ar-LB"/>
              </w:rPr>
              <w:t>"</w:t>
            </w:r>
            <w:r w:rsidRPr="008D64F9">
              <w:rPr>
                <w:rtl/>
                <w:lang w:bidi="ar-LB"/>
              </w:rPr>
              <w:t>صنعه</w:t>
            </w:r>
            <w:r w:rsidRPr="008D64F9">
              <w:rPr>
                <w:rFonts w:hint="cs"/>
                <w:rtl/>
                <w:lang w:bidi="ar-LB"/>
              </w:rPr>
              <w:t>"</w:t>
            </w:r>
            <w:r w:rsidRPr="008D64F9">
              <w:rPr>
                <w:rtl/>
                <w:lang w:bidi="ar-LB"/>
              </w:rPr>
              <w:t xml:space="preserve"> الفنان أو </w:t>
            </w:r>
            <w:r w:rsidRPr="008D64F9">
              <w:rPr>
                <w:rFonts w:hint="cs"/>
                <w:rtl/>
                <w:lang w:bidi="ar-LB"/>
              </w:rPr>
              <w:t xml:space="preserve">صنع </w:t>
            </w:r>
            <w:r w:rsidRPr="008D64F9">
              <w:rPr>
                <w:rtl/>
                <w:lang w:bidi="ar-LB"/>
              </w:rPr>
              <w:t>تحت سلطة الفنان.</w:t>
            </w:r>
          </w:p>
        </w:tc>
      </w:tr>
    </w:tbl>
    <w:p w14:paraId="689C2238" w14:textId="77777777" w:rsidR="008D64F9" w:rsidRPr="00C2105C" w:rsidRDefault="008D64F9" w:rsidP="00534856">
      <w:pPr>
        <w:pStyle w:val="Heading2"/>
        <w:rPr>
          <w:rtl/>
        </w:rPr>
      </w:pPr>
      <w:r w:rsidRPr="00C2105C">
        <w:rPr>
          <w:rtl/>
        </w:rPr>
        <w:lastRenderedPageBreak/>
        <w:t>المصنفات التي يشملها حق التتبع</w:t>
      </w:r>
      <w:r w:rsidRPr="00C2105C">
        <w:rPr>
          <w:lang w:bidi="ar-SA"/>
        </w:rPr>
        <w:t xml:space="preserve"> </w:t>
      </w:r>
    </w:p>
    <w:p w14:paraId="48D9A346" w14:textId="77777777" w:rsidR="008D64F9" w:rsidRPr="008D64F9" w:rsidRDefault="008D64F9" w:rsidP="008D64F9">
      <w:pPr>
        <w:pStyle w:val="ONUMA"/>
        <w:rPr>
          <w:rtl/>
          <w:lang w:bidi="ar-LB"/>
        </w:rPr>
      </w:pPr>
      <w:r w:rsidRPr="008D64F9">
        <w:rPr>
          <w:rtl/>
          <w:lang w:bidi="ar-LB"/>
        </w:rPr>
        <w:t>كما أشرنا اليه سابقا، فإن المادة 14(ثالثا) من اتفاقية برن تترك قدرا كبيرا من المرونة فيما يتعلق بتحديد أنواع المصنفات التي يمكن أن يشملها حق التتبع، بالاضافة إلى تلك التي يمكن استبعادها.</w:t>
      </w:r>
      <w:r w:rsidRPr="008D64F9">
        <w:rPr>
          <w:lang w:val="en-AU"/>
        </w:rPr>
        <w:t xml:space="preserve"> </w:t>
      </w:r>
      <w:r w:rsidRPr="008D64F9">
        <w:rPr>
          <w:rtl/>
          <w:lang w:bidi="ar-LB"/>
        </w:rPr>
        <w:t>لذلك</w:t>
      </w:r>
      <w:r w:rsidRPr="008D64F9">
        <w:rPr>
          <w:rFonts w:hint="cs"/>
          <w:rtl/>
          <w:lang w:bidi="ar-LB"/>
        </w:rPr>
        <w:t>،</w:t>
      </w:r>
      <w:r w:rsidRPr="008D64F9">
        <w:rPr>
          <w:rtl/>
          <w:lang w:bidi="ar-LB"/>
        </w:rPr>
        <w:t xml:space="preserve"> فإن مخططات حق التتبع الوطنية تختلف اختلافًا كبيرًا فيما يتعلق بفئات المصنفات التي تغطيها ودرجة التفاصيل المستخدمة لتحديد هذه الفئات.</w:t>
      </w:r>
      <w:r w:rsidRPr="008D64F9">
        <w:rPr>
          <w:lang w:val="en-AU"/>
        </w:rPr>
        <w:t xml:space="preserve"> </w:t>
      </w:r>
      <w:r w:rsidRPr="008D64F9">
        <w:rPr>
          <w:rtl/>
          <w:lang w:bidi="ar-LB"/>
        </w:rPr>
        <w:t xml:space="preserve">وفي البداية، يجب توضيح أن حق التتبع يرتبط بالتجسيد المادي الأول للمصنف الفني الأصلي و/أو المخطوطة (يرجى الاطلاع على "بعض التعريفات المفيدة" في الجدول السابق).  </w:t>
      </w:r>
    </w:p>
    <w:p w14:paraId="64CDF498" w14:textId="77777777" w:rsidR="008D64F9" w:rsidRPr="008D64F9" w:rsidRDefault="008D64F9" w:rsidP="008D64F9">
      <w:pPr>
        <w:pStyle w:val="ONUMA"/>
        <w:rPr>
          <w:rtl/>
          <w:lang w:bidi="ar-LB"/>
        </w:rPr>
      </w:pPr>
      <w:r w:rsidRPr="008D64F9">
        <w:rPr>
          <w:rtl/>
          <w:lang w:bidi="ar-LB"/>
        </w:rPr>
        <w:t>ومن بين المسائل التي ينبغي التركيز عليها عند تصميم أي مخطط جديد لحق التتبع نذكر ما يلي:</w:t>
      </w:r>
      <w:r w:rsidRPr="008D64F9">
        <w:rPr>
          <w:lang w:val="en-AU"/>
        </w:rPr>
        <w:t xml:space="preserve"> </w:t>
      </w:r>
    </w:p>
    <w:p w14:paraId="4C2D4A87" w14:textId="77777777" w:rsidR="008D64F9" w:rsidRPr="008D64F9" w:rsidRDefault="008D64F9">
      <w:pPr>
        <w:pStyle w:val="ONUMA"/>
        <w:numPr>
          <w:ilvl w:val="1"/>
          <w:numId w:val="4"/>
        </w:numPr>
        <w:rPr>
          <w:rtl/>
          <w:lang w:bidi="ar-LB"/>
        </w:rPr>
      </w:pPr>
      <w:r w:rsidRPr="008D64F9">
        <w:rPr>
          <w:rtl/>
          <w:lang w:bidi="ar-LB"/>
        </w:rPr>
        <w:t>هل يجب على واضع التشريع أن يستخدم تعبيرًا عامًا وشاملًا لتحديد المصنفات التي ينطبق عليها حق التتبع، على سبيل المثال، "جميع المصنفات التصويرية والثلاثية الأبعاد"، وهذا الأمر قد يترك للمحكمة الوطنية قرار تحديد ما إذا كان نوع معين من المصنفات التي لا يمكن تحديد الفئة التي تنتمي اليها بدقة يقع ضمن أو خارج نطاق هذا التعبير؟</w:t>
      </w:r>
      <w:r w:rsidRPr="008D64F9">
        <w:rPr>
          <w:vertAlign w:val="superscript"/>
          <w:lang w:val="en-AU"/>
        </w:rPr>
        <w:footnoteReference w:id="41"/>
      </w:r>
    </w:p>
    <w:p w14:paraId="0090F8AF" w14:textId="77777777" w:rsidR="008D64F9" w:rsidRPr="008D64F9" w:rsidRDefault="008D64F9">
      <w:pPr>
        <w:pStyle w:val="ONUMA"/>
        <w:numPr>
          <w:ilvl w:val="1"/>
          <w:numId w:val="4"/>
        </w:numPr>
        <w:rPr>
          <w:rtl/>
          <w:lang w:bidi="ar-LB"/>
        </w:rPr>
      </w:pPr>
      <w:r w:rsidRPr="008D64F9">
        <w:rPr>
          <w:rtl/>
          <w:lang w:bidi="ar-LB"/>
        </w:rPr>
        <w:t>هل من الأفضل تقديم قائمة مفصلة وشاملة لأنواع المصنفات المشمولة، وتحديد بعض الفئات الفرعية لاحقا بموجب صك تشريعي ثانوي أو من خلال اصدار توجيه إداري؟</w:t>
      </w:r>
    </w:p>
    <w:p w14:paraId="54A10AAB" w14:textId="77777777" w:rsidR="008D64F9" w:rsidRPr="008D64F9" w:rsidRDefault="008D64F9">
      <w:pPr>
        <w:pStyle w:val="ONUMA"/>
        <w:numPr>
          <w:ilvl w:val="1"/>
          <w:numId w:val="4"/>
        </w:numPr>
        <w:rPr>
          <w:rtl/>
          <w:lang w:bidi="ar-LB"/>
        </w:rPr>
      </w:pPr>
      <w:r w:rsidRPr="008D64F9">
        <w:rPr>
          <w:rtl/>
          <w:lang w:bidi="ar-LB"/>
        </w:rPr>
        <w:lastRenderedPageBreak/>
        <w:t>هل يجب تضمين جميع فئات الصور؟</w:t>
      </w:r>
      <w:r w:rsidRPr="008D64F9">
        <w:rPr>
          <w:lang w:val="en-AU"/>
        </w:rPr>
        <w:t xml:space="preserve"> </w:t>
      </w:r>
      <w:r w:rsidRPr="008D64F9">
        <w:rPr>
          <w:rtl/>
          <w:lang w:bidi="ar-LB"/>
        </w:rPr>
        <w:t>فعلى سبيل المثال، هل يجب تضمين الصور البسيطة الملتقطة بواسطة هاتف رقمي أو الصور الوثائقية أو الإخبارية؟</w:t>
      </w:r>
      <w:r w:rsidRPr="008D64F9">
        <w:rPr>
          <w:lang w:val="en-AU"/>
        </w:rPr>
        <w:t xml:space="preserve"> </w:t>
      </w:r>
      <w:r w:rsidRPr="008D64F9">
        <w:rPr>
          <w:rtl/>
          <w:lang w:bidi="ar-LB"/>
        </w:rPr>
        <w:t xml:space="preserve">وفي هذا الصدد، تجدر الإشارة إلى أن اتفاقية برن نفسها (في المادة 2(1)) تشير إلى "المصنفات الفوتوغرافية ويقاس عليها المصنفات التي يعبر عنها بأسلوب مماثل للأسلوب الفوتوغرافي"، وهذا يترك للدول الأعضاء بعض المرونة فيما يتعلق بكيفية تحديد الخط الفاصل فيما يتعلق بحماية الصور الفوتوغرافية باعتبارها </w:t>
      </w:r>
      <w:r w:rsidRPr="008D64F9">
        <w:rPr>
          <w:rFonts w:hint="cs"/>
          <w:rtl/>
          <w:lang w:bidi="ar-LB"/>
        </w:rPr>
        <w:t>مصنفات</w:t>
      </w:r>
      <w:r w:rsidRPr="008D64F9">
        <w:rPr>
          <w:rtl/>
          <w:lang w:bidi="ar-LB"/>
        </w:rPr>
        <w:t xml:space="preserve"> فنية.</w:t>
      </w:r>
      <w:r w:rsidRPr="008D64F9">
        <w:rPr>
          <w:lang w:val="en-AU"/>
        </w:rPr>
        <w:t xml:space="preserve"> </w:t>
      </w:r>
    </w:p>
    <w:p w14:paraId="41232BB2" w14:textId="77777777" w:rsidR="008D64F9" w:rsidRPr="008D64F9" w:rsidRDefault="008D64F9">
      <w:pPr>
        <w:pStyle w:val="ONUMA"/>
        <w:numPr>
          <w:ilvl w:val="1"/>
          <w:numId w:val="4"/>
        </w:numPr>
        <w:rPr>
          <w:lang w:val="en-AU"/>
        </w:rPr>
      </w:pPr>
      <w:r w:rsidRPr="008D64F9">
        <w:rPr>
          <w:rtl/>
          <w:lang w:bidi="ar-LB"/>
        </w:rPr>
        <w:t>هل ينبغي إدراج المصنفات الحرفية، وبشكل عام، مصنفات الفنون التطبيقية، ضمن فئة "المصنفات الفنية" الأوسع نطاقا؟</w:t>
      </w:r>
      <w:r w:rsidRPr="008D64F9">
        <w:rPr>
          <w:lang w:val="en-AU"/>
        </w:rPr>
        <w:t xml:space="preserve"> </w:t>
      </w:r>
      <w:r w:rsidRPr="008D64F9">
        <w:rPr>
          <w:rtl/>
          <w:lang w:bidi="ar-LB"/>
        </w:rPr>
        <w:t>مرة أخرى، تترك اتفاقية برن بعض المرونة هنا للدول الأعضاء فيما يتعلق بحماية المصنفات الفنية التطبيقية باعتبارها مصنفات فنية أو حمايتها بموجب نظام آخر مثل قوانين التصاميم أو القوانين النموذجية (يرجى الاطلاع على المادتين 2(7) و7(4) من اتفاقية برن).</w:t>
      </w:r>
      <w:r w:rsidRPr="008D64F9">
        <w:rPr>
          <w:lang w:val="en-AU"/>
        </w:rPr>
        <w:t xml:space="preserve"> </w:t>
      </w:r>
      <w:r w:rsidRPr="008D64F9">
        <w:rPr>
          <w:rtl/>
          <w:lang w:bidi="ar-LB"/>
        </w:rPr>
        <w:t>وتعتبر بعض البلدان، مثل فرنسا، أن مصنفات الفنون التطبيقية يجب تفسيرها على نطاق واسع باعتبارها تندرج ضمن الفئة العامة للمصنفات الفنية، في حين أن بلدان أخرى لديها نهج أكثر محدودية فيما يتعلق بما يجب تضمينه هنا، على سبيل المثال بعض أنواع المصنفات الحرفية ولكن ليس جميع أنواع مصنفات الفنون التطبيقية.</w:t>
      </w:r>
      <w:r w:rsidRPr="008D64F9">
        <w:rPr>
          <w:lang w:val="en-AU"/>
        </w:rPr>
        <w:t xml:space="preserve"> </w:t>
      </w:r>
      <w:r w:rsidRPr="008D64F9">
        <w:rPr>
          <w:rtl/>
          <w:lang w:bidi="ar-LB"/>
        </w:rPr>
        <w:t>وبالتالي، خلال وضع مخطط لحقّ التتبع يتماشى مع اتفاقية برن، يتمتع المشرعون الوطنيون ببعض الحرية فيما يتعلق بمدى قدرتهم على توسيع نطاق الحماية لتشمل جميع فئات الفنون التطبيقية أو بعضها فقط.</w:t>
      </w:r>
    </w:p>
    <w:p w14:paraId="7D502E57" w14:textId="77777777" w:rsidR="008D64F9" w:rsidRPr="008D64F9" w:rsidRDefault="008D64F9">
      <w:pPr>
        <w:pStyle w:val="ONUMA"/>
        <w:numPr>
          <w:ilvl w:val="1"/>
          <w:numId w:val="4"/>
        </w:numPr>
        <w:rPr>
          <w:rtl/>
          <w:lang w:bidi="ar-LB"/>
        </w:rPr>
      </w:pPr>
      <w:r w:rsidRPr="008D64F9">
        <w:rPr>
          <w:rtl/>
          <w:lang w:bidi="ar-LB"/>
        </w:rPr>
        <w:t xml:space="preserve">قد يُطرح سؤال فيما يتعلق </w:t>
      </w:r>
      <w:r w:rsidRPr="008D64F9">
        <w:rPr>
          <w:rFonts w:hint="cs"/>
          <w:rtl/>
          <w:lang w:bidi="ar-LB"/>
        </w:rPr>
        <w:t>ب</w:t>
      </w:r>
      <w:r w:rsidRPr="008D64F9">
        <w:rPr>
          <w:rtl/>
          <w:lang w:bidi="ar-LB"/>
        </w:rPr>
        <w:t xml:space="preserve">تصاميم </w:t>
      </w:r>
      <w:r w:rsidRPr="008D64F9">
        <w:rPr>
          <w:rFonts w:hint="cs"/>
          <w:rtl/>
          <w:lang w:bidi="ar-LB"/>
        </w:rPr>
        <w:t xml:space="preserve">تخطيط </w:t>
      </w:r>
      <w:r w:rsidRPr="008D64F9">
        <w:rPr>
          <w:rtl/>
          <w:lang w:bidi="ar-LB"/>
        </w:rPr>
        <w:t xml:space="preserve">الدوائر (طوبوغرافيات الدوائر المتكاملة): </w:t>
      </w:r>
      <w:r w:rsidRPr="008D64F9">
        <w:rPr>
          <w:rFonts w:hint="cs"/>
          <w:rtl/>
          <w:lang w:bidi="ar-LB"/>
        </w:rPr>
        <w:t xml:space="preserve">رغم </w:t>
      </w:r>
      <w:r w:rsidRPr="008D64F9">
        <w:rPr>
          <w:rtl/>
          <w:lang w:bidi="ar-LB"/>
        </w:rPr>
        <w:t xml:space="preserve">أنها </w:t>
      </w:r>
      <w:r w:rsidRPr="008D64F9">
        <w:rPr>
          <w:rFonts w:hint="cs"/>
          <w:rtl/>
          <w:lang w:bidi="ar-LB"/>
        </w:rPr>
        <w:t>"</w:t>
      </w:r>
      <w:r w:rsidRPr="008D64F9">
        <w:rPr>
          <w:rtl/>
          <w:lang w:bidi="ar-LB"/>
        </w:rPr>
        <w:t>فنية</w:t>
      </w:r>
      <w:r w:rsidRPr="008D64F9">
        <w:rPr>
          <w:rFonts w:hint="cs"/>
          <w:rtl/>
          <w:lang w:bidi="ar-LB"/>
        </w:rPr>
        <w:t>"</w:t>
      </w:r>
      <w:r w:rsidRPr="008D64F9">
        <w:rPr>
          <w:rtl/>
          <w:lang w:bidi="ar-LB"/>
        </w:rPr>
        <w:t xml:space="preserve"> بمعنى من المعاني، قد ي</w:t>
      </w:r>
      <w:r w:rsidRPr="008D64F9">
        <w:rPr>
          <w:rFonts w:hint="cs"/>
          <w:rtl/>
          <w:lang w:bidi="ar-LB"/>
        </w:rPr>
        <w:t xml:space="preserve">رى المشرّع </w:t>
      </w:r>
      <w:r w:rsidRPr="008D64F9">
        <w:rPr>
          <w:rtl/>
          <w:lang w:bidi="ar-LB"/>
        </w:rPr>
        <w:t>أنها تقع خارج نطاق</w:t>
      </w:r>
      <w:r w:rsidRPr="008D64F9">
        <w:rPr>
          <w:rFonts w:hint="cs"/>
          <w:rtl/>
          <w:lang w:bidi="ar-LB"/>
        </w:rPr>
        <w:t xml:space="preserve"> حق التتبع و</w:t>
      </w:r>
      <w:r w:rsidRPr="008D64F9">
        <w:rPr>
          <w:rtl/>
          <w:lang w:bidi="ar-LB"/>
        </w:rPr>
        <w:t>ينبغي استبعادها على وجه التحديد، كما هو الحال في أستراليا (انظر</w:t>
      </w:r>
      <w:r w:rsidRPr="008D64F9">
        <w:rPr>
          <w:rFonts w:hint="cs"/>
          <w:rtl/>
          <w:lang w:bidi="ar-LB"/>
        </w:rPr>
        <w:t>(ي)</w:t>
      </w:r>
      <w:r w:rsidRPr="008D64F9">
        <w:rPr>
          <w:rtl/>
          <w:lang w:bidi="ar-LB"/>
        </w:rPr>
        <w:t xml:space="preserve"> الجدول 6 أدناه).</w:t>
      </w:r>
    </w:p>
    <w:p w14:paraId="080EC847" w14:textId="77777777" w:rsidR="008D64F9" w:rsidRPr="008D64F9" w:rsidRDefault="008D64F9">
      <w:pPr>
        <w:pStyle w:val="ONUMA"/>
        <w:numPr>
          <w:ilvl w:val="1"/>
          <w:numId w:val="4"/>
        </w:numPr>
        <w:rPr>
          <w:rtl/>
          <w:lang w:bidi="ar-LB"/>
        </w:rPr>
      </w:pPr>
      <w:r w:rsidRPr="008D64F9">
        <w:rPr>
          <w:rtl/>
          <w:lang w:bidi="ar-LB"/>
        </w:rPr>
        <w:t>فيما يتعلق بمسألة المصنفات الفنية التطبيقية، هل ينبغي إدراج المصنفات التي تجسد التعبيرات الثقافية التقليدية التي أنشأها فنانون ينتمون إلى الشعوب الأصلية؟</w:t>
      </w:r>
      <w:r w:rsidRPr="008D64F9">
        <w:rPr>
          <w:lang w:val="en-AU"/>
        </w:rPr>
        <w:t xml:space="preserve"> </w:t>
      </w:r>
      <w:r w:rsidRPr="008D64F9">
        <w:rPr>
          <w:rtl/>
          <w:lang w:bidi="ar-LB"/>
        </w:rPr>
        <w:t>تنص العديد من الأنظمة القضائية (مثل نيوزيلندا) على ذلك صراحة.</w:t>
      </w:r>
      <w:r w:rsidRPr="008D64F9">
        <w:rPr>
          <w:vertAlign w:val="superscript"/>
          <w:lang w:val="en-AU"/>
        </w:rPr>
        <w:footnoteReference w:id="42"/>
      </w:r>
      <w:r w:rsidRPr="008D64F9">
        <w:rPr>
          <w:rtl/>
          <w:lang w:bidi="ar-LB"/>
        </w:rPr>
        <w:t xml:space="preserve">  </w:t>
      </w:r>
    </w:p>
    <w:p w14:paraId="3A260B42" w14:textId="77777777" w:rsidR="008D64F9" w:rsidRPr="008D64F9" w:rsidRDefault="008D64F9">
      <w:pPr>
        <w:pStyle w:val="ONUMA"/>
        <w:numPr>
          <w:ilvl w:val="1"/>
          <w:numId w:val="4"/>
        </w:numPr>
        <w:rPr>
          <w:lang w:val="en-AU"/>
        </w:rPr>
      </w:pPr>
      <w:r w:rsidRPr="008D64F9">
        <w:rPr>
          <w:rtl/>
          <w:lang w:bidi="ar-LB"/>
        </w:rPr>
        <w:t xml:space="preserve">هل ينبغي إدراج أعمال الهندسة المعمارية والأعمال الفنية المتعلقة بها، مثل الرسومات والمخططات والنماذج؟ يشمل تعريف </w:t>
      </w:r>
      <w:r w:rsidRPr="008D64F9">
        <w:rPr>
          <w:rFonts w:hint="cs"/>
          <w:rtl/>
          <w:lang w:bidi="ar-LB"/>
        </w:rPr>
        <w:t>"</w:t>
      </w:r>
      <w:r w:rsidRPr="008D64F9">
        <w:rPr>
          <w:rtl/>
          <w:lang w:bidi="ar-LB"/>
        </w:rPr>
        <w:t>المصنفات المحمية بموجب المادة 2(1) من اتفاقية برن</w:t>
      </w:r>
      <w:r w:rsidRPr="008D64F9">
        <w:rPr>
          <w:rFonts w:hint="cs"/>
          <w:rtl/>
          <w:lang w:bidi="ar-LB"/>
        </w:rPr>
        <w:t xml:space="preserve"> "</w:t>
      </w:r>
      <w:r w:rsidRPr="008D64F9">
        <w:rPr>
          <w:rtl/>
          <w:lang w:bidi="ar-LB"/>
        </w:rPr>
        <w:t>المصنفات</w:t>
      </w:r>
      <w:r w:rsidRPr="008D64F9">
        <w:rPr>
          <w:rFonts w:hint="cs"/>
          <w:rtl/>
          <w:lang w:bidi="ar-LB"/>
        </w:rPr>
        <w:t xml:space="preserve"> الخاصة</w:t>
      </w:r>
      <w:r w:rsidRPr="008D64F9">
        <w:rPr>
          <w:rtl/>
          <w:lang w:bidi="ar-LB"/>
        </w:rPr>
        <w:t xml:space="preserve"> ... بالعما</w:t>
      </w:r>
      <w:r w:rsidRPr="008D64F9">
        <w:rPr>
          <w:rFonts w:hint="cs"/>
          <w:rtl/>
          <w:lang w:bidi="ar-LB"/>
        </w:rPr>
        <w:t>ر</w:t>
      </w:r>
      <w:r w:rsidRPr="008D64F9">
        <w:rPr>
          <w:rtl/>
          <w:lang w:bidi="ar-LB"/>
        </w:rPr>
        <w:t>ة</w:t>
      </w:r>
      <w:r w:rsidRPr="008D64F9">
        <w:rPr>
          <w:rFonts w:hint="cs"/>
          <w:rtl/>
          <w:lang w:bidi="ar-LB"/>
        </w:rPr>
        <w:t>"</w:t>
      </w:r>
      <w:r w:rsidRPr="008D64F9">
        <w:rPr>
          <w:rtl/>
          <w:lang w:bidi="ar-LB"/>
        </w:rPr>
        <w:t xml:space="preserve">، وبشكل أعم </w:t>
      </w:r>
      <w:r w:rsidRPr="008D64F9">
        <w:rPr>
          <w:rFonts w:hint="cs"/>
          <w:rtl/>
          <w:lang w:bidi="ar-LB"/>
        </w:rPr>
        <w:t>"</w:t>
      </w:r>
      <w:r w:rsidRPr="008D64F9">
        <w:rPr>
          <w:rtl/>
          <w:lang w:bidi="ar-LB"/>
        </w:rPr>
        <w:t xml:space="preserve"> والصور التوضيحية والخرائط الجغرافية والتصميمات والرسومات التخطيطية والمصنفات المجسمة المتعلقة بالجغرافيا أو الطبوغرافيا أو العمارة أو العلوم</w:t>
      </w:r>
      <w:r w:rsidRPr="008D64F9">
        <w:rPr>
          <w:rFonts w:hint="cs"/>
          <w:rtl/>
          <w:lang w:bidi="ar-LB"/>
        </w:rPr>
        <w:t>"</w:t>
      </w:r>
      <w:r w:rsidRPr="008D64F9">
        <w:rPr>
          <w:rtl/>
          <w:lang w:bidi="ar-LB"/>
        </w:rPr>
        <w:t>. علاوة على ذلك، تشمل بعض القوانين الوطنية المباني والهياكل بشكل عام ضمن نطاق حق ال</w:t>
      </w:r>
      <w:r w:rsidRPr="008D64F9">
        <w:rPr>
          <w:rFonts w:hint="cs"/>
          <w:rtl/>
          <w:lang w:bidi="ar-LB"/>
        </w:rPr>
        <w:t xml:space="preserve">مؤلف </w:t>
      </w:r>
      <w:r w:rsidRPr="008D64F9">
        <w:rPr>
          <w:rtl/>
          <w:lang w:bidi="ar-LB"/>
        </w:rPr>
        <w:t xml:space="preserve">الفني دون أي شرط </w:t>
      </w:r>
      <w:r w:rsidRPr="008D64F9">
        <w:rPr>
          <w:rFonts w:hint="cs"/>
          <w:rtl/>
          <w:lang w:bidi="ar-LB"/>
        </w:rPr>
        <w:t>ب</w:t>
      </w:r>
      <w:r w:rsidRPr="008D64F9">
        <w:rPr>
          <w:rtl/>
          <w:lang w:bidi="ar-LB"/>
        </w:rPr>
        <w:t>أن تكون هذه الأعمال من أعمال الهندسة المعمارية</w:t>
      </w:r>
      <w:r w:rsidRPr="008D64F9">
        <w:rPr>
          <w:vertAlign w:val="superscript"/>
          <w:rtl/>
          <w:lang w:bidi="ar-LB"/>
        </w:rPr>
        <w:footnoteReference w:id="43"/>
      </w:r>
      <w:r w:rsidRPr="008D64F9">
        <w:rPr>
          <w:rtl/>
          <w:lang w:bidi="ar-LB"/>
        </w:rPr>
        <w:t xml:space="preserve">. من ناحية أخرى، قد تنشأ صعوبات عملية في إنفاذ حق </w:t>
      </w:r>
      <w:r w:rsidRPr="008D64F9">
        <w:rPr>
          <w:rFonts w:hint="cs"/>
          <w:rtl/>
          <w:lang w:bidi="ar-LB"/>
        </w:rPr>
        <w:t>التتبع في</w:t>
      </w:r>
      <w:r w:rsidRPr="008D64F9">
        <w:rPr>
          <w:rtl/>
          <w:lang w:bidi="ar-LB"/>
        </w:rPr>
        <w:t xml:space="preserve"> حالة إعادة بيع المباني، ناهيك عن المصنفات الفنية مثل اللوحات الجدارية والجداريات والمنحوتات المدمجة في نسيج المباني. وبالتالي، تستثني العديد من القوانين الوطنية الخاصة ب</w:t>
      </w:r>
      <w:r w:rsidRPr="008D64F9">
        <w:rPr>
          <w:rFonts w:hint="cs"/>
          <w:rtl/>
          <w:lang w:bidi="ar-LB"/>
        </w:rPr>
        <w:t xml:space="preserve">حق التتبع </w:t>
      </w:r>
      <w:r w:rsidRPr="008D64F9">
        <w:rPr>
          <w:rtl/>
          <w:lang w:bidi="ar-LB"/>
        </w:rPr>
        <w:t>هذه الفئة من المصنفات الفنية.</w:t>
      </w:r>
    </w:p>
    <w:p w14:paraId="608AB70B" w14:textId="77777777" w:rsidR="008D64F9" w:rsidRPr="008D64F9" w:rsidRDefault="008D64F9">
      <w:pPr>
        <w:pStyle w:val="ONUMA"/>
        <w:numPr>
          <w:ilvl w:val="1"/>
          <w:numId w:val="4"/>
        </w:numPr>
        <w:rPr>
          <w:rtl/>
          <w:lang w:bidi="ar-LB"/>
        </w:rPr>
      </w:pPr>
      <w:r w:rsidRPr="008D64F9">
        <w:rPr>
          <w:rtl/>
          <w:lang w:bidi="ar-LB"/>
        </w:rPr>
        <w:t>هل يجب شمل المصنفات غير الفنية مثل مخطوطات المصنفات الأدبية أو الدرامية أو الموسيقية؟</w:t>
      </w:r>
      <w:r w:rsidRPr="008D64F9">
        <w:rPr>
          <w:rFonts w:hint="cs"/>
          <w:rtl/>
          <w:lang w:bidi="ar-LB"/>
        </w:rPr>
        <w:t xml:space="preserve"> </w:t>
      </w:r>
      <w:r w:rsidRPr="008D64F9">
        <w:rPr>
          <w:rtl/>
          <w:lang w:bidi="ar-LB"/>
        </w:rPr>
        <w:t>وكما هو مذكور أعلاه، لا ي</w:t>
      </w:r>
      <w:r w:rsidRPr="008D64F9">
        <w:rPr>
          <w:rFonts w:hint="cs"/>
          <w:rtl/>
          <w:lang w:bidi="ar-LB"/>
        </w:rPr>
        <w:t xml:space="preserve">صل إلى </w:t>
      </w:r>
      <w:r w:rsidRPr="008D64F9">
        <w:rPr>
          <w:rtl/>
          <w:lang w:bidi="ar-LB"/>
        </w:rPr>
        <w:t>هذا الحد سوى عدد قليل من القوانين الوطنية في الوقت الحاضر، رغم أن المادة 14(ثالثا)</w:t>
      </w:r>
      <w:r w:rsidRPr="008D64F9">
        <w:rPr>
          <w:rFonts w:hint="cs"/>
          <w:rtl/>
          <w:lang w:bidi="ar-LB"/>
        </w:rPr>
        <w:t xml:space="preserve"> </w:t>
      </w:r>
      <w:r w:rsidRPr="008D64F9">
        <w:rPr>
          <w:rtl/>
          <w:lang w:bidi="ar-LB"/>
        </w:rPr>
        <w:t>من اتفاقية برن</w:t>
      </w:r>
      <w:r w:rsidRPr="008D64F9">
        <w:rPr>
          <w:rFonts w:hint="cs"/>
          <w:rtl/>
          <w:lang w:bidi="ar-LB"/>
        </w:rPr>
        <w:t xml:space="preserve"> </w:t>
      </w:r>
      <w:r w:rsidRPr="008D64F9">
        <w:rPr>
          <w:rtl/>
          <w:lang w:bidi="ar-LB"/>
        </w:rPr>
        <w:t xml:space="preserve">تسمح بذلك وتنص على قصر ذلك على </w:t>
      </w:r>
      <w:r w:rsidRPr="008D64F9">
        <w:rPr>
          <w:rFonts w:hint="cs"/>
          <w:rtl/>
          <w:lang w:bidi="ar-LB"/>
        </w:rPr>
        <w:t>"</w:t>
      </w:r>
      <w:r w:rsidRPr="008D64F9">
        <w:rPr>
          <w:rtl/>
          <w:lang w:bidi="ar-LB"/>
        </w:rPr>
        <w:t>المخطوطات الأصلية لكتاب ومؤلفين موسيقيين</w:t>
      </w:r>
      <w:r w:rsidRPr="008D64F9">
        <w:rPr>
          <w:rFonts w:hint="cs"/>
          <w:rtl/>
          <w:lang w:bidi="ar-LB"/>
        </w:rPr>
        <w:t>"</w:t>
      </w:r>
      <w:r w:rsidRPr="008D64F9">
        <w:rPr>
          <w:rtl/>
          <w:lang w:bidi="ar-LB"/>
        </w:rPr>
        <w:t>.</w:t>
      </w:r>
    </w:p>
    <w:p w14:paraId="449D198E" w14:textId="77777777" w:rsidR="008D64F9" w:rsidRPr="008D64F9" w:rsidRDefault="008D64F9">
      <w:pPr>
        <w:pStyle w:val="ONUMA"/>
        <w:numPr>
          <w:ilvl w:val="1"/>
          <w:numId w:val="4"/>
        </w:numPr>
        <w:rPr>
          <w:rtl/>
          <w:lang w:bidi="ar-LB"/>
        </w:rPr>
      </w:pPr>
      <w:r w:rsidRPr="008D64F9">
        <w:rPr>
          <w:rtl/>
          <w:lang w:bidi="ar-LB"/>
        </w:rPr>
        <w:t>كيف ينبغي التعامل مع المصنفات التي تم انتاجها من خلال سلسلة من عمليات النسخ أو الاستنساخ وكذلك المصنفات التي ينتجها فريق من المساعدين يعملون تحت إشراف المؤلف؟</w:t>
      </w:r>
      <w:r w:rsidRPr="008D64F9">
        <w:rPr>
          <w:rFonts w:hint="cs"/>
          <w:rtl/>
          <w:lang w:bidi="ar-LB"/>
        </w:rPr>
        <w:t xml:space="preserve"> </w:t>
      </w:r>
      <w:r w:rsidRPr="008D64F9">
        <w:rPr>
          <w:rtl/>
          <w:lang w:bidi="ar-LB"/>
        </w:rPr>
        <w:t>كيف تطب</w:t>
      </w:r>
      <w:r w:rsidRPr="008D64F9">
        <w:rPr>
          <w:rFonts w:hint="cs"/>
          <w:rtl/>
          <w:lang w:bidi="ar-LB"/>
        </w:rPr>
        <w:t>ّ</w:t>
      </w:r>
      <w:r w:rsidRPr="008D64F9">
        <w:rPr>
          <w:rtl/>
          <w:lang w:bidi="ar-LB"/>
        </w:rPr>
        <w:t>ق متطلبات الأصالة في مثل هذه الحالات؟</w:t>
      </w:r>
    </w:p>
    <w:p w14:paraId="59EA4064" w14:textId="77777777" w:rsidR="008D64F9" w:rsidRPr="008D64F9" w:rsidRDefault="008D64F9">
      <w:pPr>
        <w:pStyle w:val="ONUMA"/>
        <w:numPr>
          <w:ilvl w:val="1"/>
          <w:numId w:val="4"/>
        </w:numPr>
        <w:rPr>
          <w:rtl/>
          <w:lang w:bidi="ar-LB"/>
        </w:rPr>
      </w:pPr>
      <w:r w:rsidRPr="008D64F9">
        <w:rPr>
          <w:rtl/>
          <w:lang w:bidi="ar-LB"/>
        </w:rPr>
        <w:t>كيف ينبغي التعامل مع المصنفات الرقمية، بما في ذلك المصنفات التي يتم إنشاؤها بواسطة الكمبيوتر؟</w:t>
      </w:r>
      <w:r w:rsidRPr="008D64F9">
        <w:rPr>
          <w:lang w:val="en-AU"/>
        </w:rPr>
        <w:t xml:space="preserve"> </w:t>
      </w:r>
      <w:r w:rsidRPr="008D64F9">
        <w:rPr>
          <w:rtl/>
          <w:lang w:bidi="ar-LB"/>
        </w:rPr>
        <w:t>هل يمكن توسيع مفهوم حق التتبع ليشمل المصنفات الفنية الرقمية الأصلية، حيث ان شرط التجسيد المادي الأول يتطلب إعادة تصور بعض المفاهيم؟</w:t>
      </w:r>
      <w:r w:rsidRPr="008D64F9">
        <w:rPr>
          <w:lang w:val="en-AU"/>
        </w:rPr>
        <w:t xml:space="preserve"> </w:t>
      </w:r>
      <w:r w:rsidRPr="008D64F9">
        <w:rPr>
          <w:rtl/>
          <w:lang w:bidi="ar-LB"/>
        </w:rPr>
        <w:t>في الآونة الأخيرة، حققت المصنفات الفنية المجسدة في الرموز غير القابلة للاستبدال أسعارًا مرتفعة للغاية في المزادات العلنية التي تقيمها دور المزادات الفنية المعروفة.</w:t>
      </w:r>
      <w:r w:rsidRPr="008D64F9">
        <w:rPr>
          <w:vertAlign w:val="superscript"/>
          <w:lang w:val="en-AU"/>
        </w:rPr>
        <w:footnoteReference w:id="44"/>
      </w:r>
      <w:r w:rsidRPr="008D64F9">
        <w:rPr>
          <w:rtl/>
          <w:lang w:bidi="ar-LB"/>
        </w:rPr>
        <w:t xml:space="preserve"> </w:t>
      </w:r>
    </w:p>
    <w:p w14:paraId="5FCFC4EA" w14:textId="77777777" w:rsidR="008D64F9" w:rsidRPr="008D64F9" w:rsidRDefault="008D64F9" w:rsidP="008D64F9">
      <w:pPr>
        <w:pStyle w:val="ONUMA"/>
        <w:rPr>
          <w:rtl/>
          <w:lang w:bidi="ar-LB"/>
        </w:rPr>
      </w:pPr>
      <w:r w:rsidRPr="008D64F9">
        <w:rPr>
          <w:rtl/>
          <w:lang w:bidi="ar-LB"/>
        </w:rPr>
        <w:lastRenderedPageBreak/>
        <w:t>ويمكن العثور على إجابات مختلفة على هذه الأسئلة في المخططات الوطنية القائمة، وقد تؤدي إلى إثارة مناقشات نشطة بين واضعي السياسات والمشرعين.</w:t>
      </w:r>
      <w:r w:rsidRPr="008D64F9">
        <w:rPr>
          <w:lang w:val="en-AU"/>
        </w:rPr>
        <w:t xml:space="preserve"> </w:t>
      </w:r>
      <w:r w:rsidRPr="008D64F9">
        <w:rPr>
          <w:rtl/>
          <w:lang w:bidi="ar-LB"/>
        </w:rPr>
        <w:t>ولكن اتفاقية برن هي التي تسمح بهذه المرونة، ومن المتوقع أن يسترشد واضعو السياسات والمشرعون الوطنيون هنا بظروف أسواق الفن في بلدانهم فضلاً عن تقاليدهم القانونية والثقافية.</w:t>
      </w:r>
      <w:r w:rsidRPr="008D64F9">
        <w:rPr>
          <w:lang w:val="en-AU"/>
        </w:rPr>
        <w:t xml:space="preserve"> </w:t>
      </w:r>
      <w:r w:rsidRPr="008D64F9">
        <w:rPr>
          <w:rtl/>
          <w:lang w:bidi="ar-LB"/>
        </w:rPr>
        <w:t>وبالتالي، فإن حماية المصنفات الحرفية (كفئة من فئات الفنون التطبيقية) قد تكون ذات أهمية خاصة في بعض البلدان، ولكن ليس في بلدان أخرى، في حين أن المصنفات التي يتم إنشاؤها بشكل جماعي قد تكون شائعة في بعض البلدان ولكن ليس في بلدان أخرى، وينطبق ذلك أيضا على الإنتاجات الرقمية.</w:t>
      </w:r>
      <w:r w:rsidRPr="008D64F9">
        <w:rPr>
          <w:lang w:val="en-AU"/>
        </w:rPr>
        <w:t xml:space="preserve"> </w:t>
      </w:r>
      <w:r w:rsidRPr="008D64F9">
        <w:rPr>
          <w:rtl/>
          <w:lang w:bidi="ar-LB"/>
        </w:rPr>
        <w:t>ولعل أفضل نصيحة هنا هي السماح بوجود آلية ما في أي مخطط تشريعي تسمح بتعديله بما يتناسب مع الحالات الجديدة عند ظهورها.</w:t>
      </w:r>
      <w:r w:rsidRPr="008D64F9">
        <w:rPr>
          <w:lang w:val="en-AU"/>
        </w:rPr>
        <w:t xml:space="preserve"> </w:t>
      </w:r>
    </w:p>
    <w:p w14:paraId="72207CC3" w14:textId="77777777" w:rsidR="008D64F9" w:rsidRPr="008D64F9" w:rsidRDefault="008D64F9" w:rsidP="008D64F9">
      <w:pPr>
        <w:pStyle w:val="ONUMA"/>
        <w:rPr>
          <w:rtl/>
          <w:lang w:bidi="ar-LB"/>
        </w:rPr>
      </w:pPr>
      <w:r w:rsidRPr="008D64F9">
        <w:rPr>
          <w:rtl/>
          <w:lang w:bidi="ar-LB"/>
        </w:rPr>
        <w:t>وترد بعض الأحكام النموذجية المقترحة هنا في الجدول 3 أدناه؛ وترد أمثلة أخرى من القوانين الوطنية في الجدول 29.</w:t>
      </w:r>
      <w:r w:rsidRPr="008D64F9">
        <w:rPr>
          <w:lang w:val="en-AU"/>
        </w:rPr>
        <w:t xml:space="preserve"> </w:t>
      </w:r>
    </w:p>
    <w:p w14:paraId="5453BD82" w14:textId="77777777" w:rsidR="008D64F9" w:rsidRPr="008D64F9" w:rsidRDefault="008D64F9" w:rsidP="008D64F9">
      <w:pPr>
        <w:spacing w:after="240"/>
        <w:rPr>
          <w:rFonts w:asciiTheme="minorHAnsi" w:hAnsiTheme="minorHAnsi" w:cstheme="minorHAnsi"/>
          <w:bCs/>
          <w:i/>
          <w:iCs/>
          <w:rtl/>
          <w:lang w:bidi="ar-LB"/>
        </w:rPr>
      </w:pPr>
      <w:r w:rsidRPr="008D64F9">
        <w:rPr>
          <w:rFonts w:asciiTheme="minorHAnsi" w:hAnsiTheme="minorHAnsi" w:cstheme="minorHAnsi"/>
          <w:bCs/>
          <w:i/>
          <w:iCs/>
          <w:rtl/>
          <w:lang w:bidi="ar-LB"/>
        </w:rPr>
        <w:t>الجدول 3</w:t>
      </w:r>
    </w:p>
    <w:tbl>
      <w:tblPr>
        <w:tblStyle w:val="TableGrid"/>
        <w:bidiVisual/>
        <w:tblW w:w="0" w:type="auto"/>
        <w:tblInd w:w="360" w:type="dxa"/>
        <w:tblLook w:val="04A0" w:firstRow="1" w:lastRow="0" w:firstColumn="1" w:lastColumn="0" w:noHBand="0" w:noVBand="1"/>
      </w:tblPr>
      <w:tblGrid>
        <w:gridCol w:w="2187"/>
        <w:gridCol w:w="3579"/>
        <w:gridCol w:w="2884"/>
      </w:tblGrid>
      <w:tr w:rsidR="008D64F9" w:rsidRPr="008D64F9" w14:paraId="0A44BA36" w14:textId="77777777" w:rsidTr="00101B5A">
        <w:tc>
          <w:tcPr>
            <w:tcW w:w="2187" w:type="dxa"/>
          </w:tcPr>
          <w:p w14:paraId="4DB1C3FA" w14:textId="77777777" w:rsidR="008D64F9" w:rsidRPr="008D64F9" w:rsidRDefault="008D64F9" w:rsidP="008D64F9">
            <w:pPr>
              <w:pStyle w:val="BodyText"/>
              <w:rPr>
                <w:b/>
                <w:bCs/>
                <w:rtl/>
                <w:lang w:bidi="ar-LB"/>
              </w:rPr>
            </w:pPr>
            <w:r w:rsidRPr="008D64F9">
              <w:rPr>
                <w:b/>
                <w:bCs/>
                <w:rtl/>
                <w:lang w:bidi="ar-LB"/>
              </w:rPr>
              <w:t>نوع الحكم</w:t>
            </w:r>
          </w:p>
        </w:tc>
        <w:tc>
          <w:tcPr>
            <w:tcW w:w="3579" w:type="dxa"/>
          </w:tcPr>
          <w:p w14:paraId="37B82B55" w14:textId="77777777" w:rsidR="008D64F9" w:rsidRPr="008D64F9" w:rsidRDefault="008D64F9" w:rsidP="008D64F9">
            <w:pPr>
              <w:pStyle w:val="BodyText"/>
              <w:rPr>
                <w:b/>
                <w:bCs/>
                <w:rtl/>
                <w:lang w:bidi="ar-LB"/>
              </w:rPr>
            </w:pPr>
            <w:r w:rsidRPr="008D64F9">
              <w:rPr>
                <w:b/>
                <w:bCs/>
                <w:rtl/>
                <w:lang w:bidi="ar-LB"/>
              </w:rPr>
              <w:t>النص المقترح</w:t>
            </w:r>
          </w:p>
        </w:tc>
        <w:tc>
          <w:tcPr>
            <w:tcW w:w="2884" w:type="dxa"/>
          </w:tcPr>
          <w:p w14:paraId="2F6329BB" w14:textId="77777777" w:rsidR="008D64F9" w:rsidRPr="008D64F9" w:rsidRDefault="008D64F9" w:rsidP="008D64F9">
            <w:pPr>
              <w:pStyle w:val="BodyText"/>
              <w:rPr>
                <w:b/>
                <w:bCs/>
                <w:rtl/>
                <w:lang w:bidi="ar-LB"/>
              </w:rPr>
            </w:pPr>
            <w:r w:rsidRPr="008D64F9">
              <w:rPr>
                <w:b/>
                <w:bCs/>
                <w:rtl/>
                <w:lang w:bidi="ar-LB"/>
              </w:rPr>
              <w:t>الايجابيات والسلبيات</w:t>
            </w:r>
          </w:p>
        </w:tc>
      </w:tr>
      <w:tr w:rsidR="008D64F9" w:rsidRPr="008D64F9" w14:paraId="60FD0374" w14:textId="77777777" w:rsidTr="00101B5A">
        <w:tc>
          <w:tcPr>
            <w:tcW w:w="2187" w:type="dxa"/>
          </w:tcPr>
          <w:p w14:paraId="09A863D7" w14:textId="77777777" w:rsidR="008D64F9" w:rsidRPr="008D64F9" w:rsidRDefault="008D64F9" w:rsidP="008D64F9">
            <w:pPr>
              <w:pStyle w:val="BodyText"/>
              <w:rPr>
                <w:rtl/>
                <w:lang w:bidi="ar-LB"/>
              </w:rPr>
            </w:pPr>
            <w:r w:rsidRPr="008D64F9">
              <w:rPr>
                <w:rtl/>
                <w:lang w:bidi="ar-LB"/>
              </w:rPr>
              <w:t>حكم عام</w:t>
            </w:r>
          </w:p>
        </w:tc>
        <w:tc>
          <w:tcPr>
            <w:tcW w:w="3579" w:type="dxa"/>
          </w:tcPr>
          <w:p w14:paraId="1C0AE7C1" w14:textId="77777777" w:rsidR="008D64F9" w:rsidRPr="008D64F9" w:rsidRDefault="008D64F9" w:rsidP="008D64F9">
            <w:pPr>
              <w:pStyle w:val="BodyText"/>
              <w:rPr>
                <w:i/>
                <w:rtl/>
                <w:lang w:bidi="ar-LB"/>
              </w:rPr>
            </w:pPr>
            <w:r w:rsidRPr="008D64F9">
              <w:rPr>
                <w:i/>
                <w:rtl/>
                <w:lang w:bidi="ar-LB"/>
              </w:rPr>
              <w:t>جميع المصنفات التصويرية والثلاثية الأبعاد الأصلية</w:t>
            </w:r>
            <w:r w:rsidRPr="008D64F9">
              <w:rPr>
                <w:i/>
                <w:vertAlign w:val="superscript"/>
                <w:lang w:val="en-AU"/>
              </w:rPr>
              <w:footnoteReference w:id="45"/>
            </w:r>
            <w:r w:rsidRPr="008D64F9">
              <w:rPr>
                <w:i/>
                <w:rtl/>
                <w:lang w:bidi="ar-LB"/>
              </w:rPr>
              <w:t xml:space="preserve"> [</w:t>
            </w:r>
            <w:r w:rsidRPr="008D64F9">
              <w:rPr>
                <w:rFonts w:hint="cs"/>
                <w:i/>
                <w:rtl/>
                <w:lang w:bidi="ar-LB"/>
              </w:rPr>
              <w:t>"</w:t>
            </w:r>
            <w:r w:rsidRPr="008D64F9">
              <w:rPr>
                <w:i/>
                <w:rtl/>
                <w:lang w:bidi="ar-LB"/>
              </w:rPr>
              <w:t>والمخطوطات الأصلية لكتاب ومؤلفين موسيقيين</w:t>
            </w:r>
            <w:r w:rsidRPr="008D64F9">
              <w:rPr>
                <w:rFonts w:hint="cs"/>
                <w:i/>
                <w:rtl/>
                <w:lang w:bidi="ar-LB"/>
              </w:rPr>
              <w:t>"</w:t>
            </w:r>
            <w:r w:rsidRPr="008D64F9">
              <w:rPr>
                <w:i/>
                <w:rtl/>
                <w:lang w:bidi="ar-LB"/>
              </w:rPr>
              <w:t>].</w:t>
            </w:r>
          </w:p>
        </w:tc>
        <w:tc>
          <w:tcPr>
            <w:tcW w:w="2884" w:type="dxa"/>
          </w:tcPr>
          <w:p w14:paraId="696996E0" w14:textId="77777777" w:rsidR="008D64F9" w:rsidRPr="008D64F9" w:rsidRDefault="008D64F9">
            <w:pPr>
              <w:pStyle w:val="BodyText"/>
              <w:numPr>
                <w:ilvl w:val="0"/>
                <w:numId w:val="16"/>
              </w:numPr>
              <w:ind w:left="360"/>
              <w:rPr>
                <w:rtl/>
                <w:lang w:bidi="ar-LB"/>
              </w:rPr>
            </w:pPr>
            <w:r w:rsidRPr="008D64F9">
              <w:rPr>
                <w:rtl/>
                <w:lang w:bidi="ar-LB"/>
              </w:rPr>
              <w:t>يغطي كافة المصنفات الفنية والمخطوطات</w:t>
            </w:r>
          </w:p>
          <w:p w14:paraId="12CDFF52" w14:textId="77777777" w:rsidR="008D64F9" w:rsidRPr="008D64F9" w:rsidRDefault="008D64F9">
            <w:pPr>
              <w:pStyle w:val="BodyText"/>
              <w:numPr>
                <w:ilvl w:val="0"/>
                <w:numId w:val="16"/>
              </w:numPr>
              <w:ind w:left="360"/>
              <w:rPr>
                <w:rtl/>
                <w:lang w:bidi="ar-LB"/>
              </w:rPr>
            </w:pPr>
            <w:r w:rsidRPr="008D64F9">
              <w:rPr>
                <w:rtl/>
                <w:lang w:bidi="ar-LB"/>
              </w:rPr>
              <w:t>يجب أن تكون "أصلية"، أي أنها يجب أن تكون أول تجسيد للم</w:t>
            </w:r>
            <w:r w:rsidRPr="008D64F9">
              <w:rPr>
                <w:rFonts w:hint="cs"/>
                <w:rtl/>
                <w:lang w:bidi="ar-LB"/>
              </w:rPr>
              <w:t>صنف</w:t>
            </w:r>
            <w:r w:rsidRPr="008D64F9">
              <w:rPr>
                <w:rtl/>
                <w:lang w:bidi="ar-LB"/>
              </w:rPr>
              <w:t>.</w:t>
            </w:r>
          </w:p>
          <w:p w14:paraId="03C8AE81" w14:textId="77777777" w:rsidR="008D64F9" w:rsidRPr="008D64F9" w:rsidRDefault="008D64F9">
            <w:pPr>
              <w:pStyle w:val="BodyText"/>
              <w:numPr>
                <w:ilvl w:val="0"/>
                <w:numId w:val="16"/>
              </w:numPr>
              <w:ind w:left="360"/>
              <w:rPr>
                <w:rtl/>
                <w:lang w:bidi="ar-LB"/>
              </w:rPr>
            </w:pPr>
            <w:r w:rsidRPr="008D64F9">
              <w:rPr>
                <w:rtl/>
                <w:lang w:bidi="ar-LB"/>
              </w:rPr>
              <w:t>من ناحية الصياغة، قد يكون هذا النهج هو الأسهل، حيث لا توجد قائمة بالأمثلة المصاحبة، وبالتالي سيكون من مسؤولية المحاكم الوطنية تحديد ما تشمله العبارة "جميع المصنفات التصويرية والثلاثية الأبعاد الأصلية".</w:t>
            </w:r>
            <w:r w:rsidRPr="008D64F9">
              <w:rPr>
                <w:lang w:val="en-AU"/>
              </w:rPr>
              <w:t xml:space="preserve"> </w:t>
            </w:r>
            <w:r w:rsidRPr="008D64F9">
              <w:rPr>
                <w:rtl/>
                <w:lang w:bidi="ar-LB"/>
              </w:rPr>
              <w:t>فعلى سبيل المثال، هل يشمل هذا مصنفات الفنون التطبيقية والمصنفات الفوتوغرافية (ناهيك عن أنواع أخرى من المصنفات الفنية، مثل المنحوتات والرسومات وما إلى ذلك).</w:t>
            </w:r>
          </w:p>
          <w:p w14:paraId="44DB49CE" w14:textId="77777777" w:rsidR="008D64F9" w:rsidRPr="008D64F9" w:rsidRDefault="008D64F9">
            <w:pPr>
              <w:pStyle w:val="BodyText"/>
              <w:numPr>
                <w:ilvl w:val="0"/>
                <w:numId w:val="16"/>
              </w:numPr>
              <w:ind w:left="360"/>
              <w:rPr>
                <w:rtl/>
                <w:lang w:bidi="ar-LB"/>
              </w:rPr>
            </w:pPr>
            <w:r w:rsidRPr="008D64F9">
              <w:rPr>
                <w:rtl/>
                <w:lang w:bidi="ar-LB"/>
              </w:rPr>
              <w:t xml:space="preserve">إن حسنات حكم عام مثل هذا هو أنه ينبغي أن يضمن التناغم بين حق التتبع وقانون حق المؤلف الوطني بشأن هذه المسائل (على الرغم من أنه قد يكون من الأفضل تضمين إشارة محددة هنا، مثلا "بموجب قانون حق المؤلف وما إلى ذلك ...".   </w:t>
            </w:r>
          </w:p>
          <w:p w14:paraId="2BAB2D7E" w14:textId="77777777" w:rsidR="008D64F9" w:rsidRPr="008D64F9" w:rsidRDefault="008D64F9">
            <w:pPr>
              <w:pStyle w:val="BodyText"/>
              <w:numPr>
                <w:ilvl w:val="0"/>
                <w:numId w:val="16"/>
              </w:numPr>
              <w:ind w:left="360"/>
              <w:rPr>
                <w:rtl/>
                <w:lang w:bidi="ar-LB"/>
              </w:rPr>
            </w:pPr>
            <w:r w:rsidRPr="008D64F9">
              <w:rPr>
                <w:rtl/>
                <w:lang w:bidi="ar-LB"/>
              </w:rPr>
              <w:lastRenderedPageBreak/>
              <w:t>تم اضافة النص اللازم لتوسيع نطاق حق التتبع ليشمل المخطوطات الأصلية.</w:t>
            </w:r>
          </w:p>
        </w:tc>
      </w:tr>
      <w:tr w:rsidR="008D64F9" w:rsidRPr="008D64F9" w14:paraId="5914A389" w14:textId="77777777" w:rsidTr="00101B5A">
        <w:tc>
          <w:tcPr>
            <w:tcW w:w="2187" w:type="dxa"/>
          </w:tcPr>
          <w:p w14:paraId="657A5A52" w14:textId="77777777" w:rsidR="008D64F9" w:rsidRPr="008D64F9" w:rsidRDefault="008D64F9" w:rsidP="008D64F9">
            <w:pPr>
              <w:pStyle w:val="BodyText"/>
              <w:rPr>
                <w:rtl/>
                <w:lang w:bidi="ar-LB"/>
              </w:rPr>
            </w:pPr>
            <w:r w:rsidRPr="008D64F9">
              <w:rPr>
                <w:rtl/>
                <w:lang w:bidi="ar-LB"/>
              </w:rPr>
              <w:lastRenderedPageBreak/>
              <w:t>قائمة شاملة (المصنفات الفنية الأصلية فقط) (المفوضية الأوروبية)</w:t>
            </w:r>
          </w:p>
        </w:tc>
        <w:tc>
          <w:tcPr>
            <w:tcW w:w="3579" w:type="dxa"/>
          </w:tcPr>
          <w:p w14:paraId="21E7EC2F" w14:textId="77777777" w:rsidR="008D64F9" w:rsidRPr="008D64F9" w:rsidRDefault="008D64F9" w:rsidP="008D64F9">
            <w:pPr>
              <w:pStyle w:val="BodyText"/>
              <w:rPr>
                <w:i/>
                <w:rtl/>
                <w:lang w:bidi="ar-LB"/>
              </w:rPr>
            </w:pPr>
            <w:r w:rsidRPr="008D64F9">
              <w:rPr>
                <w:i/>
                <w:rtl/>
                <w:lang w:bidi="ar-LB"/>
              </w:rPr>
              <w:t>1.</w:t>
            </w:r>
            <w:r w:rsidRPr="008D64F9">
              <w:rPr>
                <w:i/>
                <w:lang w:val="en-AU"/>
              </w:rPr>
              <w:t xml:space="preserve"> </w:t>
            </w:r>
            <w:r w:rsidRPr="008D64F9">
              <w:rPr>
                <w:i/>
                <w:rtl/>
                <w:lang w:bidi="ar-LB"/>
              </w:rPr>
              <w:t>لأغراض هذا التوجيه، فإن "المصنف الفني الأصلي" يعني مصنفات الفنون التصويرية أو التشكيلية مثل الصور والملصقات واللوحات والرسومات والنقوش والمطبوعات والطباعة الحجرية والمنحوتات والمفروشات ومنتوجات السيراميك والأواني الزجاجية والصور الفوتوغرافية، شريطة أن تكون من صنع الفنان نفسه أو تكون نسخًا تعتبر مصنفات فنية أصلية.</w:t>
            </w:r>
          </w:p>
          <w:p w14:paraId="595C8C3B" w14:textId="77777777" w:rsidR="008D64F9" w:rsidRPr="008D64F9" w:rsidRDefault="008D64F9" w:rsidP="008D64F9">
            <w:pPr>
              <w:pStyle w:val="BodyText"/>
              <w:rPr>
                <w:rtl/>
                <w:lang w:bidi="ar-LB"/>
              </w:rPr>
            </w:pPr>
            <w:r w:rsidRPr="008D64F9">
              <w:rPr>
                <w:i/>
                <w:rtl/>
                <w:lang w:bidi="ar-LB"/>
              </w:rPr>
              <w:t>2.</w:t>
            </w:r>
            <w:r w:rsidRPr="008D64F9">
              <w:rPr>
                <w:i/>
                <w:lang w:val="en-AU"/>
              </w:rPr>
              <w:t xml:space="preserve"> </w:t>
            </w:r>
            <w:r w:rsidRPr="008D64F9">
              <w:rPr>
                <w:i/>
                <w:rtl/>
                <w:lang w:bidi="ar-LB"/>
              </w:rPr>
              <w:t>تعتبر نسخ المصنفات الفنية التي تم صنعها بأعداد محدودة من قبل الفنان نفسه أو تحت إشرافه مصنفات فنية أصلية.</w:t>
            </w:r>
            <w:r w:rsidRPr="008D64F9">
              <w:rPr>
                <w:i/>
                <w:lang w:val="en-AU"/>
              </w:rPr>
              <w:t xml:space="preserve"> </w:t>
            </w:r>
            <w:r w:rsidRPr="008D64F9">
              <w:rPr>
                <w:i/>
                <w:rtl/>
                <w:lang w:bidi="ar-LB"/>
              </w:rPr>
              <w:t>وتكون هذه النسخ عادةً مرقمة وموقعة أو مرخصة حسب الأصول من قبل الفنان.</w:t>
            </w:r>
            <w:r w:rsidRPr="008D64F9">
              <w:rPr>
                <w:vertAlign w:val="superscript"/>
                <w:lang w:val="en-GB"/>
              </w:rPr>
              <w:footnoteReference w:id="46"/>
            </w:r>
          </w:p>
        </w:tc>
        <w:tc>
          <w:tcPr>
            <w:tcW w:w="2884" w:type="dxa"/>
          </w:tcPr>
          <w:p w14:paraId="4E7CA65F" w14:textId="77777777" w:rsidR="008D64F9" w:rsidRPr="008D64F9" w:rsidRDefault="008D64F9">
            <w:pPr>
              <w:pStyle w:val="BodyText"/>
              <w:numPr>
                <w:ilvl w:val="0"/>
                <w:numId w:val="16"/>
              </w:numPr>
              <w:ind w:left="360"/>
              <w:rPr>
                <w:rtl/>
                <w:lang w:bidi="ar-LB"/>
              </w:rPr>
            </w:pPr>
            <w:r w:rsidRPr="008D64F9">
              <w:rPr>
                <w:rtl/>
                <w:lang w:bidi="ar-LB"/>
              </w:rPr>
              <w:t>على الرغم من التعبير عن المصنفات باستخدام عبارات عامة (مصنفات الفنون التصويرية أو التشكيلية)، فإن قائمة الأمثلة التي تبدأ بـ "مثل..." قد تشير إلى بعض القيود، على سبيل المثال فيما يتعلق ببعض أنواع المصنفات الحرفية غير المدرجة أو، بشكل عام، فيما يتعلق بمصنفات الفنون التطبيقية.</w:t>
            </w:r>
          </w:p>
          <w:p w14:paraId="1F077CC8" w14:textId="77777777" w:rsidR="008D64F9" w:rsidRPr="008D64F9" w:rsidRDefault="008D64F9">
            <w:pPr>
              <w:pStyle w:val="BodyText"/>
              <w:numPr>
                <w:ilvl w:val="0"/>
                <w:numId w:val="16"/>
              </w:numPr>
              <w:ind w:left="360"/>
              <w:rPr>
                <w:rtl/>
                <w:lang w:bidi="ar-LB"/>
              </w:rPr>
            </w:pPr>
            <w:r w:rsidRPr="008D64F9">
              <w:rPr>
                <w:rtl/>
                <w:lang w:bidi="ar-LB"/>
              </w:rPr>
              <w:t xml:space="preserve">تتناول الفقرة الثانية قضية المصنفات المنتجة بأعداد محدودة وتقترح معايير يمكن اعتمادها هنا للتعامل معها على أنها مصنفات فنية </w:t>
            </w:r>
            <w:r w:rsidRPr="008D64F9">
              <w:rPr>
                <w:rFonts w:hint="cs"/>
                <w:rtl/>
                <w:lang w:bidi="ar-LB"/>
              </w:rPr>
              <w:t>"</w:t>
            </w:r>
            <w:r w:rsidRPr="008D64F9">
              <w:rPr>
                <w:rtl/>
                <w:lang w:bidi="ar-LB"/>
              </w:rPr>
              <w:t>أصلية</w:t>
            </w:r>
            <w:r w:rsidRPr="008D64F9">
              <w:rPr>
                <w:rFonts w:hint="cs"/>
                <w:rtl/>
                <w:lang w:bidi="ar-LB"/>
              </w:rPr>
              <w:t>"</w:t>
            </w:r>
            <w:r w:rsidRPr="008D64F9">
              <w:rPr>
                <w:rtl/>
                <w:lang w:bidi="ar-LB"/>
              </w:rPr>
              <w:t>.</w:t>
            </w:r>
          </w:p>
          <w:p w14:paraId="7D4AB834" w14:textId="77777777" w:rsidR="008D64F9" w:rsidRPr="008D64F9" w:rsidRDefault="008D64F9">
            <w:pPr>
              <w:pStyle w:val="BodyText"/>
              <w:numPr>
                <w:ilvl w:val="0"/>
                <w:numId w:val="16"/>
              </w:numPr>
              <w:ind w:left="360"/>
              <w:rPr>
                <w:rtl/>
                <w:lang w:bidi="ar-LB"/>
              </w:rPr>
            </w:pPr>
            <w:r w:rsidRPr="008D64F9">
              <w:rPr>
                <w:rtl/>
                <w:lang w:bidi="ar-LB"/>
              </w:rPr>
              <w:t>كتعليق عام على الفقرة الأولى، قد تكون الصفتان "التصويرية" و"التشكيلية" كافيتين بمفردهما لتغطية جميع المصنفات الفنية الثنائية والثلاثية الأبعاد، مما يجعل قائمة الأمثلة التوضيحية التي تليها غير ضرورية.</w:t>
            </w:r>
            <w:r w:rsidRPr="008D64F9">
              <w:rPr>
                <w:lang w:val="en-AU"/>
              </w:rPr>
              <w:t xml:space="preserve"> </w:t>
            </w:r>
            <w:r w:rsidRPr="008D64F9">
              <w:rPr>
                <w:rtl/>
                <w:lang w:bidi="ar-LB"/>
              </w:rPr>
              <w:t>(على الرغم من أن البعض قد يعتبر أن هذه القائمة لا تزال مفيدة فهي تساهم في توضيح نطاق كل فئة).</w:t>
            </w:r>
            <w:r w:rsidRPr="008D64F9">
              <w:rPr>
                <w:lang w:val="en-AU"/>
              </w:rPr>
              <w:t xml:space="preserve"> </w:t>
            </w:r>
          </w:p>
          <w:p w14:paraId="3689A1E5" w14:textId="77777777" w:rsidR="008D64F9" w:rsidRPr="008D64F9" w:rsidRDefault="008D64F9">
            <w:pPr>
              <w:pStyle w:val="BodyText"/>
              <w:numPr>
                <w:ilvl w:val="0"/>
                <w:numId w:val="16"/>
              </w:numPr>
              <w:ind w:left="360"/>
              <w:rPr>
                <w:rtl/>
                <w:lang w:bidi="ar-LB"/>
              </w:rPr>
            </w:pPr>
            <w:r w:rsidRPr="008D64F9">
              <w:rPr>
                <w:rtl/>
                <w:lang w:bidi="ar-LB"/>
              </w:rPr>
              <w:t xml:space="preserve">ولذلك، من المفضل أن يتماشى كل مخطط وطني مع المصطلحات المعتمدة في قانون حق المؤلف الوطني، وأن يعتمد مخطط حق التتبع على التعريف العام </w:t>
            </w:r>
            <w:r w:rsidRPr="008D64F9">
              <w:rPr>
                <w:rFonts w:hint="cs"/>
                <w:rtl/>
                <w:lang w:bidi="ar-LB"/>
              </w:rPr>
              <w:t>"</w:t>
            </w:r>
            <w:r w:rsidRPr="008D64F9">
              <w:rPr>
                <w:rtl/>
                <w:lang w:bidi="ar-LB"/>
              </w:rPr>
              <w:t xml:space="preserve">للمصنف الفني" المستخدم في ذلك القانون.   </w:t>
            </w:r>
          </w:p>
        </w:tc>
      </w:tr>
      <w:tr w:rsidR="008D64F9" w:rsidRPr="008D64F9" w14:paraId="552AD88D" w14:textId="77777777" w:rsidTr="00101B5A">
        <w:tc>
          <w:tcPr>
            <w:tcW w:w="2187" w:type="dxa"/>
          </w:tcPr>
          <w:p w14:paraId="07D29457" w14:textId="77777777" w:rsidR="008D64F9" w:rsidRPr="008D64F9" w:rsidRDefault="008D64F9" w:rsidP="008D64F9">
            <w:pPr>
              <w:pStyle w:val="BodyText"/>
              <w:rPr>
                <w:rtl/>
                <w:lang w:bidi="ar-LB"/>
              </w:rPr>
            </w:pPr>
            <w:r w:rsidRPr="008D64F9">
              <w:rPr>
                <w:rtl/>
                <w:lang w:bidi="ar-LB"/>
              </w:rPr>
              <w:t>قائمة أكثر تفصيلاً عن المصنفات الفنية (أستراليا)</w:t>
            </w:r>
          </w:p>
        </w:tc>
        <w:tc>
          <w:tcPr>
            <w:tcW w:w="3579" w:type="dxa"/>
          </w:tcPr>
          <w:p w14:paraId="349191B7" w14:textId="77777777" w:rsidR="008D64F9" w:rsidRPr="008D64F9" w:rsidRDefault="008D64F9" w:rsidP="008D64F9">
            <w:pPr>
              <w:pStyle w:val="BodyText"/>
              <w:rPr>
                <w:i/>
                <w:rtl/>
                <w:lang w:bidi="ar-LB"/>
              </w:rPr>
            </w:pPr>
            <w:r w:rsidRPr="008D64F9">
              <w:rPr>
                <w:i/>
                <w:rtl/>
                <w:lang w:bidi="ar-LB"/>
              </w:rPr>
              <w:t>(1) المصنف الفني هو مصنف فني بصري أصلي:</w:t>
            </w:r>
          </w:p>
          <w:p w14:paraId="4F8FF797" w14:textId="77777777" w:rsidR="008D64F9" w:rsidRPr="008D64F9" w:rsidRDefault="008D64F9" w:rsidP="008D64F9">
            <w:pPr>
              <w:pStyle w:val="BodyText"/>
              <w:rPr>
                <w:i/>
                <w:rtl/>
                <w:lang w:bidi="ar-LB"/>
              </w:rPr>
            </w:pPr>
            <w:r w:rsidRPr="008D64F9">
              <w:rPr>
                <w:i/>
                <w:rtl/>
                <w:lang w:bidi="ar-LB"/>
              </w:rPr>
              <w:t>(أ) قام فنان واحد أو مجموعة من الفنانين بإنتاجه؛ أو</w:t>
            </w:r>
          </w:p>
          <w:p w14:paraId="611A3B16" w14:textId="77777777" w:rsidR="008D64F9" w:rsidRPr="008D64F9" w:rsidRDefault="008D64F9" w:rsidP="008D64F9">
            <w:pPr>
              <w:pStyle w:val="BodyText"/>
              <w:rPr>
                <w:i/>
                <w:rtl/>
                <w:lang w:bidi="ar-LB"/>
              </w:rPr>
            </w:pPr>
            <w:r w:rsidRPr="008D64F9">
              <w:rPr>
                <w:i/>
                <w:rtl/>
                <w:lang w:bidi="ar-LB"/>
              </w:rPr>
              <w:t>(ب) تم إنتاجه تحت إشراف الفنان أو الفنانين.</w:t>
            </w:r>
          </w:p>
          <w:p w14:paraId="4659B606" w14:textId="77777777" w:rsidR="008D64F9" w:rsidRPr="008D64F9" w:rsidRDefault="008D64F9" w:rsidP="008D64F9">
            <w:pPr>
              <w:pStyle w:val="BodyText"/>
              <w:rPr>
                <w:i/>
                <w:rtl/>
                <w:lang w:bidi="ar-LB"/>
              </w:rPr>
            </w:pPr>
            <w:r w:rsidRPr="008D64F9">
              <w:rPr>
                <w:i/>
                <w:rtl/>
                <w:lang w:bidi="ar-LB"/>
              </w:rPr>
              <w:lastRenderedPageBreak/>
              <w:t>(2) تشمل المصنفات الفنية البصرية، على سبيل المثال لا الحصر، ما يلي:</w:t>
            </w:r>
          </w:p>
          <w:p w14:paraId="7AA8E7C2" w14:textId="77777777" w:rsidR="008D64F9" w:rsidRPr="008D64F9" w:rsidRDefault="008D64F9" w:rsidP="008D64F9">
            <w:pPr>
              <w:pStyle w:val="BodyText"/>
              <w:rPr>
                <w:i/>
                <w:rtl/>
                <w:lang w:bidi="ar-LB"/>
              </w:rPr>
            </w:pPr>
            <w:r w:rsidRPr="008D64F9">
              <w:rPr>
                <w:i/>
                <w:rtl/>
                <w:lang w:bidi="ar-LB"/>
              </w:rPr>
              <w:t>(أ) كتب الفنانين؛</w:t>
            </w:r>
          </w:p>
          <w:p w14:paraId="3CCFE6AD" w14:textId="77777777" w:rsidR="008D64F9" w:rsidRPr="008D64F9" w:rsidRDefault="008D64F9" w:rsidP="008D64F9">
            <w:pPr>
              <w:pStyle w:val="BodyText"/>
              <w:rPr>
                <w:i/>
                <w:rtl/>
                <w:lang w:bidi="ar-LB"/>
              </w:rPr>
            </w:pPr>
            <w:r w:rsidRPr="008D64F9">
              <w:rPr>
                <w:i/>
                <w:rtl/>
                <w:lang w:bidi="ar-LB"/>
              </w:rPr>
              <w:t>(ب) الباتيك؛</w:t>
            </w:r>
          </w:p>
          <w:p w14:paraId="0ED15597" w14:textId="77777777" w:rsidR="008D64F9" w:rsidRPr="008D64F9" w:rsidRDefault="008D64F9" w:rsidP="008D64F9">
            <w:pPr>
              <w:pStyle w:val="BodyText"/>
              <w:rPr>
                <w:i/>
                <w:rtl/>
                <w:lang w:bidi="ar-LB"/>
              </w:rPr>
            </w:pPr>
            <w:r w:rsidRPr="008D64F9">
              <w:rPr>
                <w:i/>
                <w:rtl/>
                <w:lang w:bidi="ar-LB"/>
              </w:rPr>
              <w:t>(ج) المنحوتات؛</w:t>
            </w:r>
          </w:p>
          <w:p w14:paraId="0FCD3410" w14:textId="77777777" w:rsidR="008D64F9" w:rsidRPr="008D64F9" w:rsidRDefault="008D64F9" w:rsidP="008D64F9">
            <w:pPr>
              <w:pStyle w:val="BodyText"/>
              <w:rPr>
                <w:i/>
                <w:rtl/>
                <w:lang w:bidi="ar-LB"/>
              </w:rPr>
            </w:pPr>
            <w:r w:rsidRPr="008D64F9">
              <w:rPr>
                <w:i/>
                <w:rtl/>
                <w:lang w:bidi="ar-LB"/>
              </w:rPr>
              <w:t>(د) منتوجات السيراميك؛</w:t>
            </w:r>
          </w:p>
          <w:p w14:paraId="4E52F1C0" w14:textId="77777777" w:rsidR="008D64F9" w:rsidRPr="008D64F9" w:rsidRDefault="008D64F9" w:rsidP="008D64F9">
            <w:pPr>
              <w:pStyle w:val="BodyText"/>
              <w:rPr>
                <w:i/>
                <w:rtl/>
                <w:lang w:bidi="ar-LB"/>
              </w:rPr>
            </w:pPr>
            <w:r w:rsidRPr="008D64F9">
              <w:rPr>
                <w:i/>
                <w:rtl/>
                <w:lang w:bidi="ar-LB"/>
              </w:rPr>
              <w:t>(هـ) الملصقات؛</w:t>
            </w:r>
          </w:p>
          <w:p w14:paraId="5F112578" w14:textId="77777777" w:rsidR="008D64F9" w:rsidRPr="008D64F9" w:rsidRDefault="008D64F9" w:rsidP="008D64F9">
            <w:pPr>
              <w:pStyle w:val="BodyText"/>
              <w:rPr>
                <w:i/>
                <w:rtl/>
                <w:lang w:bidi="ar-LB"/>
              </w:rPr>
            </w:pPr>
            <w:r w:rsidRPr="008D64F9">
              <w:rPr>
                <w:i/>
                <w:rtl/>
                <w:lang w:bidi="ar-LB"/>
              </w:rPr>
              <w:t>(و) المصنفات الفنية الرقمية؛</w:t>
            </w:r>
          </w:p>
          <w:p w14:paraId="2FD75AD1" w14:textId="77777777" w:rsidR="008D64F9" w:rsidRPr="008D64F9" w:rsidRDefault="008D64F9" w:rsidP="008D64F9">
            <w:pPr>
              <w:pStyle w:val="BodyText"/>
              <w:rPr>
                <w:i/>
                <w:rtl/>
                <w:lang w:bidi="ar-LB"/>
              </w:rPr>
            </w:pPr>
            <w:r w:rsidRPr="008D64F9">
              <w:rPr>
                <w:i/>
                <w:rtl/>
                <w:lang w:bidi="ar-LB"/>
              </w:rPr>
              <w:t>(ز) الرسومات؛</w:t>
            </w:r>
          </w:p>
          <w:p w14:paraId="73C3BED1" w14:textId="77777777" w:rsidR="008D64F9" w:rsidRPr="008D64F9" w:rsidRDefault="008D64F9" w:rsidP="008D64F9">
            <w:pPr>
              <w:pStyle w:val="BodyText"/>
              <w:rPr>
                <w:i/>
                <w:rtl/>
                <w:lang w:bidi="ar-LB"/>
              </w:rPr>
            </w:pPr>
            <w:r w:rsidRPr="008D64F9">
              <w:rPr>
                <w:i/>
                <w:rtl/>
                <w:lang w:bidi="ar-LB"/>
              </w:rPr>
              <w:t>(ح) النقوش؛</w:t>
            </w:r>
          </w:p>
          <w:p w14:paraId="377C4F4A" w14:textId="77777777" w:rsidR="008D64F9" w:rsidRPr="008D64F9" w:rsidRDefault="008D64F9" w:rsidP="008D64F9">
            <w:pPr>
              <w:pStyle w:val="BodyText"/>
              <w:rPr>
                <w:i/>
                <w:rtl/>
                <w:lang w:bidi="ar-LB"/>
              </w:rPr>
            </w:pPr>
            <w:r w:rsidRPr="008D64F9">
              <w:rPr>
                <w:i/>
                <w:rtl/>
                <w:lang w:bidi="ar-LB"/>
              </w:rPr>
              <w:t>(ط) المجوهرات الفنية الجميلة؛</w:t>
            </w:r>
          </w:p>
          <w:p w14:paraId="36FA8AFF" w14:textId="77777777" w:rsidR="008D64F9" w:rsidRPr="008D64F9" w:rsidRDefault="008D64F9" w:rsidP="008D64F9">
            <w:pPr>
              <w:pStyle w:val="BodyText"/>
              <w:rPr>
                <w:i/>
                <w:rtl/>
                <w:lang w:bidi="ar-LB"/>
              </w:rPr>
            </w:pPr>
            <w:r w:rsidRPr="008D64F9">
              <w:rPr>
                <w:i/>
                <w:rtl/>
                <w:lang w:bidi="ar-LB"/>
              </w:rPr>
              <w:t>(ي) الأواني الزجاجية؛</w:t>
            </w:r>
          </w:p>
          <w:p w14:paraId="44B32C8E" w14:textId="77777777" w:rsidR="008D64F9" w:rsidRPr="008D64F9" w:rsidRDefault="008D64F9" w:rsidP="008D64F9">
            <w:pPr>
              <w:pStyle w:val="BodyText"/>
              <w:rPr>
                <w:i/>
                <w:rtl/>
                <w:lang w:bidi="ar-LB"/>
              </w:rPr>
            </w:pPr>
            <w:r w:rsidRPr="008D64F9">
              <w:rPr>
                <w:i/>
                <w:rtl/>
                <w:lang w:bidi="ar-LB"/>
              </w:rPr>
              <w:t>(ك) التركيبات؛</w:t>
            </w:r>
          </w:p>
          <w:p w14:paraId="28C12E36" w14:textId="77777777" w:rsidR="008D64F9" w:rsidRPr="008D64F9" w:rsidRDefault="008D64F9" w:rsidP="008D64F9">
            <w:pPr>
              <w:pStyle w:val="BodyText"/>
              <w:rPr>
                <w:i/>
                <w:rtl/>
                <w:lang w:bidi="ar-LB"/>
              </w:rPr>
            </w:pPr>
            <w:r w:rsidRPr="008D64F9">
              <w:rPr>
                <w:i/>
                <w:rtl/>
                <w:lang w:bidi="ar-LB"/>
              </w:rPr>
              <w:t>(ل) الطباعة الحجرية؛</w:t>
            </w:r>
          </w:p>
          <w:p w14:paraId="1616934E" w14:textId="77777777" w:rsidR="008D64F9" w:rsidRPr="008D64F9" w:rsidRDefault="008D64F9" w:rsidP="008D64F9">
            <w:pPr>
              <w:pStyle w:val="BodyText"/>
              <w:rPr>
                <w:i/>
                <w:rtl/>
                <w:lang w:bidi="ar-LB"/>
              </w:rPr>
            </w:pPr>
            <w:r w:rsidRPr="008D64F9">
              <w:rPr>
                <w:i/>
                <w:rtl/>
                <w:lang w:bidi="ar-LB"/>
              </w:rPr>
              <w:t>(م) المصنفات الفنية المتعددة الوسائط؛</w:t>
            </w:r>
          </w:p>
          <w:p w14:paraId="7B1DC7F6" w14:textId="77777777" w:rsidR="008D64F9" w:rsidRPr="008D64F9" w:rsidRDefault="008D64F9" w:rsidP="008D64F9">
            <w:pPr>
              <w:pStyle w:val="BodyText"/>
              <w:rPr>
                <w:i/>
                <w:rtl/>
                <w:lang w:bidi="ar-LB"/>
              </w:rPr>
            </w:pPr>
            <w:r w:rsidRPr="008D64F9">
              <w:rPr>
                <w:i/>
                <w:rtl/>
                <w:lang w:bidi="ar-LB"/>
              </w:rPr>
              <w:t>(ن) اللوحات؛</w:t>
            </w:r>
          </w:p>
          <w:p w14:paraId="408D2426" w14:textId="77777777" w:rsidR="008D64F9" w:rsidRPr="008D64F9" w:rsidRDefault="008D64F9" w:rsidP="008D64F9">
            <w:pPr>
              <w:pStyle w:val="BodyText"/>
              <w:rPr>
                <w:i/>
                <w:rtl/>
                <w:lang w:bidi="ar-LB"/>
              </w:rPr>
            </w:pPr>
            <w:r w:rsidRPr="008D64F9">
              <w:rPr>
                <w:i/>
                <w:rtl/>
                <w:lang w:bidi="ar-LB"/>
              </w:rPr>
              <w:t>(س) الصور الفوتوغرافية؛</w:t>
            </w:r>
          </w:p>
          <w:p w14:paraId="01B0A258" w14:textId="77777777" w:rsidR="008D64F9" w:rsidRPr="008D64F9" w:rsidRDefault="008D64F9" w:rsidP="008D64F9">
            <w:pPr>
              <w:pStyle w:val="BodyText"/>
              <w:rPr>
                <w:i/>
                <w:rtl/>
                <w:lang w:bidi="ar-LB"/>
              </w:rPr>
            </w:pPr>
            <w:r w:rsidRPr="008D64F9">
              <w:rPr>
                <w:i/>
                <w:rtl/>
                <w:lang w:bidi="ar-LB"/>
              </w:rPr>
              <w:t>(ع) الصور؛</w:t>
            </w:r>
          </w:p>
          <w:p w14:paraId="7050C9F4" w14:textId="77777777" w:rsidR="008D64F9" w:rsidRPr="008D64F9" w:rsidRDefault="008D64F9" w:rsidP="008D64F9">
            <w:pPr>
              <w:pStyle w:val="BodyText"/>
              <w:rPr>
                <w:i/>
                <w:rtl/>
                <w:lang w:bidi="ar-LB"/>
              </w:rPr>
            </w:pPr>
            <w:r w:rsidRPr="008D64F9">
              <w:rPr>
                <w:i/>
                <w:rtl/>
                <w:lang w:bidi="ar-LB"/>
              </w:rPr>
              <w:t>(ف) المطبوعات؛</w:t>
            </w:r>
          </w:p>
          <w:p w14:paraId="66609A7D" w14:textId="77777777" w:rsidR="008D64F9" w:rsidRPr="008D64F9" w:rsidRDefault="008D64F9" w:rsidP="008D64F9">
            <w:pPr>
              <w:pStyle w:val="BodyText"/>
              <w:rPr>
                <w:i/>
                <w:rtl/>
                <w:lang w:bidi="ar-LB"/>
              </w:rPr>
            </w:pPr>
            <w:r w:rsidRPr="008D64F9">
              <w:rPr>
                <w:i/>
                <w:rtl/>
                <w:lang w:bidi="ar-LB"/>
              </w:rPr>
              <w:t>(ص) المنحوتات؛</w:t>
            </w:r>
          </w:p>
          <w:p w14:paraId="2313A021" w14:textId="77777777" w:rsidR="008D64F9" w:rsidRPr="008D64F9" w:rsidRDefault="008D64F9" w:rsidP="008D64F9">
            <w:pPr>
              <w:pStyle w:val="BodyText"/>
              <w:rPr>
                <w:i/>
                <w:rtl/>
                <w:lang w:bidi="ar-LB"/>
              </w:rPr>
            </w:pPr>
            <w:r w:rsidRPr="008D64F9">
              <w:rPr>
                <w:i/>
                <w:rtl/>
                <w:lang w:bidi="ar-LB"/>
              </w:rPr>
              <w:t>(ق) المفروشات؛</w:t>
            </w:r>
          </w:p>
          <w:p w14:paraId="42F2C8FC" w14:textId="77777777" w:rsidR="008D64F9" w:rsidRPr="008D64F9" w:rsidRDefault="008D64F9" w:rsidP="008D64F9">
            <w:pPr>
              <w:pStyle w:val="BodyText"/>
              <w:rPr>
                <w:i/>
                <w:rtl/>
                <w:lang w:bidi="ar-LB"/>
              </w:rPr>
            </w:pPr>
            <w:r w:rsidRPr="008D64F9">
              <w:rPr>
                <w:i/>
                <w:rtl/>
                <w:lang w:bidi="ar-LB"/>
              </w:rPr>
              <w:t>(ر) أعمال الفيديو الفنية؛</w:t>
            </w:r>
          </w:p>
          <w:p w14:paraId="771551D2" w14:textId="77777777" w:rsidR="008D64F9" w:rsidRPr="008D64F9" w:rsidRDefault="008D64F9" w:rsidP="008D64F9">
            <w:pPr>
              <w:pStyle w:val="BodyText"/>
              <w:rPr>
                <w:i/>
                <w:rtl/>
                <w:lang w:bidi="ar-LB"/>
              </w:rPr>
            </w:pPr>
            <w:r w:rsidRPr="008D64F9">
              <w:rPr>
                <w:i/>
                <w:rtl/>
                <w:lang w:bidi="ar-LB"/>
              </w:rPr>
              <w:t>(ش) الأنسجة؛</w:t>
            </w:r>
          </w:p>
          <w:p w14:paraId="07F0E32C" w14:textId="77777777" w:rsidR="008D64F9" w:rsidRPr="008D64F9" w:rsidRDefault="008D64F9" w:rsidP="008D64F9">
            <w:pPr>
              <w:pStyle w:val="BodyText"/>
              <w:rPr>
                <w:i/>
                <w:rtl/>
                <w:lang w:bidi="ar-LB"/>
              </w:rPr>
            </w:pPr>
            <w:r w:rsidRPr="008D64F9">
              <w:rPr>
                <w:i/>
                <w:rtl/>
                <w:lang w:bidi="ar-LB"/>
              </w:rPr>
              <w:t xml:space="preserve">(ت) أي </w:t>
            </w:r>
            <w:r w:rsidRPr="008D64F9">
              <w:rPr>
                <w:rFonts w:hint="cs"/>
                <w:i/>
                <w:rtl/>
                <w:lang w:bidi="ar-LB"/>
              </w:rPr>
              <w:t>شيء</w:t>
            </w:r>
            <w:r w:rsidRPr="008D64F9">
              <w:rPr>
                <w:i/>
                <w:rtl/>
                <w:lang w:bidi="ar-LB"/>
              </w:rPr>
              <w:t xml:space="preserve"> آخر تنص عليه اللوائح.</w:t>
            </w:r>
            <w:r w:rsidRPr="008D64F9">
              <w:rPr>
                <w:vertAlign w:val="superscript"/>
                <w:lang w:val="en-AU"/>
              </w:rPr>
              <w:footnoteReference w:id="47"/>
            </w:r>
          </w:p>
        </w:tc>
        <w:tc>
          <w:tcPr>
            <w:tcW w:w="2884" w:type="dxa"/>
          </w:tcPr>
          <w:p w14:paraId="3F47C874" w14:textId="77777777" w:rsidR="008D64F9" w:rsidRPr="008D64F9" w:rsidRDefault="008D64F9">
            <w:pPr>
              <w:pStyle w:val="BodyText"/>
              <w:numPr>
                <w:ilvl w:val="0"/>
                <w:numId w:val="16"/>
              </w:numPr>
              <w:ind w:left="360"/>
              <w:rPr>
                <w:rtl/>
                <w:lang w:bidi="ar-LB"/>
              </w:rPr>
            </w:pPr>
            <w:r w:rsidRPr="008D64F9">
              <w:rPr>
                <w:rtl/>
                <w:lang w:bidi="ar-LB"/>
              </w:rPr>
              <w:lastRenderedPageBreak/>
              <w:t>يغطي المصنفات المنتجة بشكل فردي أو مشترك</w:t>
            </w:r>
            <w:r w:rsidRPr="008D64F9">
              <w:rPr>
                <w:lang w:val="en-AU"/>
              </w:rPr>
              <w:t xml:space="preserve"> </w:t>
            </w:r>
          </w:p>
          <w:p w14:paraId="3FE1F031" w14:textId="77777777" w:rsidR="008D64F9" w:rsidRPr="008D64F9" w:rsidRDefault="008D64F9">
            <w:pPr>
              <w:pStyle w:val="BodyText"/>
              <w:numPr>
                <w:ilvl w:val="0"/>
                <w:numId w:val="16"/>
              </w:numPr>
              <w:ind w:left="360"/>
              <w:rPr>
                <w:rtl/>
                <w:lang w:bidi="ar-LB"/>
              </w:rPr>
            </w:pPr>
            <w:r w:rsidRPr="008D64F9">
              <w:rPr>
                <w:rtl/>
                <w:lang w:bidi="ar-LB"/>
              </w:rPr>
              <w:t>يغطي المصنفات التي تم إنشاؤها بواسطة المساعدين، طالما أن هذا الأمر يحدث "تحت اشراف الفنان"</w:t>
            </w:r>
          </w:p>
          <w:p w14:paraId="59C870C6" w14:textId="77777777" w:rsidR="008D64F9" w:rsidRPr="008D64F9" w:rsidRDefault="008D64F9">
            <w:pPr>
              <w:pStyle w:val="BodyText"/>
              <w:numPr>
                <w:ilvl w:val="0"/>
                <w:numId w:val="16"/>
              </w:numPr>
              <w:ind w:left="360"/>
              <w:rPr>
                <w:rtl/>
                <w:lang w:bidi="ar-LB"/>
              </w:rPr>
            </w:pPr>
            <w:r w:rsidRPr="008D64F9">
              <w:rPr>
                <w:rtl/>
                <w:lang w:bidi="ar-LB"/>
              </w:rPr>
              <w:lastRenderedPageBreak/>
              <w:t>يقدم قائمة مفصلة، ولكن ليست شاملة، عن المصنفات المشمولة، مع إمكانية إضافة مصنفات إليها من خلال أحد أشكال التشريعات الثانوية/الفرعية، على سبيل المثال من خلال اللوائح، أو من خلال أحد أشكال التوجيه الإداري أو الوزاري (سوف يكون هذا الأمر متروكًا لكل دولة لتقرره، وفقًا لترتيباتها الدستورية والتشريعية الداخلية).</w:t>
            </w:r>
          </w:p>
          <w:p w14:paraId="799B481F" w14:textId="77777777" w:rsidR="008D64F9" w:rsidRPr="008D64F9" w:rsidRDefault="008D64F9">
            <w:pPr>
              <w:pStyle w:val="BodyText"/>
              <w:numPr>
                <w:ilvl w:val="0"/>
                <w:numId w:val="16"/>
              </w:numPr>
              <w:ind w:left="360"/>
              <w:rPr>
                <w:rtl/>
                <w:lang w:bidi="ar-LB"/>
              </w:rPr>
            </w:pPr>
            <w:r w:rsidRPr="008D64F9">
              <w:rPr>
                <w:rtl/>
                <w:lang w:bidi="ar-LB"/>
              </w:rPr>
              <w:t>المشكلة مع القوائم، حتى لو لم تكن شاملة، هي أنه قد لا يتم ذكر مصنفات معينة مما يؤدي إلى إثارة جدل حول ما إذا كانت لا تزال تعد "مصنفات فنية بصرية"</w:t>
            </w:r>
            <w:r w:rsidRPr="008D64F9">
              <w:rPr>
                <w:lang w:val="en-AU"/>
              </w:rPr>
              <w:t xml:space="preserve"> </w:t>
            </w:r>
          </w:p>
        </w:tc>
      </w:tr>
      <w:tr w:rsidR="008D64F9" w:rsidRPr="008D64F9" w14:paraId="472A22A2" w14:textId="77777777" w:rsidTr="00101B5A">
        <w:tc>
          <w:tcPr>
            <w:tcW w:w="2187" w:type="dxa"/>
          </w:tcPr>
          <w:p w14:paraId="67C28CD6" w14:textId="77777777" w:rsidR="008D64F9" w:rsidRPr="008D64F9" w:rsidRDefault="008D64F9" w:rsidP="008D64F9">
            <w:pPr>
              <w:pStyle w:val="BodyText"/>
              <w:rPr>
                <w:rtl/>
                <w:lang w:bidi="ar-LB"/>
              </w:rPr>
            </w:pPr>
            <w:r w:rsidRPr="008D64F9">
              <w:rPr>
                <w:rtl/>
                <w:lang w:bidi="ar-LB"/>
              </w:rPr>
              <w:lastRenderedPageBreak/>
              <w:t>المخطوطات الأصلية (مسودة مقترحة)</w:t>
            </w:r>
          </w:p>
        </w:tc>
        <w:tc>
          <w:tcPr>
            <w:tcW w:w="3579" w:type="dxa"/>
          </w:tcPr>
          <w:p w14:paraId="2DA1D1FF" w14:textId="77777777" w:rsidR="008D64F9" w:rsidRPr="008D64F9" w:rsidRDefault="008D64F9" w:rsidP="008D64F9">
            <w:pPr>
              <w:pStyle w:val="BodyText"/>
              <w:rPr>
                <w:i/>
                <w:rtl/>
                <w:lang w:bidi="ar-LB"/>
              </w:rPr>
            </w:pPr>
            <w:r w:rsidRPr="008D64F9">
              <w:rPr>
                <w:i/>
                <w:rtl/>
                <w:lang w:bidi="ar-LB"/>
              </w:rPr>
              <w:t>كما هو موضح في الجدول 1 أعلاه</w:t>
            </w:r>
          </w:p>
          <w:p w14:paraId="3401FED3" w14:textId="77777777" w:rsidR="008D64F9" w:rsidRPr="008D64F9" w:rsidRDefault="008D64F9" w:rsidP="008D64F9">
            <w:pPr>
              <w:pStyle w:val="BodyText"/>
              <w:rPr>
                <w:i/>
                <w:rtl/>
                <w:lang w:bidi="ar-LB"/>
              </w:rPr>
            </w:pPr>
            <w:r w:rsidRPr="008D64F9">
              <w:rPr>
                <w:i/>
                <w:rtl/>
                <w:lang w:bidi="ar-LB"/>
              </w:rPr>
              <w:t>بدلاً عن ذلك:</w:t>
            </w:r>
          </w:p>
          <w:p w14:paraId="4B99C0AA" w14:textId="77777777" w:rsidR="008D64F9" w:rsidRPr="008D64F9" w:rsidRDefault="008D64F9" w:rsidP="008D64F9">
            <w:pPr>
              <w:pStyle w:val="BodyText"/>
              <w:rPr>
                <w:i/>
                <w:rtl/>
                <w:lang w:bidi="ar-LB"/>
              </w:rPr>
            </w:pPr>
            <w:r w:rsidRPr="008D64F9">
              <w:rPr>
                <w:i/>
                <w:rtl/>
                <w:lang w:bidi="ar-LB"/>
              </w:rPr>
              <w:t xml:space="preserve">تعني عبارة 'المخطوطة الأصلية' التجسيد المادي الأول لمصنف أدبي أو درامي، بما في ذلك </w:t>
            </w:r>
            <w:r w:rsidRPr="008D64F9">
              <w:rPr>
                <w:i/>
                <w:rtl/>
                <w:lang w:bidi="ar-LB"/>
              </w:rPr>
              <w:lastRenderedPageBreak/>
              <w:t>الروايات والمسرحيات وغيرها من الكتابات، أو التأليفات الموسيقية.</w:t>
            </w:r>
          </w:p>
        </w:tc>
        <w:tc>
          <w:tcPr>
            <w:tcW w:w="2884" w:type="dxa"/>
          </w:tcPr>
          <w:p w14:paraId="648115B1" w14:textId="77777777" w:rsidR="008D64F9" w:rsidRPr="008D64F9" w:rsidRDefault="008D64F9">
            <w:pPr>
              <w:pStyle w:val="BodyText"/>
              <w:numPr>
                <w:ilvl w:val="0"/>
                <w:numId w:val="16"/>
              </w:numPr>
              <w:ind w:left="360"/>
              <w:rPr>
                <w:rtl/>
                <w:lang w:bidi="ar-LB"/>
              </w:rPr>
            </w:pPr>
            <w:r w:rsidRPr="008D64F9">
              <w:rPr>
                <w:rtl/>
                <w:lang w:bidi="ar-LB"/>
              </w:rPr>
              <w:lastRenderedPageBreak/>
              <w:t>قد تكون قائمة الأمثلة التي تحدد ما قد يشكل "مخطوطة أصلية" مفيدة.</w:t>
            </w:r>
          </w:p>
        </w:tc>
      </w:tr>
      <w:tr w:rsidR="008D64F9" w:rsidRPr="008D64F9" w14:paraId="6D1C46A9" w14:textId="77777777" w:rsidTr="00101B5A">
        <w:tc>
          <w:tcPr>
            <w:tcW w:w="2187" w:type="dxa"/>
          </w:tcPr>
          <w:p w14:paraId="367F79F1" w14:textId="77777777" w:rsidR="008D64F9" w:rsidRPr="008D64F9" w:rsidRDefault="008D64F9" w:rsidP="008D64F9">
            <w:pPr>
              <w:pStyle w:val="BodyText"/>
              <w:rPr>
                <w:rtl/>
                <w:lang w:bidi="ar-LB"/>
              </w:rPr>
            </w:pPr>
            <w:r w:rsidRPr="008D64F9">
              <w:rPr>
                <w:rtl/>
                <w:lang w:bidi="ar-LB"/>
              </w:rPr>
              <w:t>ن</w:t>
            </w:r>
            <w:r w:rsidRPr="008D64F9">
              <w:rPr>
                <w:rFonts w:hint="cs"/>
                <w:rtl/>
                <w:lang w:bidi="ar-LB"/>
              </w:rPr>
              <w:t xml:space="preserve">هج آخر </w:t>
            </w:r>
            <w:r w:rsidRPr="008D64F9">
              <w:rPr>
                <w:rtl/>
                <w:lang w:bidi="ar-LB"/>
              </w:rPr>
              <w:t>(المكسيك)</w:t>
            </w:r>
          </w:p>
        </w:tc>
        <w:tc>
          <w:tcPr>
            <w:tcW w:w="3579" w:type="dxa"/>
          </w:tcPr>
          <w:p w14:paraId="5375EB44" w14:textId="77777777" w:rsidR="008D64F9" w:rsidRPr="008D64F9" w:rsidRDefault="008D64F9" w:rsidP="008D64F9">
            <w:pPr>
              <w:pStyle w:val="BodyText"/>
              <w:rPr>
                <w:i/>
                <w:rtl/>
                <w:lang w:bidi="ar-LB"/>
              </w:rPr>
            </w:pPr>
            <w:r w:rsidRPr="008D64F9">
              <w:rPr>
                <w:i/>
                <w:rtl/>
                <w:lang w:bidi="ar-LB"/>
              </w:rPr>
              <w:t>يحق لمؤلفي المصنفات الفنية الثلاثية الأبعاد والفوتوغرافية الحصول من البائع على حصة من سعر أي عملية إعادة بيع... باستثناء مصنفات الفنون التطبيقية</w:t>
            </w:r>
          </w:p>
          <w:p w14:paraId="6DCF6BF0" w14:textId="77777777" w:rsidR="008D64F9" w:rsidRPr="008D64F9" w:rsidRDefault="008D64F9" w:rsidP="008D64F9">
            <w:pPr>
              <w:pStyle w:val="BodyText"/>
              <w:rPr>
                <w:i/>
                <w:rtl/>
                <w:lang w:bidi="ar-LB"/>
              </w:rPr>
            </w:pPr>
            <w:r w:rsidRPr="008D64F9">
              <w:rPr>
                <w:i/>
                <w:rtl/>
                <w:lang w:bidi="ar-LB"/>
              </w:rPr>
              <w:t>(</w:t>
            </w:r>
            <w:r w:rsidRPr="008D64F9">
              <w:rPr>
                <w:i/>
              </w:rPr>
              <w:t xml:space="preserve">IV) </w:t>
            </w:r>
            <w:r w:rsidRPr="008D64F9">
              <w:rPr>
                <w:i/>
                <w:rtl/>
                <w:lang w:bidi="ar-LB"/>
              </w:rPr>
              <w:t>ويسري نفس الحق على المخطوطات الأصلية للمصنفات الأدبية والفنية.</w:t>
            </w:r>
            <w:r w:rsidRPr="008D64F9">
              <w:rPr>
                <w:vertAlign w:val="superscript"/>
              </w:rPr>
              <w:footnoteReference w:id="48"/>
            </w:r>
          </w:p>
        </w:tc>
        <w:tc>
          <w:tcPr>
            <w:tcW w:w="2884" w:type="dxa"/>
          </w:tcPr>
          <w:p w14:paraId="496CC707" w14:textId="77777777" w:rsidR="008D64F9" w:rsidRPr="008D64F9" w:rsidRDefault="008D64F9">
            <w:pPr>
              <w:pStyle w:val="BodyText"/>
              <w:numPr>
                <w:ilvl w:val="0"/>
                <w:numId w:val="16"/>
              </w:numPr>
              <w:ind w:left="360"/>
              <w:rPr>
                <w:rtl/>
                <w:lang w:bidi="ar-LB"/>
              </w:rPr>
            </w:pPr>
            <w:r w:rsidRPr="008D64F9">
              <w:rPr>
                <w:rtl/>
                <w:lang w:bidi="ar-LB"/>
              </w:rPr>
              <w:t xml:space="preserve">يبدو أن هذا النص يستثني المصنفات الفنية الثنائية الأبعاد بخلاف المصنفات الفوتوغرافية، ولكنه يشمل المخطوطات الأصلية؛ ويستثني النص مصنفات الفنون التطبيقية.     </w:t>
            </w:r>
          </w:p>
        </w:tc>
      </w:tr>
    </w:tbl>
    <w:p w14:paraId="69A825EA" w14:textId="77777777" w:rsidR="008D64F9" w:rsidRPr="00534856" w:rsidRDefault="008D64F9" w:rsidP="00534856">
      <w:pPr>
        <w:pStyle w:val="Heading2"/>
        <w:rPr>
          <w:rtl/>
        </w:rPr>
      </w:pPr>
      <w:r w:rsidRPr="00534856">
        <w:rPr>
          <w:rtl/>
        </w:rPr>
        <w:t>المصنفات المستثناة من حق التتبع</w:t>
      </w:r>
    </w:p>
    <w:p w14:paraId="72C37BEA" w14:textId="77777777" w:rsidR="008D64F9" w:rsidRPr="008D64F9" w:rsidRDefault="008D64F9" w:rsidP="008D64F9">
      <w:pPr>
        <w:pStyle w:val="ONUMA"/>
        <w:rPr>
          <w:rtl/>
          <w:lang w:bidi="ar-LB"/>
        </w:rPr>
      </w:pPr>
      <w:r w:rsidRPr="008D64F9">
        <w:rPr>
          <w:rtl/>
          <w:lang w:bidi="ar-LB"/>
        </w:rPr>
        <w:t>لقد أشرنا في القسم السابق إلى ضرورة اتخاذ قرارات مهمة بشأن الفئات الفرعية للمصنفات التي ينطبق عليها حق التتبع، على سبيل المثال، تحديد اذا كان حق التتبع يشمل المصنفات الحرفية أو مصنفات الفنون التطبيقية أو المصنفات التي تجسد التعبيرات الثقافية التقليدية للمبدعين الذين ينتمون إلى الشعوب الأصلية.</w:t>
      </w:r>
      <w:r w:rsidRPr="008D64F9">
        <w:rPr>
          <w:lang w:val="en-AU"/>
        </w:rPr>
        <w:t xml:space="preserve"> </w:t>
      </w:r>
      <w:r w:rsidRPr="008D64F9">
        <w:rPr>
          <w:rtl/>
          <w:lang w:bidi="ar-LB"/>
        </w:rPr>
        <w:t>ويجب أن</w:t>
      </w:r>
      <w:r w:rsidRPr="008D64F9">
        <w:rPr>
          <w:rFonts w:hint="cs"/>
          <w:rtl/>
          <w:lang w:bidi="ar-LB"/>
        </w:rPr>
        <w:t xml:space="preserve"> ي</w:t>
      </w:r>
      <w:r w:rsidRPr="008D64F9">
        <w:rPr>
          <w:rtl/>
          <w:lang w:bidi="ar-LB"/>
        </w:rPr>
        <w:t xml:space="preserve">تخذ كل </w:t>
      </w:r>
      <w:r w:rsidRPr="008D64F9">
        <w:rPr>
          <w:rFonts w:hint="cs"/>
          <w:rtl/>
          <w:lang w:bidi="ar-LB"/>
        </w:rPr>
        <w:t>بل</w:t>
      </w:r>
      <w:r w:rsidRPr="008D64F9">
        <w:rPr>
          <w:rtl/>
          <w:lang w:bidi="ar-LB"/>
        </w:rPr>
        <w:t>د</w:t>
      </w:r>
      <w:r w:rsidRPr="008D64F9">
        <w:rPr>
          <w:rFonts w:hint="cs"/>
          <w:rtl/>
          <w:lang w:bidi="ar-LB"/>
        </w:rPr>
        <w:t xml:space="preserve"> </w:t>
      </w:r>
      <w:r w:rsidRPr="008D64F9">
        <w:rPr>
          <w:rtl/>
          <w:lang w:bidi="ar-LB"/>
        </w:rPr>
        <w:t xml:space="preserve">هذه القرارات </w:t>
      </w:r>
      <w:r w:rsidRPr="008D64F9">
        <w:rPr>
          <w:rFonts w:hint="cs"/>
          <w:rtl/>
          <w:lang w:bidi="ar-LB"/>
        </w:rPr>
        <w:t>ال</w:t>
      </w:r>
      <w:r w:rsidRPr="008D64F9">
        <w:rPr>
          <w:rtl/>
          <w:lang w:bidi="ar-LB"/>
        </w:rPr>
        <w:t>سياسات</w:t>
      </w:r>
      <w:r w:rsidRPr="008D64F9">
        <w:rPr>
          <w:rFonts w:hint="cs"/>
          <w:rtl/>
          <w:lang w:bidi="ar-LB"/>
        </w:rPr>
        <w:t>ية</w:t>
      </w:r>
      <w:r w:rsidRPr="008D64F9">
        <w:rPr>
          <w:rtl/>
          <w:lang w:bidi="ar-LB"/>
        </w:rPr>
        <w:t xml:space="preserve"> وذلك وفقا لظروفه الخاصة.</w:t>
      </w:r>
      <w:r w:rsidRPr="008D64F9">
        <w:rPr>
          <w:lang w:val="en-AU"/>
        </w:rPr>
        <w:t xml:space="preserve"> </w:t>
      </w:r>
      <w:r w:rsidRPr="008D64F9">
        <w:rPr>
          <w:rtl/>
          <w:lang w:bidi="ar-LB"/>
        </w:rPr>
        <w:t>وقد تُقرر البلدان أيضًا استبعاد فئات فرعية أخرى من المصنفات على أساس أن تجسيداتها الأصلية لا علاقة لها بتلك الخاصة بأنواع المصنفات الفنية التقليدية، مثل اللوحات والمنحوتات. ونتيجة لذلك، قد يختلف مدى حماية حق ال</w:t>
      </w:r>
      <w:r w:rsidRPr="008D64F9">
        <w:rPr>
          <w:rFonts w:hint="cs"/>
          <w:rtl/>
          <w:lang w:bidi="ar-LB"/>
        </w:rPr>
        <w:t>تت</w:t>
      </w:r>
      <w:r w:rsidRPr="008D64F9">
        <w:rPr>
          <w:rtl/>
          <w:lang w:bidi="ar-LB"/>
        </w:rPr>
        <w:t xml:space="preserve">بع من بلد إلى آخر، رغم أن جوهر الحق معترف به في كل بلد، والاختلافات التي تنشأ تكون </w:t>
      </w:r>
      <w:r w:rsidRPr="008D64F9">
        <w:rPr>
          <w:rFonts w:hint="cs"/>
          <w:rtl/>
          <w:lang w:bidi="ar-LB"/>
        </w:rPr>
        <w:t xml:space="preserve">بشأن </w:t>
      </w:r>
      <w:r w:rsidRPr="008D64F9">
        <w:rPr>
          <w:rtl/>
          <w:lang w:bidi="ar-LB"/>
        </w:rPr>
        <w:t>ال</w:t>
      </w:r>
      <w:r w:rsidRPr="008D64F9">
        <w:rPr>
          <w:rFonts w:hint="cs"/>
          <w:rtl/>
          <w:lang w:bidi="ar-LB"/>
        </w:rPr>
        <w:t>نسبة</w:t>
      </w:r>
      <w:r w:rsidRPr="008D64F9">
        <w:rPr>
          <w:rtl/>
          <w:lang w:bidi="ar-LB"/>
        </w:rPr>
        <w:t xml:space="preserve"> فقط. أما في حالة المطالبين الأجانب بحق </w:t>
      </w:r>
      <w:r w:rsidRPr="008D64F9">
        <w:rPr>
          <w:rFonts w:hint="cs"/>
          <w:rtl/>
          <w:lang w:bidi="ar-LB"/>
        </w:rPr>
        <w:t>التتبع</w:t>
      </w:r>
      <w:r w:rsidRPr="008D64F9">
        <w:rPr>
          <w:rtl/>
          <w:lang w:bidi="ar-LB"/>
        </w:rPr>
        <w:t>، فبسبب شروط المعاملة بالمثل المطبقة بموجب المادة 14</w:t>
      </w:r>
      <w:r w:rsidRPr="008D64F9">
        <w:rPr>
          <w:rFonts w:hint="cs"/>
          <w:rtl/>
          <w:lang w:bidi="ar-LB"/>
        </w:rPr>
        <w:t>(ثالثا)</w:t>
      </w:r>
      <w:r w:rsidRPr="008D64F9">
        <w:rPr>
          <w:rtl/>
          <w:lang w:bidi="ar-LB"/>
        </w:rPr>
        <w:t xml:space="preserve">(2) من </w:t>
      </w:r>
      <w:r w:rsidRPr="008D64F9">
        <w:rPr>
          <w:rFonts w:hint="cs"/>
          <w:rtl/>
          <w:lang w:bidi="ar-LB"/>
        </w:rPr>
        <w:t xml:space="preserve">اتفاقية </w:t>
      </w:r>
      <w:r w:rsidRPr="008D64F9">
        <w:rPr>
          <w:rtl/>
          <w:lang w:bidi="ar-LB"/>
        </w:rPr>
        <w:t>برن، قد يؤدي ذلك إلى اختلاف مستويات الحماية، حيث يطبق البلد (أ</w:t>
      </w:r>
      <w:r w:rsidRPr="008D64F9">
        <w:rPr>
          <w:rFonts w:hint="cs"/>
          <w:rtl/>
          <w:lang w:bidi="ar-LB"/>
        </w:rPr>
        <w:t>لف</w:t>
      </w:r>
      <w:r w:rsidRPr="008D64F9">
        <w:rPr>
          <w:rtl/>
          <w:lang w:bidi="ar-LB"/>
        </w:rPr>
        <w:t>) على سبيل المثال حق ال</w:t>
      </w:r>
      <w:r w:rsidRPr="008D64F9">
        <w:rPr>
          <w:rFonts w:hint="cs"/>
          <w:rtl/>
          <w:lang w:bidi="ar-LB"/>
        </w:rPr>
        <w:t>تتبع</w:t>
      </w:r>
      <w:r w:rsidRPr="008D64F9">
        <w:rPr>
          <w:rtl/>
          <w:lang w:bidi="ar-LB"/>
        </w:rPr>
        <w:t xml:space="preserve"> على فئة من الم</w:t>
      </w:r>
      <w:r w:rsidRPr="008D64F9">
        <w:rPr>
          <w:rFonts w:hint="cs"/>
          <w:rtl/>
          <w:lang w:bidi="ar-LB"/>
        </w:rPr>
        <w:t xml:space="preserve">صنفات </w:t>
      </w:r>
      <w:r w:rsidRPr="008D64F9">
        <w:rPr>
          <w:rtl/>
          <w:lang w:bidi="ar-LB"/>
        </w:rPr>
        <w:t>المستثناة من حق ال</w:t>
      </w:r>
      <w:r w:rsidRPr="008D64F9">
        <w:rPr>
          <w:rFonts w:hint="cs"/>
          <w:rtl/>
          <w:lang w:bidi="ar-LB"/>
        </w:rPr>
        <w:t xml:space="preserve">تتبع </w:t>
      </w:r>
      <w:r w:rsidRPr="008D64F9">
        <w:rPr>
          <w:rtl/>
          <w:lang w:bidi="ar-LB"/>
        </w:rPr>
        <w:t>في البلد (ب</w:t>
      </w:r>
      <w:r w:rsidRPr="008D64F9">
        <w:rPr>
          <w:rFonts w:hint="cs"/>
          <w:rtl/>
          <w:lang w:bidi="ar-LB"/>
        </w:rPr>
        <w:t>اء</w:t>
      </w:r>
      <w:r w:rsidRPr="008D64F9">
        <w:rPr>
          <w:rtl/>
          <w:lang w:bidi="ar-LB"/>
        </w:rPr>
        <w:t>).</w:t>
      </w:r>
      <w:r w:rsidRPr="008D64F9">
        <w:rPr>
          <w:vertAlign w:val="superscript"/>
          <w:rtl/>
          <w:lang w:bidi="ar-LB"/>
        </w:rPr>
        <w:footnoteReference w:id="49"/>
      </w:r>
    </w:p>
    <w:p w14:paraId="4DA6E89B" w14:textId="77777777" w:rsidR="008D64F9" w:rsidRPr="008D64F9" w:rsidRDefault="008D64F9" w:rsidP="008D64F9">
      <w:pPr>
        <w:pStyle w:val="ONUMA"/>
        <w:rPr>
          <w:rtl/>
          <w:lang w:bidi="ar-LB"/>
        </w:rPr>
      </w:pPr>
      <w:r w:rsidRPr="008D64F9">
        <w:rPr>
          <w:rtl/>
          <w:lang w:bidi="ar-LB"/>
        </w:rPr>
        <w:t>ومن بين هذه الاستثناءات نذكر، على سبيل المثال: المباني والأعمال المعمارية والرسومات التقنية وتصاميم (طبوغرافيات) الدوائر المتكاملة.</w:t>
      </w:r>
      <w:r w:rsidRPr="008D64F9">
        <w:rPr>
          <w:vertAlign w:val="superscript"/>
          <w:lang w:val="en-AU"/>
        </w:rPr>
        <w:footnoteReference w:id="50"/>
      </w:r>
      <w:r w:rsidRPr="008D64F9">
        <w:rPr>
          <w:rtl/>
          <w:lang w:bidi="ar-LB"/>
        </w:rPr>
        <w:t xml:space="preserve"> .</w:t>
      </w:r>
      <w:r w:rsidRPr="008D64F9">
        <w:rPr>
          <w:lang w:val="en-AU"/>
        </w:rPr>
        <w:t xml:space="preserve"> </w:t>
      </w:r>
      <w:r w:rsidRPr="008D64F9">
        <w:rPr>
          <w:rtl/>
          <w:lang w:bidi="ar-LB"/>
        </w:rPr>
        <w:t>ومن بين الأمور الأخرى التي ينبغي مراعاتها على المستوى التشريعي أو التي قد تُترك للتقدير القضائي مع تطور مخطط حق التتبع الأعمال التي يتم إنشاؤها بواسطة الكمبيوتر، والصور البسيطة و/أو الوثائقية (الإخبارية).</w:t>
      </w:r>
      <w:r w:rsidRPr="008D64F9">
        <w:rPr>
          <w:lang w:val="en-AU"/>
        </w:rPr>
        <w:t xml:space="preserve"> </w:t>
      </w:r>
      <w:r w:rsidRPr="008D64F9">
        <w:rPr>
          <w:rtl/>
          <w:lang w:bidi="ar-LB"/>
        </w:rPr>
        <w:t>وتشمل التقنيات التشريعية للتعامل مع هذه المسائل استخدام استثناءات محددة أو استخدام آلية عامة لتحديد مثل هذه الاستثناءات في المستقبل من خلال أحد أنواع الأدوات التشريعية الثانوية أو التوجيهات الإدارية.</w:t>
      </w:r>
    </w:p>
    <w:p w14:paraId="1736655E" w14:textId="77777777" w:rsidR="008D64F9" w:rsidRPr="008D64F9" w:rsidRDefault="008D64F9" w:rsidP="00534856">
      <w:pPr>
        <w:spacing w:after="240"/>
        <w:rPr>
          <w:rFonts w:asciiTheme="minorHAnsi" w:hAnsiTheme="minorHAnsi" w:cstheme="minorHAnsi"/>
          <w:bCs/>
          <w:rtl/>
          <w:lang w:bidi="ar-LB"/>
        </w:rPr>
      </w:pPr>
      <w:r w:rsidRPr="008D64F9">
        <w:rPr>
          <w:rFonts w:asciiTheme="minorHAnsi" w:hAnsiTheme="minorHAnsi" w:cstheme="minorHAnsi"/>
          <w:bCs/>
          <w:rtl/>
          <w:lang w:bidi="ar-LB"/>
        </w:rPr>
        <w:t>الجدول 4</w:t>
      </w:r>
    </w:p>
    <w:tbl>
      <w:tblPr>
        <w:tblStyle w:val="TableGrid"/>
        <w:bidiVisual/>
        <w:tblW w:w="0" w:type="auto"/>
        <w:tblInd w:w="360" w:type="dxa"/>
        <w:tblLook w:val="04A0" w:firstRow="1" w:lastRow="0" w:firstColumn="1" w:lastColumn="0" w:noHBand="0" w:noVBand="1"/>
      </w:tblPr>
      <w:tblGrid>
        <w:gridCol w:w="2883"/>
        <w:gridCol w:w="2883"/>
        <w:gridCol w:w="2884"/>
      </w:tblGrid>
      <w:tr w:rsidR="008D64F9" w:rsidRPr="008D64F9" w14:paraId="575151AD" w14:textId="77777777" w:rsidTr="00101B5A">
        <w:tc>
          <w:tcPr>
            <w:tcW w:w="2883" w:type="dxa"/>
          </w:tcPr>
          <w:p w14:paraId="2BB9D543" w14:textId="77777777" w:rsidR="008D64F9" w:rsidRPr="008D64F9" w:rsidRDefault="008D64F9" w:rsidP="008D64F9">
            <w:pPr>
              <w:pStyle w:val="BodyText"/>
              <w:rPr>
                <w:b/>
                <w:bCs/>
                <w:rtl/>
                <w:lang w:bidi="ar-LB"/>
              </w:rPr>
            </w:pPr>
            <w:r w:rsidRPr="008D64F9">
              <w:rPr>
                <w:b/>
                <w:bCs/>
                <w:rtl/>
                <w:lang w:bidi="ar-LB"/>
              </w:rPr>
              <w:t>نوع الحكم</w:t>
            </w:r>
          </w:p>
        </w:tc>
        <w:tc>
          <w:tcPr>
            <w:tcW w:w="2883" w:type="dxa"/>
          </w:tcPr>
          <w:p w14:paraId="13374149" w14:textId="77777777" w:rsidR="008D64F9" w:rsidRPr="008D64F9" w:rsidRDefault="008D64F9" w:rsidP="008D64F9">
            <w:pPr>
              <w:pStyle w:val="BodyText"/>
              <w:rPr>
                <w:b/>
                <w:bCs/>
                <w:rtl/>
                <w:lang w:bidi="ar-LB"/>
              </w:rPr>
            </w:pPr>
            <w:r w:rsidRPr="008D64F9">
              <w:rPr>
                <w:b/>
                <w:bCs/>
                <w:rtl/>
                <w:lang w:bidi="ar-LB"/>
              </w:rPr>
              <w:t>النص المقترح</w:t>
            </w:r>
          </w:p>
        </w:tc>
        <w:tc>
          <w:tcPr>
            <w:tcW w:w="2884" w:type="dxa"/>
          </w:tcPr>
          <w:p w14:paraId="49D04E1C" w14:textId="77777777" w:rsidR="008D64F9" w:rsidRPr="008D64F9" w:rsidRDefault="008D64F9" w:rsidP="008D64F9">
            <w:pPr>
              <w:pStyle w:val="BodyText"/>
              <w:rPr>
                <w:b/>
                <w:bCs/>
                <w:rtl/>
                <w:lang w:bidi="ar-LB"/>
              </w:rPr>
            </w:pPr>
            <w:r w:rsidRPr="008D64F9">
              <w:rPr>
                <w:b/>
                <w:bCs/>
                <w:rtl/>
                <w:lang w:bidi="ar-LB"/>
              </w:rPr>
              <w:t>تعليقات/ملاحظات</w:t>
            </w:r>
          </w:p>
        </w:tc>
      </w:tr>
      <w:tr w:rsidR="008D64F9" w:rsidRPr="008D64F9" w14:paraId="7D41D87F" w14:textId="77777777" w:rsidTr="00101B5A">
        <w:tc>
          <w:tcPr>
            <w:tcW w:w="2883" w:type="dxa"/>
          </w:tcPr>
          <w:p w14:paraId="65B73AF4" w14:textId="77777777" w:rsidR="008D64F9" w:rsidRPr="008D64F9" w:rsidRDefault="008D64F9" w:rsidP="008D64F9">
            <w:pPr>
              <w:pStyle w:val="BodyText"/>
              <w:rPr>
                <w:rtl/>
                <w:lang w:bidi="ar-LB"/>
              </w:rPr>
            </w:pPr>
            <w:r w:rsidRPr="008D64F9">
              <w:rPr>
                <w:rtl/>
                <w:lang w:bidi="ar-LB"/>
              </w:rPr>
              <w:t>استثناءات محددة (أستراليا)</w:t>
            </w:r>
          </w:p>
        </w:tc>
        <w:tc>
          <w:tcPr>
            <w:tcW w:w="2883" w:type="dxa"/>
          </w:tcPr>
          <w:p w14:paraId="415D8C11" w14:textId="77777777" w:rsidR="008D64F9" w:rsidRPr="008D64F9" w:rsidRDefault="008D64F9" w:rsidP="008D64F9">
            <w:pPr>
              <w:pStyle w:val="BodyText"/>
              <w:rPr>
                <w:rtl/>
                <w:lang w:bidi="ar-LB"/>
              </w:rPr>
            </w:pPr>
            <w:r w:rsidRPr="008D64F9">
              <w:rPr>
                <w:rtl/>
                <w:lang w:bidi="ar-LB"/>
              </w:rPr>
              <w:t>9.</w:t>
            </w:r>
            <w:r w:rsidRPr="008D64F9">
              <w:t xml:space="preserve"> </w:t>
            </w:r>
            <w:r w:rsidRPr="008D64F9">
              <w:rPr>
                <w:rtl/>
                <w:lang w:bidi="ar-LB"/>
              </w:rPr>
              <w:t>...لا ينطبق حق التتبع على إعادة البيع التجاري لما يلي:</w:t>
            </w:r>
          </w:p>
          <w:p w14:paraId="3CD33175" w14:textId="77777777" w:rsidR="008D64F9" w:rsidRPr="008D64F9" w:rsidRDefault="008D64F9" w:rsidP="008D64F9">
            <w:pPr>
              <w:pStyle w:val="BodyText"/>
              <w:rPr>
                <w:rtl/>
                <w:lang w:bidi="ar-LB"/>
              </w:rPr>
            </w:pPr>
            <w:r w:rsidRPr="008D64F9">
              <w:rPr>
                <w:rtl/>
                <w:lang w:bidi="ar-LB"/>
              </w:rPr>
              <w:t>(أ) مبنى، أو رسم/مخطط/نموذج لمبنى؛ أو</w:t>
            </w:r>
          </w:p>
          <w:p w14:paraId="0D1D21B6" w14:textId="77777777" w:rsidR="008D64F9" w:rsidRPr="008D64F9" w:rsidRDefault="008D64F9" w:rsidP="008D64F9">
            <w:pPr>
              <w:pStyle w:val="BodyText"/>
              <w:rPr>
                <w:rtl/>
                <w:lang w:bidi="ar-LB"/>
              </w:rPr>
            </w:pPr>
            <w:r w:rsidRPr="008D64F9">
              <w:rPr>
                <w:rtl/>
                <w:lang w:bidi="ar-LB"/>
              </w:rPr>
              <w:t>(ب) تصاميم الدوائر وفقًا للتعريف الوارد في قانون تصاميم الدوائر لعام 1989؛ أو</w:t>
            </w:r>
          </w:p>
          <w:p w14:paraId="31A2EC2E" w14:textId="77777777" w:rsidR="008D64F9" w:rsidRPr="008D64F9" w:rsidRDefault="008D64F9" w:rsidP="008D64F9">
            <w:pPr>
              <w:pStyle w:val="BodyText"/>
              <w:rPr>
                <w:rtl/>
                <w:lang w:bidi="ar-LB"/>
              </w:rPr>
            </w:pPr>
            <w:r w:rsidRPr="008D64F9">
              <w:rPr>
                <w:vertAlign w:val="superscript"/>
              </w:rPr>
              <w:lastRenderedPageBreak/>
              <w:footnoteReference w:id="51"/>
            </w:r>
            <w:r w:rsidRPr="008D64F9">
              <w:rPr>
                <w:rtl/>
                <w:lang w:bidi="ar-LB"/>
              </w:rPr>
              <w:t xml:space="preserve"> (ج) مخطوطة (بأي شكل من الأشمال) لعمل أدبي أو درامي أو موسيقي.</w:t>
            </w:r>
          </w:p>
        </w:tc>
        <w:tc>
          <w:tcPr>
            <w:tcW w:w="2884" w:type="dxa"/>
          </w:tcPr>
          <w:p w14:paraId="524B68DE" w14:textId="77777777" w:rsidR="008D64F9" w:rsidRPr="008D64F9" w:rsidRDefault="008D64F9">
            <w:pPr>
              <w:pStyle w:val="BodyText"/>
              <w:numPr>
                <w:ilvl w:val="0"/>
                <w:numId w:val="16"/>
              </w:numPr>
              <w:ind w:left="360"/>
              <w:rPr>
                <w:rtl/>
                <w:lang w:bidi="ar-LB"/>
              </w:rPr>
            </w:pPr>
            <w:r w:rsidRPr="008D64F9">
              <w:rPr>
                <w:rtl/>
                <w:lang w:bidi="ar-LB"/>
              </w:rPr>
              <w:lastRenderedPageBreak/>
              <w:t xml:space="preserve">يحدد هذا النص بشكل واحد أن العناصر التي لم يتم </w:t>
            </w:r>
            <w:r w:rsidRPr="008D64F9">
              <w:rPr>
                <w:rFonts w:hint="cs"/>
                <w:rtl/>
                <w:lang w:bidi="ar-LB"/>
              </w:rPr>
              <w:t>استثناؤه</w:t>
            </w:r>
            <w:r w:rsidRPr="008D64F9">
              <w:rPr>
                <w:rFonts w:hint="eastAsia"/>
                <w:rtl/>
                <w:lang w:bidi="ar-LB"/>
              </w:rPr>
              <w:t>ا</w:t>
            </w:r>
            <w:r w:rsidRPr="008D64F9">
              <w:rPr>
                <w:rtl/>
                <w:lang w:bidi="ar-LB"/>
              </w:rPr>
              <w:t xml:space="preserve"> قد ينطبق عليها حق التتبع حتى لو لم يتم ادراجها في أي قائمة تم تحديدها سابقًا (كما هو وارد في الجدول 3)</w:t>
            </w:r>
          </w:p>
          <w:p w14:paraId="3202E36B" w14:textId="77777777" w:rsidR="008D64F9" w:rsidRPr="008D64F9" w:rsidRDefault="008D64F9">
            <w:pPr>
              <w:pStyle w:val="BodyText"/>
              <w:numPr>
                <w:ilvl w:val="0"/>
                <w:numId w:val="16"/>
              </w:numPr>
              <w:ind w:left="360"/>
              <w:rPr>
                <w:rtl/>
                <w:lang w:bidi="ar-LB"/>
              </w:rPr>
            </w:pPr>
            <w:r w:rsidRPr="008D64F9">
              <w:rPr>
                <w:rtl/>
                <w:lang w:bidi="ar-LB"/>
              </w:rPr>
              <w:t xml:space="preserve">قد تنشأ مشاكل فيما يتعلق بالمصنفات الفنية العابرة، مثل المنحوتات الرملية والمائية والصور المنتجة بالليزر وما شابه </w:t>
            </w:r>
            <w:r w:rsidRPr="008D64F9">
              <w:rPr>
                <w:rtl/>
                <w:lang w:bidi="ar-LB"/>
              </w:rPr>
              <w:lastRenderedPageBreak/>
              <w:t>ذلك، على الرغم من أنه من الناحية العملية قد يكون من الصعب جدًا أن تبقى هذه المصنفات موجودة بعد "تجسيدها الأول"</w:t>
            </w:r>
            <w:r w:rsidRPr="008D64F9">
              <w:rPr>
                <w:rFonts w:hint="cs"/>
                <w:rtl/>
                <w:lang w:bidi="ar-LB"/>
              </w:rPr>
              <w:t xml:space="preserve"> ا</w:t>
            </w:r>
            <w:r w:rsidRPr="008D64F9">
              <w:rPr>
                <w:rtl/>
                <w:lang w:bidi="ar-LB"/>
              </w:rPr>
              <w:t>لذي يختفي بعد ذلك.</w:t>
            </w:r>
          </w:p>
          <w:p w14:paraId="33DB4063" w14:textId="77777777" w:rsidR="008D64F9" w:rsidRPr="008D64F9" w:rsidRDefault="008D64F9">
            <w:pPr>
              <w:pStyle w:val="BodyText"/>
              <w:numPr>
                <w:ilvl w:val="0"/>
                <w:numId w:val="16"/>
              </w:numPr>
              <w:ind w:left="360"/>
              <w:rPr>
                <w:rtl/>
                <w:lang w:bidi="ar-LB"/>
              </w:rPr>
            </w:pPr>
            <w:r w:rsidRPr="008D64F9">
              <w:rPr>
                <w:rtl/>
                <w:lang w:bidi="ar-LB"/>
              </w:rPr>
              <w:t xml:space="preserve">قد يبدو استبعاد "المخطوطات" غير ضروري لأن حق التتبع بموجب القانون الأسترالي ينطبق فقط على "المصنفات الفنية" وبالتالي فهو يستبعد المخطوطات التي لا يمكن أن تطالب بالحماية كمصنفات فنية حتى ولو تحتوي على بعض العناصر الفنية.  </w:t>
            </w:r>
          </w:p>
        </w:tc>
      </w:tr>
      <w:tr w:rsidR="008D64F9" w:rsidRPr="008D64F9" w14:paraId="1A974705" w14:textId="77777777" w:rsidTr="00101B5A">
        <w:tc>
          <w:tcPr>
            <w:tcW w:w="2883" w:type="dxa"/>
          </w:tcPr>
          <w:p w14:paraId="621B8BBA" w14:textId="77777777" w:rsidR="008D64F9" w:rsidRPr="008D64F9" w:rsidRDefault="008D64F9" w:rsidP="008D64F9">
            <w:pPr>
              <w:pStyle w:val="BodyText"/>
              <w:rPr>
                <w:rtl/>
                <w:lang w:bidi="ar-LB"/>
              </w:rPr>
            </w:pPr>
            <w:r w:rsidRPr="008D64F9">
              <w:rPr>
                <w:rtl/>
                <w:lang w:bidi="ar-LB"/>
              </w:rPr>
              <w:lastRenderedPageBreak/>
              <w:t>مجموعة مختلفة من الفئات المستبعدة (السنغال)</w:t>
            </w:r>
          </w:p>
        </w:tc>
        <w:tc>
          <w:tcPr>
            <w:tcW w:w="2883" w:type="dxa"/>
          </w:tcPr>
          <w:p w14:paraId="55CC47B2" w14:textId="77777777" w:rsidR="008D64F9" w:rsidRPr="008D64F9" w:rsidRDefault="008D64F9" w:rsidP="008D64F9">
            <w:pPr>
              <w:pStyle w:val="BodyText"/>
              <w:rPr>
                <w:rtl/>
                <w:lang w:bidi="ar-LB"/>
              </w:rPr>
            </w:pPr>
            <w:r w:rsidRPr="008D64F9">
              <w:rPr>
                <w:rtl/>
                <w:lang w:bidi="ar-LB"/>
              </w:rPr>
              <w:t xml:space="preserve">لا ينطبق حق </w:t>
            </w:r>
            <w:r w:rsidRPr="008D64F9">
              <w:rPr>
                <w:i/>
                <w:rtl/>
                <w:lang w:bidi="ar-LB"/>
              </w:rPr>
              <w:t>التتبع</w:t>
            </w:r>
            <w:r w:rsidRPr="008D64F9">
              <w:rPr>
                <w:rtl/>
                <w:lang w:bidi="ar-LB"/>
              </w:rPr>
              <w:t xml:space="preserve"> على الأعمال المعمارية أو مصنفات الفنون التطبيقية.</w:t>
            </w:r>
            <w:r w:rsidRPr="008D64F9">
              <w:rPr>
                <w:vertAlign w:val="superscript"/>
                <w:lang w:val="en-AU"/>
              </w:rPr>
              <w:footnoteReference w:id="52"/>
            </w:r>
          </w:p>
          <w:p w14:paraId="18E74B70" w14:textId="77777777" w:rsidR="008D64F9" w:rsidRPr="008D64F9" w:rsidRDefault="008D64F9" w:rsidP="008D64F9">
            <w:pPr>
              <w:pStyle w:val="BodyText"/>
            </w:pPr>
          </w:p>
        </w:tc>
        <w:tc>
          <w:tcPr>
            <w:tcW w:w="2884" w:type="dxa"/>
          </w:tcPr>
          <w:p w14:paraId="7C45BE02" w14:textId="77777777" w:rsidR="008D64F9" w:rsidRPr="008D64F9" w:rsidRDefault="008D64F9">
            <w:pPr>
              <w:pStyle w:val="BodyText"/>
              <w:numPr>
                <w:ilvl w:val="0"/>
                <w:numId w:val="16"/>
              </w:numPr>
              <w:ind w:left="360"/>
              <w:rPr>
                <w:rtl/>
                <w:lang w:bidi="ar-LB"/>
              </w:rPr>
            </w:pPr>
            <w:r w:rsidRPr="008D64F9">
              <w:rPr>
                <w:rtl/>
                <w:lang w:bidi="ar-LB"/>
              </w:rPr>
              <w:t>استثناءات محددة في التشريع المختص.</w:t>
            </w:r>
          </w:p>
        </w:tc>
      </w:tr>
      <w:tr w:rsidR="008D64F9" w:rsidRPr="008D64F9" w14:paraId="5B7F6AB9" w14:textId="77777777" w:rsidTr="00101B5A">
        <w:tc>
          <w:tcPr>
            <w:tcW w:w="2883" w:type="dxa"/>
          </w:tcPr>
          <w:p w14:paraId="388C3AB2" w14:textId="77777777" w:rsidR="008D64F9" w:rsidRPr="008D64F9" w:rsidRDefault="008D64F9" w:rsidP="008D64F9">
            <w:pPr>
              <w:pStyle w:val="BodyText"/>
              <w:rPr>
                <w:rtl/>
                <w:lang w:bidi="ar-LB"/>
              </w:rPr>
            </w:pPr>
            <w:r w:rsidRPr="008D64F9">
              <w:rPr>
                <w:rtl/>
                <w:lang w:bidi="ar-LB"/>
              </w:rPr>
              <w:t>مجموعة أخرى من الاستثناءات (كينيا)</w:t>
            </w:r>
          </w:p>
        </w:tc>
        <w:tc>
          <w:tcPr>
            <w:tcW w:w="2883" w:type="dxa"/>
          </w:tcPr>
          <w:p w14:paraId="76B49B1F" w14:textId="77777777" w:rsidR="008D64F9" w:rsidRPr="008D64F9" w:rsidRDefault="008D64F9" w:rsidP="008D64F9">
            <w:pPr>
              <w:pStyle w:val="BodyText"/>
              <w:rPr>
                <w:rtl/>
                <w:lang w:bidi="ar-LB"/>
              </w:rPr>
            </w:pPr>
            <w:r w:rsidRPr="008D64F9">
              <w:rPr>
                <w:rtl/>
                <w:lang w:bidi="ar-LB"/>
              </w:rPr>
              <w:t>(6) لا يجوز الحصول على أي إتاوات من أي عملية إعادة بيع تجاري لمصنف فني</w:t>
            </w:r>
          </w:p>
          <w:p w14:paraId="09AFFA03" w14:textId="77777777" w:rsidR="008D64F9" w:rsidRPr="008D64F9" w:rsidRDefault="008D64F9" w:rsidP="008D64F9">
            <w:pPr>
              <w:pStyle w:val="BodyText"/>
              <w:rPr>
                <w:rtl/>
                <w:lang w:bidi="ar-LB"/>
              </w:rPr>
            </w:pPr>
            <w:r w:rsidRPr="008D64F9">
              <w:rPr>
                <w:rtl/>
                <w:lang w:bidi="ar-LB"/>
              </w:rPr>
              <w:t>…</w:t>
            </w:r>
          </w:p>
          <w:p w14:paraId="3F170168" w14:textId="77777777" w:rsidR="008D64F9" w:rsidRPr="008D64F9" w:rsidRDefault="008D64F9" w:rsidP="008D64F9">
            <w:pPr>
              <w:pStyle w:val="BodyText"/>
              <w:rPr>
                <w:rtl/>
                <w:lang w:bidi="ar-LB"/>
              </w:rPr>
            </w:pPr>
            <w:r w:rsidRPr="008D64F9">
              <w:rPr>
                <w:rtl/>
                <w:lang w:bidi="ar-LB"/>
              </w:rPr>
              <w:t>(ب) إذا كانت العملية تتعلق بإعادة بيع مبنى، أو رسم أو مخطط أو نموذج لمبنى؛</w:t>
            </w:r>
          </w:p>
          <w:p w14:paraId="709DD516" w14:textId="77777777" w:rsidR="008D64F9" w:rsidRPr="008D64F9" w:rsidRDefault="008D64F9" w:rsidP="008D64F9">
            <w:pPr>
              <w:pStyle w:val="BodyText"/>
              <w:rPr>
                <w:rtl/>
                <w:lang w:bidi="ar-LB"/>
              </w:rPr>
            </w:pPr>
            <w:r w:rsidRPr="008D64F9">
              <w:rPr>
                <w:rtl/>
                <w:lang w:bidi="ar-LB"/>
              </w:rPr>
              <w:t>…</w:t>
            </w:r>
          </w:p>
          <w:p w14:paraId="720492D1" w14:textId="77777777" w:rsidR="008D64F9" w:rsidRPr="008D64F9" w:rsidRDefault="008D64F9" w:rsidP="008D64F9">
            <w:pPr>
              <w:pStyle w:val="BodyText"/>
              <w:rPr>
                <w:rtl/>
                <w:lang w:bidi="ar-LB"/>
              </w:rPr>
            </w:pPr>
            <w:r w:rsidRPr="008D64F9">
              <w:rPr>
                <w:rtl/>
                <w:lang w:bidi="ar-LB"/>
              </w:rPr>
              <w:t>(د) إذا كانت المصنفات الفنية المنتجة عبارة عن نسخ متطابقة؛</w:t>
            </w:r>
          </w:p>
          <w:p w14:paraId="3481566F" w14:textId="77777777" w:rsidR="008D64F9" w:rsidRPr="008D64F9" w:rsidRDefault="008D64F9" w:rsidP="008D64F9">
            <w:pPr>
              <w:pStyle w:val="BodyText"/>
              <w:rPr>
                <w:rtl/>
                <w:lang w:bidi="ar-LB"/>
              </w:rPr>
            </w:pPr>
            <w:r w:rsidRPr="008D64F9">
              <w:rPr>
                <w:rtl/>
                <w:lang w:bidi="ar-LB"/>
              </w:rPr>
              <w:t>أو (هـ) إذا كانت العملية تتعلق بمخطوطة لمصنف أدبي أو مسرحي أو موسيقي.</w:t>
            </w:r>
            <w:r w:rsidRPr="008D64F9">
              <w:rPr>
                <w:vertAlign w:val="superscript"/>
                <w:lang w:val="en-GB"/>
              </w:rPr>
              <w:footnoteReference w:id="53"/>
            </w:r>
            <w:r w:rsidRPr="008D64F9">
              <w:rPr>
                <w:rtl/>
                <w:lang w:bidi="ar-LB"/>
              </w:rPr>
              <w:t xml:space="preserve">  </w:t>
            </w:r>
          </w:p>
          <w:p w14:paraId="60DDB990" w14:textId="77777777" w:rsidR="008D64F9" w:rsidRPr="008D64F9" w:rsidRDefault="008D64F9" w:rsidP="008D64F9">
            <w:pPr>
              <w:pStyle w:val="BodyText"/>
              <w:rPr>
                <w:lang w:val="en-AU"/>
              </w:rPr>
            </w:pPr>
          </w:p>
        </w:tc>
        <w:tc>
          <w:tcPr>
            <w:tcW w:w="2884" w:type="dxa"/>
          </w:tcPr>
          <w:p w14:paraId="3524AFF7" w14:textId="77777777" w:rsidR="008D64F9" w:rsidRPr="008D64F9" w:rsidRDefault="008D64F9">
            <w:pPr>
              <w:pStyle w:val="BodyText"/>
              <w:numPr>
                <w:ilvl w:val="0"/>
                <w:numId w:val="16"/>
              </w:numPr>
              <w:ind w:left="360"/>
              <w:rPr>
                <w:rtl/>
                <w:lang w:bidi="ar-LB"/>
              </w:rPr>
            </w:pPr>
            <w:r w:rsidRPr="008D64F9">
              <w:rPr>
                <w:rtl/>
                <w:lang w:bidi="ar-LB"/>
              </w:rPr>
              <w:t>قد يتناقض استبعاد النسخ المتطابقة مع بعض القوانين التي تعتبر أن النسخ المصنوعة بأعداد محدودة من قبل الفنان أو تحت اشرافه ينطبق عليها حق التتبع: على سبيل المثال، يرجى الاطلاع على المادة 2 (2)، توجيه المفوضية الأوروبي.</w:t>
            </w:r>
            <w:r w:rsidRPr="008D64F9">
              <w:rPr>
                <w:lang w:val="en-AU"/>
              </w:rPr>
              <w:t xml:space="preserve"> </w:t>
            </w:r>
          </w:p>
        </w:tc>
      </w:tr>
      <w:tr w:rsidR="008D64F9" w:rsidRPr="008D64F9" w14:paraId="6FECAF8A" w14:textId="77777777" w:rsidTr="00101B5A">
        <w:tc>
          <w:tcPr>
            <w:tcW w:w="2883" w:type="dxa"/>
          </w:tcPr>
          <w:p w14:paraId="422E2CCC" w14:textId="77777777" w:rsidR="008D64F9" w:rsidRPr="008D64F9" w:rsidRDefault="008D64F9" w:rsidP="008D64F9">
            <w:pPr>
              <w:pStyle w:val="BodyText"/>
              <w:rPr>
                <w:rtl/>
                <w:lang w:bidi="ar-LB"/>
              </w:rPr>
            </w:pPr>
            <w:r w:rsidRPr="008D64F9">
              <w:rPr>
                <w:rtl/>
                <w:lang w:bidi="ar-LB"/>
              </w:rPr>
              <w:t>مجموعة مقترحة من الفئات التشريعية المستبعدة</w:t>
            </w:r>
          </w:p>
        </w:tc>
        <w:tc>
          <w:tcPr>
            <w:tcW w:w="2883" w:type="dxa"/>
          </w:tcPr>
          <w:p w14:paraId="0079760A" w14:textId="77777777" w:rsidR="008D64F9" w:rsidRPr="008D64F9" w:rsidRDefault="008D64F9" w:rsidP="008D64F9">
            <w:pPr>
              <w:pStyle w:val="BodyText"/>
              <w:rPr>
                <w:i/>
                <w:rtl/>
                <w:lang w:bidi="ar-LB"/>
              </w:rPr>
            </w:pPr>
            <w:r w:rsidRPr="008D64F9">
              <w:rPr>
                <w:i/>
                <w:rtl/>
                <w:lang w:bidi="ar-LB"/>
              </w:rPr>
              <w:t>لا ينطبق حق التتبع على إعادة بيع:</w:t>
            </w:r>
          </w:p>
          <w:p w14:paraId="4EB20EA3" w14:textId="77777777" w:rsidR="008D64F9" w:rsidRPr="008D64F9" w:rsidRDefault="008D64F9" w:rsidP="008D64F9">
            <w:pPr>
              <w:pStyle w:val="BodyText"/>
              <w:rPr>
                <w:i/>
                <w:rtl/>
                <w:lang w:bidi="ar-LB"/>
              </w:rPr>
            </w:pPr>
            <w:r w:rsidRPr="008D64F9">
              <w:rPr>
                <w:i/>
                <w:rtl/>
                <w:lang w:bidi="ar-LB"/>
              </w:rPr>
              <w:t>(أ) الأعمال المعمارية، أو رسومات أو مخططات أو نماذج هذه الأعمال؛</w:t>
            </w:r>
            <w:r w:rsidRPr="008D64F9">
              <w:rPr>
                <w:i/>
                <w:lang w:val="en-AU"/>
              </w:rPr>
              <w:t xml:space="preserve"> </w:t>
            </w:r>
          </w:p>
          <w:p w14:paraId="1FE8551D" w14:textId="77777777" w:rsidR="008D64F9" w:rsidRPr="008D64F9" w:rsidRDefault="008D64F9" w:rsidP="008D64F9">
            <w:pPr>
              <w:pStyle w:val="BodyText"/>
              <w:rPr>
                <w:i/>
                <w:rtl/>
                <w:lang w:bidi="ar-LB"/>
              </w:rPr>
            </w:pPr>
            <w:r w:rsidRPr="008D64F9">
              <w:rPr>
                <w:i/>
                <w:rtl/>
                <w:lang w:bidi="ar-LB"/>
              </w:rPr>
              <w:lastRenderedPageBreak/>
              <w:t>(ب) الرسومات التقنية للسلع المفيدة؛</w:t>
            </w:r>
          </w:p>
          <w:p w14:paraId="2F160CEF" w14:textId="77777777" w:rsidR="008D64F9" w:rsidRPr="008D64F9" w:rsidRDefault="008D64F9" w:rsidP="008D64F9">
            <w:pPr>
              <w:pStyle w:val="BodyText"/>
              <w:rPr>
                <w:i/>
                <w:rtl/>
                <w:lang w:bidi="ar-LB"/>
              </w:rPr>
            </w:pPr>
            <w:r w:rsidRPr="008D64F9">
              <w:rPr>
                <w:i/>
                <w:rtl/>
                <w:lang w:bidi="ar-LB"/>
              </w:rPr>
              <w:t>(ج) تصاميم (طبوغرافيات) الدوائر المتكاملة؛ أو</w:t>
            </w:r>
          </w:p>
          <w:p w14:paraId="7BFAE6AA" w14:textId="77777777" w:rsidR="008D64F9" w:rsidRPr="008D64F9" w:rsidRDefault="008D64F9" w:rsidP="008D64F9">
            <w:pPr>
              <w:pStyle w:val="BodyText"/>
              <w:rPr>
                <w:rtl/>
                <w:lang w:bidi="ar-LB"/>
              </w:rPr>
            </w:pPr>
            <w:r w:rsidRPr="008D64F9">
              <w:rPr>
                <w:i/>
                <w:rtl/>
                <w:lang w:bidi="ar-LB"/>
              </w:rPr>
              <w:t>(د) الأعمال التي تم إنشاؤها بواسطة الكمبيوتر</w:t>
            </w:r>
            <w:r w:rsidRPr="008D64F9">
              <w:rPr>
                <w:rtl/>
                <w:lang w:bidi="ar-LB"/>
              </w:rPr>
              <w:t>.</w:t>
            </w:r>
            <w:r w:rsidRPr="008D64F9">
              <w:rPr>
                <w:vertAlign w:val="superscript"/>
                <w:lang w:val="en-GB"/>
              </w:rPr>
              <w:footnoteReference w:id="54"/>
            </w:r>
          </w:p>
          <w:p w14:paraId="637010A6" w14:textId="77777777" w:rsidR="008D64F9" w:rsidRPr="008D64F9" w:rsidRDefault="008D64F9" w:rsidP="008D64F9">
            <w:pPr>
              <w:pStyle w:val="BodyText"/>
              <w:rPr>
                <w:lang w:val="en-AU"/>
              </w:rPr>
            </w:pPr>
          </w:p>
        </w:tc>
        <w:tc>
          <w:tcPr>
            <w:tcW w:w="2884" w:type="dxa"/>
          </w:tcPr>
          <w:p w14:paraId="5D3BAB1C" w14:textId="77777777" w:rsidR="008D64F9" w:rsidRPr="008D64F9" w:rsidRDefault="008D64F9">
            <w:pPr>
              <w:pStyle w:val="BodyText"/>
              <w:numPr>
                <w:ilvl w:val="0"/>
                <w:numId w:val="16"/>
              </w:numPr>
              <w:ind w:left="360"/>
              <w:rPr>
                <w:rtl/>
                <w:lang w:bidi="ar-LB"/>
              </w:rPr>
            </w:pPr>
            <w:r w:rsidRPr="008D64F9">
              <w:rPr>
                <w:rtl/>
                <w:lang w:bidi="ar-LB"/>
              </w:rPr>
              <w:lastRenderedPageBreak/>
              <w:t xml:space="preserve">يحدد هذا النص بشكل واحد أن العناصر التي لم يتم اسثناؤها قد ينطبق عليها حق التتبع حتى لو لم يتم ادراجها في أي قائمة تم </w:t>
            </w:r>
            <w:r w:rsidRPr="008D64F9">
              <w:rPr>
                <w:rtl/>
                <w:lang w:bidi="ar-LB"/>
              </w:rPr>
              <w:lastRenderedPageBreak/>
              <w:t>تحديدها سابقًا (كما هو وارد في الجدول 3)</w:t>
            </w:r>
          </w:p>
          <w:p w14:paraId="55204635" w14:textId="77777777" w:rsidR="008D64F9" w:rsidRPr="008D64F9" w:rsidRDefault="008D64F9">
            <w:pPr>
              <w:pStyle w:val="BodyText"/>
              <w:numPr>
                <w:ilvl w:val="0"/>
                <w:numId w:val="16"/>
              </w:numPr>
              <w:ind w:left="360"/>
              <w:rPr>
                <w:rtl/>
                <w:lang w:bidi="ar-LB"/>
              </w:rPr>
            </w:pPr>
            <w:r w:rsidRPr="008D64F9">
              <w:rPr>
                <w:rtl/>
                <w:lang w:bidi="ar-LB"/>
              </w:rPr>
              <w:t>قد تنشأ مشاكل فيما يتعلق بالمصنفات الفنية العابرة، مثل المنحوتات الرملية والمائية والصور المنتجة بالليزر وما شابه ذلك، على الرغم من أنه من الناحية العملية قد يكون من الصعب جدًا أن تبقى هذه المصنفات موجودة بعد "تجسيدها الأول".</w:t>
            </w:r>
            <w:r w:rsidRPr="008D64F9">
              <w:rPr>
                <w:lang w:val="en-AU"/>
              </w:rPr>
              <w:t xml:space="preserve"> </w:t>
            </w:r>
          </w:p>
          <w:p w14:paraId="523254D1" w14:textId="77777777" w:rsidR="008D64F9" w:rsidRPr="008D64F9" w:rsidRDefault="008D64F9">
            <w:pPr>
              <w:pStyle w:val="BodyText"/>
              <w:numPr>
                <w:ilvl w:val="0"/>
                <w:numId w:val="16"/>
              </w:numPr>
              <w:ind w:left="360"/>
              <w:rPr>
                <w:rtl/>
                <w:lang w:bidi="ar-LB"/>
              </w:rPr>
            </w:pPr>
            <w:r w:rsidRPr="008D64F9">
              <w:rPr>
                <w:rtl/>
                <w:lang w:bidi="ar-LB"/>
              </w:rPr>
              <w:t>قد يكون استبعاد "الأعمال التي تم إنشاؤها بواسطة الكمبيوتر" غير ضروري إذا لم يكن لهذه الأعمال مؤلف بشري يمكن التعرف عليه.</w:t>
            </w:r>
            <w:r w:rsidRPr="008D64F9">
              <w:rPr>
                <w:lang w:val="en-AU"/>
              </w:rPr>
              <w:t xml:space="preserve"> </w:t>
            </w:r>
            <w:r w:rsidRPr="008D64F9">
              <w:rPr>
                <w:rtl/>
                <w:lang w:bidi="ar-LB"/>
              </w:rPr>
              <w:t>ولكن، يمكن للقوانين الوطنية أن تنص على أن حامل الحقوق في مثل هذا الإبداع قد يكون مؤهلاً في جميع الأحوال للاستفادة من حق التتبع</w:t>
            </w:r>
            <w:r w:rsidRPr="008D64F9">
              <w:rPr>
                <w:rFonts w:hint="cs"/>
                <w:rtl/>
                <w:lang w:bidi="ar-LB"/>
              </w:rPr>
              <w:t xml:space="preserve">، </w:t>
            </w:r>
            <w:r w:rsidRPr="008D64F9">
              <w:rPr>
                <w:rtl/>
                <w:lang w:bidi="ar-LB"/>
              </w:rPr>
              <w:t>ولكن هذا يقع خارج نطاق المادة 14</w:t>
            </w:r>
            <w:r w:rsidRPr="008D64F9">
              <w:rPr>
                <w:rFonts w:hint="cs"/>
                <w:rtl/>
                <w:lang w:bidi="ar-LB"/>
              </w:rPr>
              <w:t>(</w:t>
            </w:r>
            <w:r w:rsidRPr="008D64F9">
              <w:rPr>
                <w:rtl/>
                <w:lang w:bidi="ar-LB"/>
              </w:rPr>
              <w:t>ثا</w:t>
            </w:r>
            <w:r w:rsidRPr="008D64F9">
              <w:rPr>
                <w:rFonts w:hint="cs"/>
                <w:rtl/>
                <w:lang w:bidi="ar-LB"/>
              </w:rPr>
              <w:t>لثا</w:t>
            </w:r>
            <w:r w:rsidRPr="008D64F9">
              <w:rPr>
                <w:rtl/>
                <w:lang w:bidi="ar-LB"/>
              </w:rPr>
              <w:t>ً</w:t>
            </w:r>
            <w:r w:rsidRPr="008D64F9">
              <w:rPr>
                <w:rFonts w:hint="cs"/>
                <w:rtl/>
                <w:lang w:bidi="ar-LB"/>
              </w:rPr>
              <w:t xml:space="preserve">) من اتفاقية </w:t>
            </w:r>
            <w:r w:rsidRPr="008D64F9">
              <w:rPr>
                <w:rtl/>
                <w:lang w:bidi="ar-LB"/>
              </w:rPr>
              <w:t>برن، على أي حال.</w:t>
            </w:r>
            <w:r w:rsidRPr="008D64F9">
              <w:rPr>
                <w:lang w:val="en-AU"/>
              </w:rPr>
              <w:t xml:space="preserve"> </w:t>
            </w:r>
          </w:p>
        </w:tc>
      </w:tr>
      <w:tr w:rsidR="008D64F9" w:rsidRPr="008D64F9" w14:paraId="2E15BA83" w14:textId="77777777" w:rsidTr="00101B5A">
        <w:tc>
          <w:tcPr>
            <w:tcW w:w="2883" w:type="dxa"/>
          </w:tcPr>
          <w:p w14:paraId="66172443" w14:textId="77777777" w:rsidR="008D64F9" w:rsidRPr="008D64F9" w:rsidRDefault="008D64F9" w:rsidP="008D64F9">
            <w:pPr>
              <w:pStyle w:val="BodyText"/>
              <w:rPr>
                <w:rtl/>
                <w:lang w:bidi="ar-LB"/>
              </w:rPr>
            </w:pPr>
            <w:r w:rsidRPr="008D64F9">
              <w:rPr>
                <w:rtl/>
                <w:lang w:bidi="ar-LB"/>
              </w:rPr>
              <w:lastRenderedPageBreak/>
              <w:t>آلية مقترحة لاستبعاد المصنفات من خلال اللوائح أو التوجيهات الإدارية</w:t>
            </w:r>
          </w:p>
        </w:tc>
        <w:tc>
          <w:tcPr>
            <w:tcW w:w="2883" w:type="dxa"/>
          </w:tcPr>
          <w:p w14:paraId="20D7042B" w14:textId="77777777" w:rsidR="008D64F9" w:rsidRPr="008D64F9" w:rsidRDefault="008D64F9" w:rsidP="008D64F9">
            <w:pPr>
              <w:pStyle w:val="BodyText"/>
              <w:rPr>
                <w:rtl/>
                <w:lang w:bidi="ar-LB"/>
              </w:rPr>
            </w:pPr>
            <w:r w:rsidRPr="008D64F9">
              <w:rPr>
                <w:rtl/>
                <w:lang w:bidi="ar-LB"/>
              </w:rPr>
              <w:t>إضافة إلى النص السابق:</w:t>
            </w:r>
          </w:p>
          <w:p w14:paraId="73C7B9B0" w14:textId="77777777" w:rsidR="008D64F9" w:rsidRPr="008D64F9" w:rsidRDefault="008D64F9" w:rsidP="008D64F9">
            <w:pPr>
              <w:pStyle w:val="BodyText"/>
              <w:rPr>
                <w:rtl/>
                <w:lang w:bidi="ar-LB"/>
              </w:rPr>
            </w:pPr>
            <w:r w:rsidRPr="008D64F9">
              <w:rPr>
                <w:rtl/>
                <w:lang w:bidi="ar-LB"/>
              </w:rPr>
              <w:t>…</w:t>
            </w:r>
          </w:p>
          <w:p w14:paraId="502B8D7F" w14:textId="77777777" w:rsidR="008D64F9" w:rsidRPr="008D64F9" w:rsidRDefault="008D64F9" w:rsidP="008D64F9">
            <w:pPr>
              <w:pStyle w:val="BodyText"/>
              <w:rPr>
                <w:rtl/>
                <w:lang w:bidi="ar-LB"/>
              </w:rPr>
            </w:pPr>
            <w:r w:rsidRPr="008D64F9">
              <w:rPr>
                <w:rtl/>
                <w:lang w:bidi="ar-LB"/>
              </w:rPr>
              <w:t>(هـ) أي فئة أخرى من المصنفات الفنية [والمخطوطات] المنصوص عليها في اللوائح [أو المدرجة في توجيه إداري من وزير أو وكالة، إلخ.]</w:t>
            </w:r>
            <w:r w:rsidRPr="008D64F9">
              <w:rPr>
                <w:lang w:val="en-AU"/>
              </w:rPr>
              <w:t xml:space="preserve"> </w:t>
            </w:r>
          </w:p>
          <w:p w14:paraId="31E02504" w14:textId="77777777" w:rsidR="008D64F9" w:rsidRPr="008D64F9" w:rsidRDefault="008D64F9" w:rsidP="008D64F9">
            <w:pPr>
              <w:pStyle w:val="BodyText"/>
              <w:rPr>
                <w:rtl/>
                <w:lang w:bidi="ar-LB"/>
              </w:rPr>
            </w:pPr>
            <w:r w:rsidRPr="008D64F9">
              <w:rPr>
                <w:lang w:val="en-AU"/>
              </w:rPr>
              <w:t xml:space="preserve"> </w:t>
            </w:r>
          </w:p>
        </w:tc>
        <w:tc>
          <w:tcPr>
            <w:tcW w:w="2884" w:type="dxa"/>
          </w:tcPr>
          <w:p w14:paraId="7EF8E929" w14:textId="77777777" w:rsidR="008D64F9" w:rsidRPr="008D64F9" w:rsidRDefault="008D64F9">
            <w:pPr>
              <w:pStyle w:val="BodyText"/>
              <w:numPr>
                <w:ilvl w:val="0"/>
                <w:numId w:val="16"/>
              </w:numPr>
              <w:ind w:left="360"/>
              <w:rPr>
                <w:rtl/>
                <w:lang w:bidi="ar-LB"/>
              </w:rPr>
            </w:pPr>
            <w:r w:rsidRPr="008D64F9">
              <w:rPr>
                <w:rtl/>
                <w:lang w:bidi="ar-LB"/>
              </w:rPr>
              <w:t>قد يكون من المفيد استخدام هذه الآلية كوسيلة احتياطية.</w:t>
            </w:r>
          </w:p>
        </w:tc>
      </w:tr>
      <w:tr w:rsidR="008D64F9" w:rsidRPr="008D64F9" w14:paraId="4CABAF8F" w14:textId="77777777" w:rsidTr="00101B5A">
        <w:tc>
          <w:tcPr>
            <w:tcW w:w="2883" w:type="dxa"/>
          </w:tcPr>
          <w:p w14:paraId="12A10DBB" w14:textId="77777777" w:rsidR="008D64F9" w:rsidRPr="008D64F9" w:rsidRDefault="008D64F9" w:rsidP="008D64F9">
            <w:pPr>
              <w:pStyle w:val="BodyText"/>
              <w:rPr>
                <w:rtl/>
                <w:lang w:bidi="ar-LB"/>
              </w:rPr>
            </w:pPr>
            <w:r w:rsidRPr="008D64F9">
              <w:rPr>
                <w:rtl/>
                <w:lang w:bidi="ar-LB"/>
              </w:rPr>
              <w:t>الاستبعاد الصريح لمصنفات الفنون التطبيقية (المكسيك)</w:t>
            </w:r>
          </w:p>
        </w:tc>
        <w:tc>
          <w:tcPr>
            <w:tcW w:w="2883" w:type="dxa"/>
          </w:tcPr>
          <w:p w14:paraId="4798861E" w14:textId="77777777" w:rsidR="008D64F9" w:rsidRPr="008D64F9" w:rsidRDefault="008D64F9" w:rsidP="008D64F9">
            <w:pPr>
              <w:pStyle w:val="BodyText"/>
              <w:rPr>
                <w:rtl/>
                <w:lang w:bidi="ar-LB"/>
              </w:rPr>
            </w:pPr>
            <w:r w:rsidRPr="008D64F9">
              <w:rPr>
                <w:rtl/>
                <w:lang w:bidi="ar-LB"/>
              </w:rPr>
              <w:t>... باستثناء مصنفات الفنون التطبيقية.</w:t>
            </w:r>
            <w:r w:rsidRPr="008D64F9">
              <w:rPr>
                <w:vertAlign w:val="superscript"/>
              </w:rPr>
              <w:footnoteReference w:id="55"/>
            </w:r>
          </w:p>
        </w:tc>
        <w:tc>
          <w:tcPr>
            <w:tcW w:w="2884" w:type="dxa"/>
          </w:tcPr>
          <w:p w14:paraId="415DF5CE" w14:textId="77777777" w:rsidR="008D64F9" w:rsidRPr="008D64F9" w:rsidRDefault="008D64F9">
            <w:pPr>
              <w:pStyle w:val="BodyText"/>
              <w:numPr>
                <w:ilvl w:val="0"/>
                <w:numId w:val="16"/>
              </w:numPr>
              <w:ind w:left="360"/>
              <w:rPr>
                <w:rtl/>
                <w:lang w:bidi="ar-LB"/>
              </w:rPr>
            </w:pPr>
            <w:r w:rsidRPr="008D64F9">
              <w:rPr>
                <w:rtl/>
                <w:lang w:bidi="ar-LB"/>
              </w:rPr>
              <w:t>يرجى الاطلاع أيضًا على الجدول 3 أعلاه.</w:t>
            </w:r>
          </w:p>
        </w:tc>
      </w:tr>
    </w:tbl>
    <w:p w14:paraId="66EFB8C1" w14:textId="77777777" w:rsidR="008D64F9" w:rsidRPr="008D64F9" w:rsidRDefault="008D64F9" w:rsidP="00534856">
      <w:pPr>
        <w:pStyle w:val="Heading2"/>
        <w:rPr>
          <w:rtl/>
        </w:rPr>
      </w:pPr>
      <w:r w:rsidRPr="008D64F9">
        <w:rPr>
          <w:rtl/>
        </w:rPr>
        <w:t>عمليات إعادة البيع التي يغطيها حق التتبع</w:t>
      </w:r>
    </w:p>
    <w:p w14:paraId="158FACDE" w14:textId="77777777" w:rsidR="008D64F9" w:rsidRPr="008D64F9" w:rsidRDefault="008D64F9" w:rsidP="00104ED0">
      <w:pPr>
        <w:pStyle w:val="ONUMA"/>
        <w:rPr>
          <w:rtl/>
          <w:lang w:bidi="ar-LB"/>
        </w:rPr>
      </w:pPr>
      <w:r w:rsidRPr="008D64F9">
        <w:rPr>
          <w:rtl/>
          <w:lang w:bidi="ar-LB"/>
        </w:rPr>
        <w:t>لا يغطي حق التتبع ولا يمكنه أن يغطي جميع عمليات إعادة البيع.</w:t>
      </w:r>
      <w:r w:rsidRPr="008D64F9">
        <w:rPr>
          <w:lang w:val="en-AU"/>
        </w:rPr>
        <w:t xml:space="preserve"> </w:t>
      </w:r>
      <w:r w:rsidRPr="008D64F9">
        <w:rPr>
          <w:rtl/>
          <w:lang w:bidi="ar-LB"/>
        </w:rPr>
        <w:t xml:space="preserve">ورغم أنه، من حيث المبدأ، يجب أن يغطي حق التتبع </w:t>
      </w:r>
      <w:r w:rsidRPr="008D64F9">
        <w:rPr>
          <w:u w:val="single"/>
          <w:rtl/>
          <w:lang w:bidi="ar-LB"/>
        </w:rPr>
        <w:t>جميع</w:t>
      </w:r>
      <w:r w:rsidRPr="008D64F9">
        <w:rPr>
          <w:rtl/>
          <w:lang w:bidi="ar-LB"/>
        </w:rPr>
        <w:t xml:space="preserve"> عمليات إعادة البيع بعد أول نقل للملكية من قبل الفنان، إلا أنه في الممارسة العملية قد يكون هذا مستحيلاً.</w:t>
      </w:r>
      <w:r w:rsidRPr="008D64F9">
        <w:rPr>
          <w:lang w:val="en-AU"/>
        </w:rPr>
        <w:t xml:space="preserve"> </w:t>
      </w:r>
      <w:r w:rsidRPr="008D64F9">
        <w:rPr>
          <w:rtl/>
          <w:lang w:bidi="ar-LB"/>
        </w:rPr>
        <w:t>وبشكل عام، تنطبق مخططات حق التتبع الوطنية عادةً فقط على عمليات إعادة البيع التي تتم من خلال وسيط، مثل وكيل أو معرض، ولا تغطي المخططات عمليات إعادة البيع الخاصة التي تحدث بين الأطراف المعنية.</w:t>
      </w:r>
      <w:r w:rsidRPr="008D64F9">
        <w:rPr>
          <w:lang w:val="en-AU"/>
        </w:rPr>
        <w:t xml:space="preserve"> </w:t>
      </w:r>
      <w:r w:rsidRPr="008D64F9">
        <w:rPr>
          <w:rtl/>
          <w:lang w:bidi="ar-LB"/>
        </w:rPr>
        <w:t>وقد يبدو سبب هذا الاستثناء واضحاً بما فيه الكفاية ــ الصعوبات اللوجستية التي تنشأ في تحديد وتتبع المعاملات الثنائية الخاصة (ويمكن هنا إجراء تشبيه بسيط بالحق الحصري في النقل، والذي يقتصر على النقل "إلى الجمهور").</w:t>
      </w:r>
      <w:r w:rsidRPr="008D64F9">
        <w:rPr>
          <w:lang w:val="en-AU"/>
        </w:rPr>
        <w:t xml:space="preserve"> </w:t>
      </w:r>
      <w:r w:rsidRPr="008D64F9">
        <w:rPr>
          <w:rtl/>
          <w:lang w:bidi="ar-LB"/>
        </w:rPr>
        <w:t>وبالتالي، يجب التمييز بشكل أساسي بين ما يحدث في العلن وما يحدث في الأروقة الخاصة.</w:t>
      </w:r>
      <w:r w:rsidRPr="008D64F9">
        <w:rPr>
          <w:lang w:val="en-AU"/>
        </w:rPr>
        <w:t xml:space="preserve"> </w:t>
      </w:r>
      <w:r w:rsidRPr="008D64F9">
        <w:rPr>
          <w:rtl/>
          <w:lang w:bidi="ar-LB"/>
        </w:rPr>
        <w:lastRenderedPageBreak/>
        <w:t>ولكن التمييز بين الحالتين هو أمر صعب، لا سيما أن استثناء المبيعات الخاصة في حالة حق التتبع قد يؤدي إلى عدم حصول الفنانين على أي دخل من مثل هذه المبيعات.</w:t>
      </w:r>
      <w:r w:rsidRPr="008D64F9">
        <w:rPr>
          <w:lang w:val="en-AU"/>
        </w:rPr>
        <w:t xml:space="preserve"> </w:t>
      </w:r>
      <w:r w:rsidRPr="008D64F9">
        <w:rPr>
          <w:rtl/>
          <w:lang w:bidi="ar-LB"/>
        </w:rPr>
        <w:t>وفي هذا الصدد، لا تقدم المادة 14(ثالثا) من اتفاقية برن أي إرشادات، وتشير فقط إلى "أي عملية بيع للمصنف بعد التنازل الأول من جانب المؤلف".</w:t>
      </w:r>
      <w:r w:rsidRPr="008D64F9">
        <w:rPr>
          <w:lang w:val="en-AU"/>
        </w:rPr>
        <w:t xml:space="preserve"> </w:t>
      </w:r>
      <w:r w:rsidRPr="008D64F9">
        <w:rPr>
          <w:rtl/>
          <w:lang w:bidi="ar-LB"/>
        </w:rPr>
        <w:t>ولذلك يجب أن تحدد القوانين الوطنية عمليات إعادة البيع التي ينطبق عليها حق التتبع وتلك التي لا ينطبق عليها.</w:t>
      </w:r>
      <w:r w:rsidRPr="008D64F9">
        <w:rPr>
          <w:lang w:val="en-AU"/>
        </w:rPr>
        <w:t xml:space="preserve"> </w:t>
      </w:r>
    </w:p>
    <w:p w14:paraId="20FD05B2" w14:textId="77777777" w:rsidR="008D64F9" w:rsidRPr="008D64F9" w:rsidRDefault="008D64F9" w:rsidP="00104ED0">
      <w:pPr>
        <w:pStyle w:val="ONUMA"/>
        <w:rPr>
          <w:rtl/>
          <w:lang w:bidi="ar-LB"/>
        </w:rPr>
      </w:pPr>
      <w:r w:rsidRPr="008D64F9">
        <w:rPr>
          <w:rtl/>
          <w:lang w:bidi="ar-LB"/>
        </w:rPr>
        <w:t>تركز بعض مخططات حق التتبع الوطنية على الوسيط أو المؤسسة المشاركة في عملية إعادة البيع باعتبارهما عامل اساسي لتحديد ما إذا كان حق التتبع ينطبق على عملية إعادة البيع هذه أم لا.</w:t>
      </w:r>
      <w:r w:rsidRPr="008D64F9">
        <w:rPr>
          <w:lang w:val="en-AU"/>
        </w:rPr>
        <w:t xml:space="preserve"> </w:t>
      </w:r>
      <w:r w:rsidRPr="008D64F9">
        <w:rPr>
          <w:rtl/>
          <w:lang w:bidi="ar-LB"/>
        </w:rPr>
        <w:t>وفي بعض الحالات، قد يعني هذا الإشارة إلى مشاركة بعض أنواع المؤسسات مثل صالة مبيعات أو معرض أو دار مزادات أو متحف.</w:t>
      </w:r>
      <w:r w:rsidRPr="008D64F9">
        <w:rPr>
          <w:lang w:val="en-AU"/>
        </w:rPr>
        <w:t xml:space="preserve"> </w:t>
      </w:r>
      <w:r w:rsidRPr="008D64F9">
        <w:rPr>
          <w:rtl/>
          <w:lang w:bidi="ar-LB"/>
        </w:rPr>
        <w:t>وفي حالات أخرى، يتم التركيز على الوسيط المشارك في إعادة البيع، والذي يشار إليه أحيانًا باسم "الجهة المتخصصة في سوق المصنفات الفنية"، أي الوكيل أو السمسار أو المفاوض.</w:t>
      </w:r>
      <w:r w:rsidRPr="008D64F9">
        <w:rPr>
          <w:lang w:val="en-AU"/>
        </w:rPr>
        <w:t xml:space="preserve"> </w:t>
      </w:r>
      <w:r w:rsidRPr="008D64F9">
        <w:rPr>
          <w:rtl/>
          <w:lang w:bidi="ar-LB"/>
        </w:rPr>
        <w:t>وفي بعض الحالات أخرى، يتم التركيز على الطابع التجاري لعملية إعادة البيع، علما أن مشاركة مثل هذه الجهة المتخصصة هي التي تضفي الطابع التجاري على عملية البيع هذه.</w:t>
      </w:r>
      <w:r w:rsidRPr="008D64F9">
        <w:rPr>
          <w:lang w:val="en-AU"/>
        </w:rPr>
        <w:t xml:space="preserve"> </w:t>
      </w:r>
      <w:r w:rsidRPr="008D64F9">
        <w:rPr>
          <w:rtl/>
          <w:lang w:bidi="ar-LB"/>
        </w:rPr>
        <w:t>فعلى سبيل المثال، يتم استخدام تعبير "إعادة البيع التجاري" في القانون الأسترالي لاستثناء المعاملات ذات الطبيعة الخاصة التي لا تشارك فيها "جهة متخصصة في سوق المصنفات الفنية"، وهو المصطلح الذي يتم تعريفه بعد ذلك بمزيد من التفصيل.</w:t>
      </w:r>
      <w:r w:rsidRPr="008D64F9">
        <w:rPr>
          <w:lang w:val="en-AU"/>
        </w:rPr>
        <w:t xml:space="preserve"> </w:t>
      </w:r>
      <w:r w:rsidRPr="008D64F9">
        <w:rPr>
          <w:rtl/>
          <w:lang w:bidi="ar-LB"/>
        </w:rPr>
        <w:t>ومن المسائل الأخرى التي قد تحتاج إلى توضيح هي ما إذا كانت عملية النقل الأول لملكية المصنف (من قبل الفنان) يجب أن تكون مقابل الحصول على مبلغ مالي أم لا، أي هل يغطي حق التتبع الحالات التي يقوم فيها الفنان بإعطاء المصنف (من دون أي مقابل مالي) للشخص الذي سيقوم بإعادة بيعه في وقت لاحق أو الحالات التي يقوم فيها الفنان بنقل ملكية المصنف مقابل فوائد أخرى مثل الحصول على مكان للإقامة أو خدمات أخرى.</w:t>
      </w:r>
      <w:r w:rsidRPr="008D64F9">
        <w:rPr>
          <w:lang w:val="en-AU"/>
        </w:rPr>
        <w:t xml:space="preserve"> </w:t>
      </w:r>
      <w:r w:rsidRPr="008D64F9">
        <w:rPr>
          <w:rtl/>
          <w:lang w:bidi="ar-LB"/>
        </w:rPr>
        <w:t xml:space="preserve">ومن حيث المبدأ، قد يعتقد البعض أن تعبير "النقل الأول للملكية" يشمل الحالات التي لا تتضمن مدفوعات نقدية، وهناك قانون وطني واحد على الأقل (في المملكة المتحدة) يوضح ذلك صراحة: يرجى الاطلاع على الجدول 5 أدناه.  </w:t>
      </w:r>
    </w:p>
    <w:p w14:paraId="42A8D955" w14:textId="77777777" w:rsidR="008D64F9" w:rsidRPr="008D64F9" w:rsidRDefault="008D64F9" w:rsidP="00104ED0">
      <w:pPr>
        <w:pStyle w:val="ONUMA"/>
        <w:rPr>
          <w:rtl/>
          <w:lang w:bidi="ar-LB"/>
        </w:rPr>
      </w:pPr>
      <w:r w:rsidRPr="008D64F9">
        <w:rPr>
          <w:rtl/>
          <w:lang w:bidi="ar-LB"/>
        </w:rPr>
        <w:t>وترد في الجدول أدناه بعض الأحكام النموذجية التي تعكس هذه الأساليب المختلفة في صياغة الأحكام.</w:t>
      </w:r>
    </w:p>
    <w:p w14:paraId="62A66246" w14:textId="77777777" w:rsidR="008D64F9" w:rsidRPr="008D64F9" w:rsidRDefault="008D64F9" w:rsidP="00104ED0">
      <w:pPr>
        <w:keepNext/>
        <w:spacing w:after="240"/>
        <w:rPr>
          <w:rFonts w:asciiTheme="minorHAnsi" w:hAnsiTheme="minorHAnsi" w:cstheme="minorHAnsi"/>
          <w:bCs/>
          <w:rtl/>
          <w:lang w:bidi="ar-LB"/>
        </w:rPr>
      </w:pPr>
      <w:r w:rsidRPr="008D64F9">
        <w:rPr>
          <w:rFonts w:asciiTheme="minorHAnsi" w:hAnsiTheme="minorHAnsi" w:cstheme="minorHAnsi"/>
          <w:bCs/>
          <w:rtl/>
          <w:lang w:bidi="ar-LB"/>
        </w:rPr>
        <w:t>الجدول 5</w:t>
      </w:r>
    </w:p>
    <w:tbl>
      <w:tblPr>
        <w:tblStyle w:val="TableGrid"/>
        <w:bidiVisual/>
        <w:tblW w:w="0" w:type="auto"/>
        <w:tblLook w:val="04A0" w:firstRow="1" w:lastRow="0" w:firstColumn="1" w:lastColumn="0" w:noHBand="0" w:noVBand="1"/>
      </w:tblPr>
      <w:tblGrid>
        <w:gridCol w:w="3003"/>
        <w:gridCol w:w="3003"/>
        <w:gridCol w:w="3004"/>
      </w:tblGrid>
      <w:tr w:rsidR="008D64F9" w:rsidRPr="00F25959" w14:paraId="3543E023" w14:textId="77777777" w:rsidTr="00104ED0">
        <w:tc>
          <w:tcPr>
            <w:tcW w:w="3003" w:type="dxa"/>
          </w:tcPr>
          <w:p w14:paraId="57A5DA1E" w14:textId="77777777" w:rsidR="008D64F9" w:rsidRPr="00F25959" w:rsidRDefault="008D64F9" w:rsidP="00104ED0">
            <w:pPr>
              <w:pStyle w:val="BodyText"/>
              <w:rPr>
                <w:rStyle w:val="b-stepstep-name"/>
                <w:b/>
                <w:bCs/>
                <w:sz w:val="20"/>
                <w:szCs w:val="20"/>
                <w:rtl/>
                <w:lang w:bidi="ar-LB"/>
              </w:rPr>
            </w:pPr>
            <w:r w:rsidRPr="00F25959">
              <w:rPr>
                <w:rStyle w:val="b-stepstep-name"/>
                <w:b/>
                <w:bCs/>
                <w:sz w:val="20"/>
                <w:szCs w:val="20"/>
                <w:rtl/>
                <w:lang w:bidi="ar-LB"/>
              </w:rPr>
              <w:t>نوع الحكم</w:t>
            </w:r>
          </w:p>
        </w:tc>
        <w:tc>
          <w:tcPr>
            <w:tcW w:w="3003" w:type="dxa"/>
          </w:tcPr>
          <w:p w14:paraId="10AD9CA6" w14:textId="77777777" w:rsidR="008D64F9" w:rsidRPr="00F25959" w:rsidRDefault="008D64F9" w:rsidP="00104ED0">
            <w:pPr>
              <w:pStyle w:val="BodyText"/>
              <w:rPr>
                <w:rStyle w:val="b-stepstep-name"/>
                <w:b/>
                <w:bCs/>
                <w:sz w:val="20"/>
                <w:szCs w:val="20"/>
                <w:rtl/>
                <w:lang w:bidi="ar-LB"/>
              </w:rPr>
            </w:pPr>
            <w:r w:rsidRPr="00F25959">
              <w:rPr>
                <w:rStyle w:val="b-stepstep-name"/>
                <w:b/>
                <w:bCs/>
                <w:sz w:val="20"/>
                <w:szCs w:val="20"/>
                <w:rtl/>
                <w:lang w:bidi="ar-LB"/>
              </w:rPr>
              <w:t>النص المقترح</w:t>
            </w:r>
          </w:p>
        </w:tc>
        <w:tc>
          <w:tcPr>
            <w:tcW w:w="3004" w:type="dxa"/>
          </w:tcPr>
          <w:p w14:paraId="6F5F476C" w14:textId="77777777" w:rsidR="008D64F9" w:rsidRPr="00F25959" w:rsidRDefault="008D64F9" w:rsidP="00104ED0">
            <w:pPr>
              <w:pStyle w:val="BodyText"/>
              <w:rPr>
                <w:rStyle w:val="b-stepstep-name"/>
                <w:b/>
                <w:bCs/>
                <w:sz w:val="20"/>
                <w:szCs w:val="20"/>
                <w:rtl/>
                <w:lang w:bidi="ar-LB"/>
              </w:rPr>
            </w:pPr>
            <w:r w:rsidRPr="00F25959">
              <w:rPr>
                <w:rStyle w:val="b-stepstep-name"/>
                <w:b/>
                <w:bCs/>
                <w:sz w:val="20"/>
                <w:szCs w:val="20"/>
                <w:rtl/>
                <w:lang w:bidi="ar-LB"/>
              </w:rPr>
              <w:t>تعليقات/ملاحظات</w:t>
            </w:r>
          </w:p>
        </w:tc>
      </w:tr>
      <w:tr w:rsidR="008D64F9" w:rsidRPr="00F25959" w14:paraId="660F899E" w14:textId="77777777" w:rsidTr="00104ED0">
        <w:tc>
          <w:tcPr>
            <w:tcW w:w="3003" w:type="dxa"/>
          </w:tcPr>
          <w:p w14:paraId="07FA79C2" w14:textId="77777777" w:rsidR="008D64F9" w:rsidRPr="00F25959" w:rsidRDefault="008D64F9" w:rsidP="00104ED0">
            <w:pPr>
              <w:pStyle w:val="BodyText"/>
              <w:rPr>
                <w:rStyle w:val="b-stepstep-name"/>
                <w:sz w:val="20"/>
                <w:szCs w:val="20"/>
                <w:rtl/>
                <w:lang w:bidi="ar-LB"/>
              </w:rPr>
            </w:pPr>
            <w:r w:rsidRPr="00F25959">
              <w:rPr>
                <w:rStyle w:val="b-stepstep-name"/>
                <w:sz w:val="20"/>
                <w:szCs w:val="20"/>
                <w:rtl/>
                <w:lang w:bidi="ar-LB"/>
              </w:rPr>
              <w:t>حكم عام (المفوضية الأوروبية)</w:t>
            </w:r>
          </w:p>
        </w:tc>
        <w:tc>
          <w:tcPr>
            <w:tcW w:w="3003" w:type="dxa"/>
          </w:tcPr>
          <w:p w14:paraId="2F1DAF31" w14:textId="77777777" w:rsidR="008D64F9" w:rsidRPr="00F25959" w:rsidRDefault="008D64F9" w:rsidP="00104ED0">
            <w:pPr>
              <w:pStyle w:val="BodyText"/>
              <w:rPr>
                <w:rStyle w:val="b-stepstep-name"/>
                <w:sz w:val="20"/>
                <w:szCs w:val="20"/>
                <w:rtl/>
                <w:lang w:bidi="ar-LB"/>
              </w:rPr>
            </w:pPr>
            <w:r w:rsidRPr="00F25959">
              <w:rPr>
                <w:rStyle w:val="b-stepstep-name"/>
                <w:sz w:val="20"/>
                <w:szCs w:val="20"/>
                <w:rtl/>
                <w:lang w:bidi="ar-LB"/>
              </w:rPr>
              <w:t>يسري الحق المشار إليه في الفقرة 1 [حق التتبع] على جميع عمليات إعادة البيع التي تشمل بائعين أو مشترين أو وسطاء متخصصين في سوق المصنفات الفنية، مثل صالات العرض والمعارض الفنية، وتجار المصنفات الفنية بشكل عام.</w:t>
            </w:r>
            <w:r w:rsidRPr="00F25959">
              <w:rPr>
                <w:rStyle w:val="b-stepstep-name"/>
                <w:sz w:val="20"/>
                <w:szCs w:val="20"/>
                <w:vertAlign w:val="superscript"/>
                <w:lang w:val="en-GB"/>
              </w:rPr>
              <w:footnoteReference w:id="56"/>
            </w:r>
          </w:p>
        </w:tc>
        <w:tc>
          <w:tcPr>
            <w:tcW w:w="3004" w:type="dxa"/>
          </w:tcPr>
          <w:p w14:paraId="20D6A89E" w14:textId="77777777" w:rsidR="008D64F9" w:rsidRPr="00F25959" w:rsidRDefault="008D64F9">
            <w:pPr>
              <w:pStyle w:val="BodyText"/>
              <w:numPr>
                <w:ilvl w:val="0"/>
                <w:numId w:val="16"/>
              </w:numPr>
              <w:ind w:left="360"/>
              <w:rPr>
                <w:rStyle w:val="b-stepstep-name"/>
                <w:sz w:val="20"/>
                <w:szCs w:val="20"/>
                <w:rtl/>
                <w:lang w:bidi="ar-LB"/>
              </w:rPr>
            </w:pPr>
            <w:r w:rsidRPr="00F25959">
              <w:rPr>
                <w:rStyle w:val="b-stepstep-name"/>
                <w:sz w:val="20"/>
                <w:szCs w:val="20"/>
                <w:rtl/>
                <w:lang w:bidi="ar-LB"/>
              </w:rPr>
              <w:t>يشير هذا الحكم إلى مؤسسات أو هيئات محددة ("صالات العرض، المعارض الفنية") ولكنه ينتهي بالمفهوم الأوسع نطاقا من خلال الإشارة إلى "تجار المصنفات الفنية"، وهي فئة واسعة النطاق.</w:t>
            </w:r>
            <w:r w:rsidRPr="00F25959">
              <w:rPr>
                <w:rStyle w:val="b-stepstep-name"/>
                <w:sz w:val="20"/>
                <w:szCs w:val="20"/>
                <w:lang w:val="en-AU"/>
              </w:rPr>
              <w:t xml:space="preserve"> </w:t>
            </w:r>
            <w:r w:rsidRPr="00F25959">
              <w:rPr>
                <w:rStyle w:val="b-stepstep-name"/>
                <w:sz w:val="20"/>
                <w:szCs w:val="20"/>
                <w:rtl/>
                <w:lang w:bidi="ar-LB"/>
              </w:rPr>
              <w:t xml:space="preserve">ومن الواضح أن هذا التعبير يشمل دُور المزادات والوسطاء الذين يقومون بترتيب عمليات إعادة البيع.   </w:t>
            </w:r>
          </w:p>
        </w:tc>
      </w:tr>
      <w:tr w:rsidR="008D64F9" w:rsidRPr="00F25959" w14:paraId="708E71D9" w14:textId="77777777" w:rsidTr="00104ED0">
        <w:tc>
          <w:tcPr>
            <w:tcW w:w="3003" w:type="dxa"/>
          </w:tcPr>
          <w:p w14:paraId="7D1F5287" w14:textId="77777777" w:rsidR="008D64F9" w:rsidRPr="00F25959" w:rsidRDefault="008D64F9" w:rsidP="00104ED0">
            <w:pPr>
              <w:pStyle w:val="BodyText"/>
              <w:rPr>
                <w:rStyle w:val="b-stepstep-name"/>
                <w:sz w:val="20"/>
                <w:szCs w:val="20"/>
                <w:rtl/>
                <w:lang w:bidi="ar-LB"/>
              </w:rPr>
            </w:pPr>
            <w:r w:rsidRPr="00F25959">
              <w:rPr>
                <w:rStyle w:val="b-stepstep-name"/>
                <w:sz w:val="20"/>
                <w:szCs w:val="20"/>
                <w:rtl/>
                <w:lang w:bidi="ar-LB"/>
              </w:rPr>
              <w:t>حكم مفصل (أستراليا)</w:t>
            </w:r>
          </w:p>
        </w:tc>
        <w:tc>
          <w:tcPr>
            <w:tcW w:w="3003" w:type="dxa"/>
          </w:tcPr>
          <w:p w14:paraId="35AE06F8" w14:textId="77777777" w:rsidR="008D64F9" w:rsidRPr="00F25959" w:rsidRDefault="008D64F9" w:rsidP="00104ED0">
            <w:pPr>
              <w:pStyle w:val="BodyText"/>
              <w:rPr>
                <w:rStyle w:val="b-stepstep-name"/>
                <w:sz w:val="20"/>
                <w:szCs w:val="20"/>
                <w:rtl/>
                <w:lang w:bidi="ar-LB"/>
              </w:rPr>
            </w:pPr>
            <w:r w:rsidRPr="00F25959">
              <w:rPr>
                <w:rStyle w:val="b-stepstep-name"/>
                <w:sz w:val="20"/>
                <w:szCs w:val="20"/>
                <w:rtl/>
                <w:lang w:bidi="ar-LB"/>
              </w:rPr>
              <w:t>8 ما المقصود بإعادة البيع التجاري للمصنف الفني؟</w:t>
            </w:r>
          </w:p>
          <w:p w14:paraId="704E30BB" w14:textId="77777777" w:rsidR="008D64F9" w:rsidRPr="00F25959" w:rsidRDefault="008D64F9" w:rsidP="00104ED0">
            <w:pPr>
              <w:pStyle w:val="BodyText"/>
              <w:rPr>
                <w:rStyle w:val="b-stepstep-name"/>
                <w:sz w:val="20"/>
                <w:szCs w:val="20"/>
                <w:rtl/>
                <w:lang w:bidi="ar-LB"/>
              </w:rPr>
            </w:pPr>
            <w:r w:rsidRPr="00F25959">
              <w:rPr>
                <w:rStyle w:val="b-stepstep-name"/>
                <w:sz w:val="20"/>
                <w:szCs w:val="20"/>
                <w:rtl/>
                <w:lang w:bidi="ar-LB"/>
              </w:rPr>
              <w:t>(1) تعد عملية إعادة البيع للمصنف الفني عملية إعادة بيع تجاري إذا:</w:t>
            </w:r>
          </w:p>
          <w:p w14:paraId="02B07192" w14:textId="77777777" w:rsidR="008D64F9" w:rsidRPr="00F25959" w:rsidRDefault="008D64F9" w:rsidP="00104ED0">
            <w:pPr>
              <w:pStyle w:val="BodyText"/>
              <w:rPr>
                <w:rStyle w:val="b-stepstep-name"/>
                <w:sz w:val="20"/>
                <w:szCs w:val="20"/>
                <w:rtl/>
                <w:lang w:bidi="ar-LB"/>
              </w:rPr>
            </w:pPr>
            <w:r w:rsidRPr="00F25959">
              <w:rPr>
                <w:rStyle w:val="b-stepstep-name"/>
                <w:sz w:val="20"/>
                <w:szCs w:val="20"/>
                <w:rtl/>
                <w:lang w:bidi="ar-LB"/>
              </w:rPr>
              <w:t>(أ) تنتقل ملكية المصنف الفني من شخص</w:t>
            </w:r>
          </w:p>
          <w:p w14:paraId="4601966D" w14:textId="77777777" w:rsidR="008D64F9" w:rsidRPr="00F25959" w:rsidRDefault="008D64F9" w:rsidP="00104ED0">
            <w:pPr>
              <w:pStyle w:val="BodyText"/>
              <w:rPr>
                <w:rStyle w:val="b-stepstep-name"/>
                <w:sz w:val="20"/>
                <w:szCs w:val="20"/>
                <w:rtl/>
                <w:lang w:bidi="ar-LB"/>
              </w:rPr>
            </w:pPr>
            <w:r w:rsidRPr="00F25959">
              <w:rPr>
                <w:rStyle w:val="b-stepstep-name"/>
                <w:sz w:val="20"/>
                <w:szCs w:val="20"/>
                <w:rtl/>
                <w:lang w:bidi="ar-LB"/>
              </w:rPr>
              <w:t>إلى آخر مقابل مبلغ مالي؛</w:t>
            </w:r>
          </w:p>
          <w:p w14:paraId="45F4A9C4" w14:textId="77777777" w:rsidR="008D64F9" w:rsidRPr="00F25959" w:rsidRDefault="008D64F9" w:rsidP="00104ED0">
            <w:pPr>
              <w:pStyle w:val="BodyText"/>
              <w:rPr>
                <w:rStyle w:val="b-stepstep-name"/>
                <w:sz w:val="20"/>
                <w:szCs w:val="20"/>
                <w:rtl/>
                <w:lang w:bidi="ar-LB"/>
              </w:rPr>
            </w:pPr>
            <w:r w:rsidRPr="00F25959">
              <w:rPr>
                <w:rStyle w:val="b-stepstep-name"/>
                <w:sz w:val="20"/>
                <w:szCs w:val="20"/>
                <w:rtl/>
                <w:lang w:bidi="ar-LB"/>
              </w:rPr>
              <w:t>و(ب) عملية النقل لملكية المصنف الفني ليست عملية النقل الأولى لملكيته؛</w:t>
            </w:r>
          </w:p>
          <w:p w14:paraId="5621B0B3" w14:textId="77777777" w:rsidR="008D64F9" w:rsidRPr="00F25959" w:rsidRDefault="008D64F9" w:rsidP="00104ED0">
            <w:pPr>
              <w:pStyle w:val="BodyText"/>
              <w:rPr>
                <w:rStyle w:val="b-stepstep-name"/>
                <w:sz w:val="20"/>
                <w:szCs w:val="20"/>
                <w:rtl/>
                <w:lang w:bidi="ar-LB"/>
              </w:rPr>
            </w:pPr>
            <w:r w:rsidRPr="00F25959">
              <w:rPr>
                <w:rStyle w:val="b-stepstep-name"/>
                <w:sz w:val="20"/>
                <w:szCs w:val="20"/>
                <w:rtl/>
                <w:lang w:bidi="ar-LB"/>
              </w:rPr>
              <w:t>و(ج) عملية النقل ليست ضمن أي فئة مستثناة.</w:t>
            </w:r>
          </w:p>
          <w:p w14:paraId="65849D77" w14:textId="77777777" w:rsidR="008D64F9" w:rsidRPr="00F25959" w:rsidRDefault="008D64F9" w:rsidP="00104ED0">
            <w:pPr>
              <w:pStyle w:val="BodyText"/>
              <w:rPr>
                <w:rStyle w:val="b-stepstep-name"/>
                <w:sz w:val="20"/>
                <w:szCs w:val="20"/>
                <w:rtl/>
                <w:lang w:bidi="ar-LB"/>
              </w:rPr>
            </w:pPr>
            <w:r w:rsidRPr="00F25959">
              <w:rPr>
                <w:rStyle w:val="b-stepstep-name"/>
                <w:sz w:val="20"/>
                <w:szCs w:val="20"/>
                <w:rtl/>
                <w:lang w:bidi="ar-LB"/>
              </w:rPr>
              <w:lastRenderedPageBreak/>
              <w:t>(2) كل عملية نقل لملكية المصنف الفني من شخص إلى آخر تتم من دون جهة متخصصة في سوق المصنفات الفنية، تعد ضمن فئة عمليات النقل المستثناة.</w:t>
            </w:r>
          </w:p>
          <w:p w14:paraId="2B99C14A" w14:textId="77777777" w:rsidR="008D64F9" w:rsidRPr="00F25959" w:rsidRDefault="008D64F9" w:rsidP="00104ED0">
            <w:pPr>
              <w:pStyle w:val="BodyText"/>
              <w:rPr>
                <w:rStyle w:val="b-stepstep-name"/>
                <w:sz w:val="20"/>
                <w:szCs w:val="20"/>
                <w:rtl/>
                <w:lang w:bidi="ar-LB"/>
              </w:rPr>
            </w:pPr>
            <w:r w:rsidRPr="00F25959">
              <w:rPr>
                <w:rStyle w:val="b-stepstep-name"/>
                <w:sz w:val="20"/>
                <w:szCs w:val="20"/>
                <w:rtl/>
                <w:lang w:bidi="ar-LB"/>
              </w:rPr>
              <w:t>(3) المقصود من جهة متخصصة في سوق المصنفات الفنية:</w:t>
            </w:r>
          </w:p>
          <w:p w14:paraId="4498EC4E" w14:textId="77777777" w:rsidR="008D64F9" w:rsidRPr="00F25959" w:rsidRDefault="008D64F9" w:rsidP="00104ED0">
            <w:pPr>
              <w:pStyle w:val="BodyText"/>
              <w:rPr>
                <w:rStyle w:val="b-stepstep-name"/>
                <w:sz w:val="20"/>
                <w:szCs w:val="20"/>
                <w:rtl/>
                <w:lang w:bidi="ar-LB"/>
              </w:rPr>
            </w:pPr>
            <w:r w:rsidRPr="00F25959">
              <w:rPr>
                <w:rStyle w:val="b-stepstep-name"/>
                <w:sz w:val="20"/>
                <w:szCs w:val="20"/>
                <w:rtl/>
                <w:lang w:bidi="ar-LB"/>
              </w:rPr>
              <w:t>(أ) بائع بالمزاد العلني؛ أو</w:t>
            </w:r>
          </w:p>
          <w:p w14:paraId="39AE3D8F" w14:textId="77777777" w:rsidR="008D64F9" w:rsidRPr="00F25959" w:rsidRDefault="008D64F9" w:rsidP="00104ED0">
            <w:pPr>
              <w:pStyle w:val="BodyText"/>
              <w:rPr>
                <w:rStyle w:val="b-stepstep-name"/>
                <w:sz w:val="20"/>
                <w:szCs w:val="20"/>
                <w:rtl/>
                <w:lang w:bidi="ar-LB"/>
              </w:rPr>
            </w:pPr>
            <w:r w:rsidRPr="00F25959">
              <w:rPr>
                <w:rStyle w:val="b-stepstep-name"/>
                <w:sz w:val="20"/>
                <w:szCs w:val="20"/>
                <w:rtl/>
                <w:lang w:bidi="ar-LB"/>
              </w:rPr>
              <w:t>(ب) مالك أو مشغل معرض فني؛ أو</w:t>
            </w:r>
          </w:p>
          <w:p w14:paraId="6C7C6CE4" w14:textId="77777777" w:rsidR="008D64F9" w:rsidRPr="00F25959" w:rsidRDefault="008D64F9" w:rsidP="00104ED0">
            <w:pPr>
              <w:pStyle w:val="BodyText"/>
              <w:rPr>
                <w:rStyle w:val="b-stepstep-name"/>
                <w:sz w:val="20"/>
                <w:szCs w:val="20"/>
                <w:rtl/>
                <w:lang w:bidi="ar-LB"/>
              </w:rPr>
            </w:pPr>
            <w:r w:rsidRPr="00F25959">
              <w:rPr>
                <w:rStyle w:val="b-stepstep-name"/>
                <w:sz w:val="20"/>
                <w:szCs w:val="20"/>
                <w:rtl/>
                <w:lang w:bidi="ar-LB"/>
              </w:rPr>
              <w:t>(ج) مالك أو مشغل أحد المتاحف؛ أو</w:t>
            </w:r>
          </w:p>
          <w:p w14:paraId="7C6A4DC7" w14:textId="77777777" w:rsidR="008D64F9" w:rsidRPr="00F25959" w:rsidRDefault="008D64F9" w:rsidP="00104ED0">
            <w:pPr>
              <w:pStyle w:val="BodyText"/>
              <w:rPr>
                <w:rStyle w:val="b-stepstep-name"/>
                <w:sz w:val="20"/>
                <w:szCs w:val="20"/>
                <w:rtl/>
                <w:lang w:bidi="ar-LB"/>
              </w:rPr>
            </w:pPr>
            <w:r w:rsidRPr="00F25959">
              <w:rPr>
                <w:rStyle w:val="b-stepstep-name"/>
                <w:sz w:val="20"/>
                <w:szCs w:val="20"/>
                <w:rtl/>
                <w:lang w:bidi="ar-LB"/>
              </w:rPr>
              <w:t>(د) تاجر متخصص في المصنفات الفنية؛ أو</w:t>
            </w:r>
          </w:p>
          <w:p w14:paraId="1536BB50" w14:textId="77777777" w:rsidR="008D64F9" w:rsidRPr="00F25959" w:rsidRDefault="008D64F9" w:rsidP="00104ED0">
            <w:pPr>
              <w:pStyle w:val="BodyText"/>
              <w:rPr>
                <w:rStyle w:val="b-stepstep-name"/>
                <w:sz w:val="20"/>
                <w:szCs w:val="20"/>
                <w:rtl/>
                <w:lang w:bidi="ar-LB"/>
              </w:rPr>
            </w:pPr>
            <w:r w:rsidRPr="00F25959">
              <w:rPr>
                <w:rStyle w:val="b-stepstep-name"/>
                <w:sz w:val="20"/>
                <w:szCs w:val="20"/>
                <w:rtl/>
                <w:lang w:bidi="ar-LB"/>
              </w:rPr>
              <w:t>(هـ) أي شخص آخر منخرط في تجارة المصنفات الفنية.</w:t>
            </w:r>
            <w:r w:rsidRPr="00F25959">
              <w:rPr>
                <w:rStyle w:val="b-stepstep-name"/>
                <w:sz w:val="20"/>
                <w:szCs w:val="20"/>
                <w:vertAlign w:val="superscript"/>
                <w:lang w:val="en-GB"/>
              </w:rPr>
              <w:footnoteReference w:id="57"/>
            </w:r>
          </w:p>
        </w:tc>
        <w:tc>
          <w:tcPr>
            <w:tcW w:w="3004" w:type="dxa"/>
          </w:tcPr>
          <w:p w14:paraId="6FBCB4D1" w14:textId="77777777" w:rsidR="008D64F9" w:rsidRPr="00F25959" w:rsidRDefault="008D64F9">
            <w:pPr>
              <w:pStyle w:val="BodyText"/>
              <w:numPr>
                <w:ilvl w:val="0"/>
                <w:numId w:val="16"/>
              </w:numPr>
              <w:ind w:left="360"/>
              <w:rPr>
                <w:rStyle w:val="b-stepstep-name"/>
                <w:sz w:val="20"/>
                <w:szCs w:val="20"/>
                <w:rtl/>
                <w:lang w:bidi="ar-LB"/>
              </w:rPr>
            </w:pPr>
            <w:r w:rsidRPr="00F25959">
              <w:rPr>
                <w:rStyle w:val="b-stepstep-name"/>
                <w:sz w:val="20"/>
                <w:szCs w:val="20"/>
                <w:rtl/>
                <w:lang w:bidi="ar-LB"/>
              </w:rPr>
              <w:lastRenderedPageBreak/>
              <w:t>يحدد مصطلح "إعادة البيع التجاري" طبيعة حق التتبع بشكل واضح، ويصف هذا الحكم عملية إعادة البيع بشكل أكثر دقة.</w:t>
            </w:r>
          </w:p>
          <w:p w14:paraId="35719E14" w14:textId="77777777" w:rsidR="008D64F9" w:rsidRPr="00F25959" w:rsidRDefault="008D64F9">
            <w:pPr>
              <w:pStyle w:val="BodyText"/>
              <w:numPr>
                <w:ilvl w:val="0"/>
                <w:numId w:val="16"/>
              </w:numPr>
              <w:ind w:left="360"/>
              <w:rPr>
                <w:rStyle w:val="b-stepstep-name"/>
                <w:sz w:val="20"/>
                <w:szCs w:val="20"/>
                <w:rtl/>
                <w:lang w:bidi="ar-LB"/>
              </w:rPr>
            </w:pPr>
            <w:r w:rsidRPr="00F25959">
              <w:rPr>
                <w:rStyle w:val="b-stepstep-name"/>
                <w:sz w:val="20"/>
                <w:szCs w:val="20"/>
                <w:rtl/>
                <w:lang w:bidi="ar-LB"/>
              </w:rPr>
              <w:t>ثم يقوم الحكم بتعريف الطبيعة القانونية لـ "إعادة البيع التجاري" بعبارات أكثر دقة، باعتباره ينطوي على نقل الملكية مقابل المال أو ما يعادله.</w:t>
            </w:r>
            <w:r w:rsidRPr="00F25959">
              <w:rPr>
                <w:rStyle w:val="b-stepstep-name"/>
                <w:sz w:val="20"/>
                <w:szCs w:val="20"/>
                <w:lang w:val="en-AU"/>
              </w:rPr>
              <w:t xml:space="preserve"> </w:t>
            </w:r>
          </w:p>
          <w:p w14:paraId="62CA2B52" w14:textId="723C82D7" w:rsidR="008D64F9" w:rsidRPr="00F25959" w:rsidRDefault="00534856">
            <w:pPr>
              <w:pStyle w:val="BodyText"/>
              <w:numPr>
                <w:ilvl w:val="0"/>
                <w:numId w:val="16"/>
              </w:numPr>
              <w:ind w:left="360"/>
              <w:rPr>
                <w:rStyle w:val="b-stepstep-name"/>
                <w:sz w:val="20"/>
                <w:szCs w:val="20"/>
                <w:rtl/>
                <w:lang w:bidi="ar-LB"/>
              </w:rPr>
            </w:pPr>
            <w:r>
              <w:rPr>
                <w:rStyle w:val="b-stepstep-name"/>
                <w:rFonts w:hint="cs"/>
                <w:sz w:val="20"/>
                <w:szCs w:val="20"/>
                <w:rtl/>
                <w:lang w:val="fr-CH" w:bidi="ar-SY"/>
              </w:rPr>
              <w:t>ت</w:t>
            </w:r>
            <w:r w:rsidR="008D64F9" w:rsidRPr="00F25959">
              <w:rPr>
                <w:rStyle w:val="b-stepstep-name"/>
                <w:sz w:val="20"/>
                <w:szCs w:val="20"/>
                <w:rtl/>
                <w:lang w:bidi="ar-LB"/>
              </w:rPr>
              <w:t>شير عبارة "الفئة المستثناة" إلى فئات المصنفات المستثناة من حق التتبع بموجب المادة 9 من قانون حق التتبع (يرجى الاطلاع على الجدول 4).</w:t>
            </w:r>
          </w:p>
          <w:p w14:paraId="1ABED4F1" w14:textId="77777777" w:rsidR="008D64F9" w:rsidRPr="00F25959" w:rsidRDefault="008D64F9">
            <w:pPr>
              <w:pStyle w:val="BodyText"/>
              <w:numPr>
                <w:ilvl w:val="0"/>
                <w:numId w:val="16"/>
              </w:numPr>
              <w:ind w:left="360"/>
              <w:rPr>
                <w:rStyle w:val="b-stepstep-name"/>
                <w:sz w:val="20"/>
                <w:szCs w:val="20"/>
                <w:rtl/>
                <w:lang w:bidi="ar-LB"/>
              </w:rPr>
            </w:pPr>
            <w:r w:rsidRPr="00F25959">
              <w:rPr>
                <w:rStyle w:val="b-stepstep-name"/>
                <w:sz w:val="20"/>
                <w:szCs w:val="20"/>
                <w:rtl/>
                <w:lang w:bidi="ar-LB"/>
              </w:rPr>
              <w:lastRenderedPageBreak/>
              <w:t>مشاركة "جهة متخصصة في سوق المصنفات الفنية" يعطي المعاملة التي ينطبق عليها حق التتبع طابع "إعادة البيع التجاري" ويستثني المعاملات الخاصة بين الأطراف.</w:t>
            </w:r>
            <w:r w:rsidRPr="00F25959">
              <w:rPr>
                <w:rStyle w:val="b-stepstep-name"/>
                <w:sz w:val="20"/>
                <w:szCs w:val="20"/>
                <w:lang w:val="en-AU"/>
              </w:rPr>
              <w:t xml:space="preserve"> </w:t>
            </w:r>
          </w:p>
          <w:p w14:paraId="25FBD99A" w14:textId="77777777" w:rsidR="008D64F9" w:rsidRPr="00F25959" w:rsidRDefault="008D64F9">
            <w:pPr>
              <w:pStyle w:val="BodyText"/>
              <w:numPr>
                <w:ilvl w:val="0"/>
                <w:numId w:val="16"/>
              </w:numPr>
              <w:ind w:left="360"/>
              <w:rPr>
                <w:rStyle w:val="b-stepstep-name"/>
                <w:sz w:val="20"/>
                <w:szCs w:val="20"/>
                <w:rtl/>
                <w:lang w:bidi="ar-LB"/>
              </w:rPr>
            </w:pPr>
            <w:r w:rsidRPr="00F25959">
              <w:rPr>
                <w:rStyle w:val="b-stepstep-name"/>
                <w:sz w:val="20"/>
                <w:szCs w:val="20"/>
                <w:rtl/>
                <w:lang w:bidi="ar-LB"/>
              </w:rPr>
              <w:t>ويتم تعريف تعبير "الجهة المتخصصة في سوق المصنفات الفنية" باستخدام مصطلحات مماثلة لتوجيه المفوضية الأوروبية (انظر أعلاه).</w:t>
            </w:r>
          </w:p>
          <w:p w14:paraId="49D7A2D4" w14:textId="77777777" w:rsidR="008D64F9" w:rsidRPr="00F25959" w:rsidRDefault="008D64F9">
            <w:pPr>
              <w:pStyle w:val="BodyText"/>
              <w:numPr>
                <w:ilvl w:val="0"/>
                <w:numId w:val="16"/>
              </w:numPr>
              <w:ind w:left="360"/>
              <w:rPr>
                <w:rStyle w:val="b-stepstep-name"/>
                <w:sz w:val="20"/>
                <w:szCs w:val="20"/>
                <w:rtl/>
                <w:lang w:bidi="ar-LB"/>
              </w:rPr>
            </w:pPr>
            <w:r w:rsidRPr="00F25959">
              <w:rPr>
                <w:rStyle w:val="b-stepstep-name"/>
                <w:sz w:val="20"/>
                <w:szCs w:val="20"/>
                <w:rtl/>
                <w:lang w:bidi="ar-LB"/>
              </w:rPr>
              <w:t>تحدد الفقرتان الفرعيتان (د) و(هـ) من التعريف فئات عامة لتغطية الجهات المنخرطة في تجارة المصنفات الفنية التي لا تنتمي إلى الفئات الأكثر شيوعًا (مثل بائعي المزاد العلني أو المعارض أو المتاحف).</w:t>
            </w:r>
          </w:p>
        </w:tc>
      </w:tr>
      <w:tr w:rsidR="008D64F9" w:rsidRPr="00F25959" w14:paraId="2DAD1566" w14:textId="77777777" w:rsidTr="00104ED0">
        <w:tc>
          <w:tcPr>
            <w:tcW w:w="3003" w:type="dxa"/>
          </w:tcPr>
          <w:p w14:paraId="23B27749" w14:textId="77777777" w:rsidR="008D64F9" w:rsidRPr="00F25959" w:rsidRDefault="008D64F9" w:rsidP="00104ED0">
            <w:pPr>
              <w:pStyle w:val="BodyText"/>
              <w:rPr>
                <w:rStyle w:val="b-stepstep-name"/>
                <w:sz w:val="20"/>
                <w:szCs w:val="20"/>
                <w:rtl/>
                <w:lang w:bidi="ar-LB"/>
              </w:rPr>
            </w:pPr>
            <w:r w:rsidRPr="00F25959">
              <w:rPr>
                <w:rStyle w:val="b-stepstep-name"/>
                <w:sz w:val="20"/>
                <w:szCs w:val="20"/>
                <w:rtl/>
                <w:lang w:bidi="ar-LB"/>
              </w:rPr>
              <w:lastRenderedPageBreak/>
              <w:t>بعض التعاريف المفيدة (كينيا وملاوي)</w:t>
            </w:r>
          </w:p>
        </w:tc>
        <w:tc>
          <w:tcPr>
            <w:tcW w:w="3003" w:type="dxa"/>
          </w:tcPr>
          <w:p w14:paraId="10970344" w14:textId="77777777" w:rsidR="008D64F9" w:rsidRPr="00F25959" w:rsidRDefault="008D64F9" w:rsidP="00104ED0">
            <w:pPr>
              <w:pStyle w:val="BodyText"/>
              <w:rPr>
                <w:rStyle w:val="b-stepstep-name"/>
                <w:sz w:val="20"/>
                <w:szCs w:val="20"/>
                <w:rtl/>
                <w:lang w:bidi="ar-LB"/>
              </w:rPr>
            </w:pPr>
            <w:r w:rsidRPr="00F25959">
              <w:rPr>
                <w:rStyle w:val="b-stepstep-name"/>
                <w:sz w:val="20"/>
                <w:szCs w:val="20"/>
                <w:rtl/>
                <w:lang w:bidi="ar-LB"/>
              </w:rPr>
              <w:t>"الجهة المتخصصة في سوق المصنفات الفنية" - يشمل هذا المصطلح ما يلي: بائع بالمزاد العلني، أو</w:t>
            </w:r>
            <w:r w:rsidRPr="00F25959">
              <w:rPr>
                <w:rStyle w:val="b-stepstep-name"/>
                <w:sz w:val="20"/>
                <w:szCs w:val="20"/>
              </w:rPr>
              <w:t xml:space="preserve"> </w:t>
            </w:r>
            <w:r w:rsidRPr="00F25959">
              <w:rPr>
                <w:rStyle w:val="b-stepstep-name"/>
                <w:sz w:val="20"/>
                <w:szCs w:val="20"/>
                <w:rtl/>
                <w:lang w:bidi="ar-LB"/>
              </w:rPr>
              <w:t>مالك أو مشغل معرض أو متحف، أو تاجر متخصص في المصنفات الفنية أو أي شخص آخر منخرط في تجارة المصنفات الفنية؛</w:t>
            </w:r>
          </w:p>
          <w:p w14:paraId="0C64EFB8" w14:textId="77777777" w:rsidR="008D64F9" w:rsidRPr="00F25959" w:rsidRDefault="008D64F9" w:rsidP="00104ED0">
            <w:pPr>
              <w:pStyle w:val="BodyText"/>
              <w:rPr>
                <w:rStyle w:val="b-stepstep-name"/>
                <w:sz w:val="20"/>
                <w:szCs w:val="20"/>
                <w:lang w:val="en-GB"/>
              </w:rPr>
            </w:pPr>
          </w:p>
          <w:p w14:paraId="174D192C" w14:textId="77777777" w:rsidR="008D64F9" w:rsidRPr="00F25959" w:rsidRDefault="008D64F9" w:rsidP="00104ED0">
            <w:pPr>
              <w:pStyle w:val="BodyText"/>
              <w:rPr>
                <w:rStyle w:val="b-stepstep-name"/>
                <w:sz w:val="20"/>
                <w:szCs w:val="20"/>
                <w:rtl/>
                <w:lang w:bidi="ar-LB"/>
              </w:rPr>
            </w:pPr>
            <w:r w:rsidRPr="00F25959">
              <w:rPr>
                <w:rStyle w:val="b-stepstep-name"/>
                <w:sz w:val="20"/>
                <w:szCs w:val="20"/>
                <w:rtl/>
                <w:lang w:bidi="ar-LB"/>
              </w:rPr>
              <w:t>"إعادة البيع التجاري" - أي عملية إعادة نقل لملكية المصنف الفني من شخص إلى آخر، تتم بعد أول نقل لهذه الملكية، وذلك مقابل مبلغ مالي وبمشاركة إحدى الجهات المتخصصة في سوق المصنفات الفنية؛</w:t>
            </w:r>
          </w:p>
          <w:p w14:paraId="03CB70B9" w14:textId="77777777" w:rsidR="008D64F9" w:rsidRPr="00F25959" w:rsidRDefault="008D64F9" w:rsidP="00104ED0">
            <w:pPr>
              <w:pStyle w:val="BodyText"/>
              <w:rPr>
                <w:rStyle w:val="b-stepstep-name"/>
                <w:sz w:val="20"/>
                <w:szCs w:val="20"/>
                <w:lang w:val="en-GB"/>
              </w:rPr>
            </w:pPr>
          </w:p>
          <w:p w14:paraId="2EB0247A" w14:textId="77777777" w:rsidR="008D64F9" w:rsidRPr="00F25959" w:rsidRDefault="008D64F9" w:rsidP="00104ED0">
            <w:pPr>
              <w:pStyle w:val="BodyText"/>
              <w:rPr>
                <w:rStyle w:val="b-stepstep-name"/>
                <w:sz w:val="20"/>
                <w:szCs w:val="20"/>
                <w:rtl/>
                <w:lang w:bidi="ar-LB"/>
              </w:rPr>
            </w:pPr>
            <w:r w:rsidRPr="00F25959">
              <w:rPr>
                <w:rStyle w:val="b-stepstep-name"/>
                <w:sz w:val="20"/>
                <w:szCs w:val="20"/>
                <w:rtl/>
                <w:lang w:bidi="ar-LB"/>
              </w:rPr>
              <w:t>"حق التتبع" - حق الفنان أو مجموعة من الفنانين أو خلفائهم في الحصول على إتاوة حق التتبع عند إعادة البيع التجاري للمصنف الفني؛</w:t>
            </w:r>
            <w:r w:rsidRPr="00F25959">
              <w:rPr>
                <w:rStyle w:val="b-stepstep-name"/>
                <w:sz w:val="20"/>
                <w:szCs w:val="20"/>
                <w:vertAlign w:val="superscript"/>
                <w:lang w:val="en-GB"/>
              </w:rPr>
              <w:footnoteReference w:id="58"/>
            </w:r>
          </w:p>
          <w:p w14:paraId="367429CC" w14:textId="77777777" w:rsidR="008D64F9" w:rsidRPr="00F25959" w:rsidRDefault="008D64F9" w:rsidP="00104ED0">
            <w:pPr>
              <w:pStyle w:val="BodyText"/>
              <w:rPr>
                <w:rStyle w:val="b-stepstep-name"/>
                <w:sz w:val="20"/>
                <w:szCs w:val="20"/>
                <w:lang w:val="en-GB"/>
              </w:rPr>
            </w:pPr>
          </w:p>
          <w:p w14:paraId="217449E8" w14:textId="77777777" w:rsidR="008D64F9" w:rsidRPr="00F25959" w:rsidRDefault="008D64F9" w:rsidP="00104ED0">
            <w:pPr>
              <w:pStyle w:val="BodyText"/>
              <w:rPr>
                <w:rStyle w:val="b-stepstep-name"/>
                <w:sz w:val="20"/>
                <w:szCs w:val="20"/>
                <w:rtl/>
                <w:lang w:bidi="ar-LB"/>
              </w:rPr>
            </w:pPr>
            <w:r w:rsidRPr="00F25959">
              <w:rPr>
                <w:rStyle w:val="b-stepstep-name"/>
                <w:sz w:val="20"/>
                <w:szCs w:val="20"/>
                <w:rtl/>
                <w:lang w:bidi="ar-LB"/>
              </w:rPr>
              <w:t>"المؤلف" هو __</w:t>
            </w:r>
            <w:r w:rsidRPr="00F25959">
              <w:rPr>
                <w:rStyle w:val="b-stepstep-name"/>
                <w:sz w:val="20"/>
                <w:szCs w:val="20"/>
                <w:lang w:val="en-GB"/>
              </w:rPr>
              <w:t xml:space="preserve"> </w:t>
            </w:r>
          </w:p>
          <w:p w14:paraId="0544181C" w14:textId="77777777" w:rsidR="008D64F9" w:rsidRPr="00F25959" w:rsidDel="00EF0D3E" w:rsidRDefault="008D64F9" w:rsidP="00104ED0">
            <w:pPr>
              <w:pStyle w:val="BodyText"/>
              <w:rPr>
                <w:rStyle w:val="b-stepstep-name"/>
                <w:sz w:val="20"/>
                <w:szCs w:val="20"/>
                <w:rtl/>
                <w:lang w:bidi="ar-LB"/>
              </w:rPr>
            </w:pPr>
            <w:r w:rsidRPr="00F25959">
              <w:rPr>
                <w:rStyle w:val="b-stepstep-name"/>
                <w:sz w:val="20"/>
                <w:szCs w:val="20"/>
                <w:rtl/>
                <w:lang w:bidi="ar-LB"/>
              </w:rPr>
              <w:t>(أ)  إذا لم يكن المصنف من مصنفات الوسائط السمعية والبصرية، الشخص الذي أنشأ المصنف؛ أو ...</w:t>
            </w:r>
            <w:r w:rsidRPr="00F25959">
              <w:rPr>
                <w:rStyle w:val="b-stepstep-name"/>
                <w:sz w:val="20"/>
                <w:szCs w:val="20"/>
                <w:vertAlign w:val="superscript"/>
                <w:lang w:val="en-GB"/>
              </w:rPr>
              <w:footnoteReference w:id="59"/>
            </w:r>
          </w:p>
        </w:tc>
        <w:tc>
          <w:tcPr>
            <w:tcW w:w="3004" w:type="dxa"/>
          </w:tcPr>
          <w:p w14:paraId="205DA0F2" w14:textId="77777777" w:rsidR="008D64F9" w:rsidRPr="00F25959" w:rsidRDefault="008D64F9">
            <w:pPr>
              <w:pStyle w:val="BodyText"/>
              <w:numPr>
                <w:ilvl w:val="0"/>
                <w:numId w:val="16"/>
              </w:numPr>
              <w:ind w:left="360"/>
              <w:rPr>
                <w:rStyle w:val="b-stepstep-name"/>
                <w:sz w:val="20"/>
                <w:szCs w:val="20"/>
                <w:rtl/>
                <w:lang w:bidi="ar-LB"/>
              </w:rPr>
            </w:pPr>
            <w:r w:rsidRPr="00F25959">
              <w:rPr>
                <w:rStyle w:val="b-stepstep-name"/>
                <w:sz w:val="20"/>
                <w:szCs w:val="20"/>
                <w:rtl/>
                <w:lang w:bidi="ar-LB"/>
              </w:rPr>
              <w:t>تعاريف تستخدمها العديد من القوانين الأفريقية في صياغتها للحق المحمي</w:t>
            </w:r>
          </w:p>
          <w:p w14:paraId="42F43549" w14:textId="77777777" w:rsidR="008D64F9" w:rsidRPr="00F25959" w:rsidRDefault="008D64F9">
            <w:pPr>
              <w:pStyle w:val="BodyText"/>
              <w:numPr>
                <w:ilvl w:val="0"/>
                <w:numId w:val="16"/>
              </w:numPr>
              <w:ind w:left="360"/>
              <w:rPr>
                <w:rStyle w:val="b-stepstep-name"/>
                <w:sz w:val="20"/>
                <w:szCs w:val="20"/>
                <w:rtl/>
                <w:lang w:bidi="ar-LB"/>
              </w:rPr>
            </w:pPr>
            <w:r w:rsidRPr="00F25959">
              <w:rPr>
                <w:rStyle w:val="b-stepstep-name"/>
                <w:sz w:val="20"/>
                <w:szCs w:val="20"/>
                <w:rtl/>
                <w:lang w:bidi="ar-LB"/>
              </w:rPr>
              <w:t>قد يساعد تعريف "المؤلف"، على وجه الخصوص، في تركيز الانتباه على الشخص الذي يقوم بالتثبيت أو التجسيد الأول للمصنف الفني</w:t>
            </w:r>
          </w:p>
        </w:tc>
      </w:tr>
      <w:tr w:rsidR="008D64F9" w:rsidRPr="00F25959" w14:paraId="580F5EB4" w14:textId="77777777" w:rsidTr="00104ED0">
        <w:tc>
          <w:tcPr>
            <w:tcW w:w="3003" w:type="dxa"/>
          </w:tcPr>
          <w:p w14:paraId="641AC8C3" w14:textId="77777777" w:rsidR="008D64F9" w:rsidRPr="00F25959" w:rsidRDefault="008D64F9" w:rsidP="00104ED0">
            <w:pPr>
              <w:pStyle w:val="BodyText"/>
              <w:rPr>
                <w:rStyle w:val="b-stepstep-name"/>
                <w:sz w:val="20"/>
                <w:szCs w:val="20"/>
                <w:rtl/>
                <w:lang w:bidi="ar-LB"/>
              </w:rPr>
            </w:pPr>
            <w:r w:rsidRPr="00F25959">
              <w:rPr>
                <w:rStyle w:val="b-stepstep-name"/>
                <w:sz w:val="20"/>
                <w:szCs w:val="20"/>
                <w:rtl/>
                <w:lang w:bidi="ar-LB"/>
              </w:rPr>
              <w:t>صياغة مختلفة (بولندا)</w:t>
            </w:r>
          </w:p>
        </w:tc>
        <w:tc>
          <w:tcPr>
            <w:tcW w:w="3003" w:type="dxa"/>
          </w:tcPr>
          <w:p w14:paraId="7294D174" w14:textId="77777777" w:rsidR="008D64F9" w:rsidRPr="00F25959" w:rsidRDefault="008D64F9" w:rsidP="00104ED0">
            <w:pPr>
              <w:pStyle w:val="BodyText"/>
              <w:rPr>
                <w:rStyle w:val="b-stepstep-name"/>
                <w:sz w:val="20"/>
                <w:szCs w:val="20"/>
                <w:rtl/>
                <w:lang w:bidi="ar-LB"/>
              </w:rPr>
            </w:pPr>
            <w:r w:rsidRPr="00F25959">
              <w:rPr>
                <w:rStyle w:val="b-stepstep-name"/>
                <w:sz w:val="20"/>
                <w:szCs w:val="20"/>
                <w:rtl/>
                <w:lang w:bidi="ar-LB"/>
              </w:rPr>
              <w:t xml:space="preserve">19.1 يحق للمؤلف وورثته، في حالة إعادة بيع النسخ الأصلية للمصنف الفني أو </w:t>
            </w:r>
            <w:r w:rsidRPr="00F25959">
              <w:rPr>
                <w:rStyle w:val="b-stepstep-name"/>
                <w:sz w:val="20"/>
                <w:szCs w:val="20"/>
                <w:rtl/>
                <w:lang w:bidi="ar-LB"/>
              </w:rPr>
              <w:lastRenderedPageBreak/>
              <w:t>الفوتوغرافي بشكل احترافي، الحصول على أجر</w:t>
            </w:r>
          </w:p>
          <w:p w14:paraId="52344F91" w14:textId="77777777" w:rsidR="008D64F9" w:rsidRPr="00F25959" w:rsidRDefault="008D64F9" w:rsidP="00104ED0">
            <w:pPr>
              <w:pStyle w:val="BodyText"/>
              <w:rPr>
                <w:rStyle w:val="b-stepstep-name"/>
                <w:sz w:val="20"/>
                <w:szCs w:val="20"/>
                <w:rtl/>
                <w:lang w:bidi="ar-LB"/>
              </w:rPr>
            </w:pPr>
            <w:r w:rsidRPr="00F25959">
              <w:rPr>
                <w:rStyle w:val="b-stepstep-name"/>
                <w:sz w:val="20"/>
                <w:szCs w:val="20"/>
                <w:rtl/>
                <w:lang w:bidi="ar-LB"/>
              </w:rPr>
              <w:t>…</w:t>
            </w:r>
          </w:p>
          <w:p w14:paraId="3BDD5467" w14:textId="77777777" w:rsidR="008D64F9" w:rsidRPr="00F25959" w:rsidRDefault="008D64F9" w:rsidP="00104ED0">
            <w:pPr>
              <w:pStyle w:val="BodyText"/>
              <w:rPr>
                <w:rStyle w:val="b-stepstep-name"/>
                <w:sz w:val="20"/>
                <w:szCs w:val="20"/>
                <w:rtl/>
                <w:lang w:bidi="ar-LB"/>
              </w:rPr>
            </w:pPr>
            <w:r w:rsidRPr="00F25959">
              <w:rPr>
                <w:rStyle w:val="b-stepstep-name"/>
                <w:sz w:val="20"/>
                <w:szCs w:val="20"/>
                <w:rtl/>
                <w:lang w:bidi="ar-LB"/>
              </w:rPr>
              <w:t>…</w:t>
            </w:r>
          </w:p>
          <w:p w14:paraId="34FBCE62" w14:textId="77777777" w:rsidR="008D64F9" w:rsidRPr="00F25959" w:rsidRDefault="008D64F9" w:rsidP="00104ED0">
            <w:pPr>
              <w:pStyle w:val="BodyText"/>
              <w:rPr>
                <w:rStyle w:val="b-stepstep-name"/>
                <w:sz w:val="20"/>
                <w:szCs w:val="20"/>
                <w:rtl/>
                <w:lang w:bidi="ar-LB"/>
              </w:rPr>
            </w:pPr>
            <w:r w:rsidRPr="00F25959">
              <w:rPr>
                <w:rStyle w:val="b-stepstep-name"/>
                <w:rFonts w:hint="cs"/>
                <w:sz w:val="20"/>
                <w:szCs w:val="20"/>
                <w:rtl/>
                <w:lang w:bidi="ar-LB"/>
              </w:rPr>
              <w:t>19</w:t>
            </w:r>
            <w:r w:rsidRPr="00F25959">
              <w:rPr>
                <w:rStyle w:val="b-stepstep-name"/>
                <w:sz w:val="20"/>
                <w:szCs w:val="20"/>
                <w:rtl/>
                <w:lang w:bidi="ar-LB"/>
              </w:rPr>
              <w:t>.</w:t>
            </w:r>
            <w:r w:rsidRPr="00F25959">
              <w:rPr>
                <w:rStyle w:val="b-stepstep-name"/>
                <w:sz w:val="20"/>
                <w:szCs w:val="20"/>
              </w:rPr>
              <w:t xml:space="preserve"> </w:t>
            </w:r>
            <w:r w:rsidRPr="00F25959">
              <w:rPr>
                <w:rStyle w:val="b-stepstep-name"/>
                <w:sz w:val="20"/>
                <w:szCs w:val="20"/>
                <w:rtl/>
                <w:lang w:bidi="ar-LB"/>
              </w:rPr>
              <w:t>1.</w:t>
            </w:r>
            <w:r w:rsidRPr="00F25959">
              <w:rPr>
                <w:rStyle w:val="b-stepstep-name"/>
                <w:sz w:val="20"/>
                <w:szCs w:val="20"/>
              </w:rPr>
              <w:t xml:space="preserve"> </w:t>
            </w:r>
            <w:r w:rsidRPr="00F25959">
              <w:rPr>
                <w:rStyle w:val="b-stepstep-name"/>
                <w:sz w:val="20"/>
                <w:szCs w:val="20"/>
                <w:rtl/>
                <w:lang w:bidi="ar-LB"/>
              </w:rPr>
              <w:t>طبقًا للمادة 19(1) ...، فإن إعادة البيع تعني أي بيع يتم بعد التنازل الأول عن المصنف من قبل المؤلف.</w:t>
            </w:r>
          </w:p>
          <w:p w14:paraId="3A70A40E" w14:textId="68BD4064" w:rsidR="008D64F9" w:rsidRPr="00F25959" w:rsidDel="00EF0D3E" w:rsidRDefault="008D64F9" w:rsidP="00104ED0">
            <w:pPr>
              <w:pStyle w:val="BodyText"/>
              <w:rPr>
                <w:rStyle w:val="b-stepstep-name"/>
                <w:sz w:val="20"/>
                <w:szCs w:val="20"/>
                <w:rtl/>
                <w:lang w:bidi="ar-LB"/>
              </w:rPr>
            </w:pPr>
            <w:r w:rsidRPr="00F25959">
              <w:rPr>
                <w:rStyle w:val="b-stepstep-name"/>
                <w:sz w:val="20"/>
                <w:szCs w:val="20"/>
                <w:rtl/>
                <w:lang w:bidi="ar-LB"/>
              </w:rPr>
              <w:t>2.</w:t>
            </w:r>
            <w:r w:rsidRPr="00F25959">
              <w:rPr>
                <w:rStyle w:val="b-stepstep-name"/>
                <w:sz w:val="20"/>
                <w:szCs w:val="20"/>
              </w:rPr>
              <w:t xml:space="preserve"> </w:t>
            </w:r>
            <w:r w:rsidRPr="00F25959">
              <w:rPr>
                <w:rStyle w:val="b-stepstep-name"/>
                <w:sz w:val="20"/>
                <w:szCs w:val="20"/>
                <w:rtl/>
                <w:lang w:bidi="ar-LB"/>
              </w:rPr>
              <w:t>تعني عمليات إعادة البيع الاحترافية وفقًا للمادة 19(1) والمادة 191 أي أعمال إعادة البيع يتم تنفيذها، كجزء من النشاط الذي يمارسه البائعون والمشترون والوسطاء وغيرهم من الأشخاص الذين يتاجرون بشكل احترافي</w:t>
            </w:r>
            <w:r w:rsidR="00104ED0" w:rsidRPr="00F25959">
              <w:rPr>
                <w:rStyle w:val="b-stepstep-name"/>
                <w:rFonts w:hint="cs"/>
                <w:sz w:val="20"/>
                <w:szCs w:val="20"/>
                <w:rtl/>
                <w:lang w:bidi="ar-LB"/>
              </w:rPr>
              <w:t xml:space="preserve"> </w:t>
            </w:r>
            <w:r w:rsidRPr="00F25959">
              <w:rPr>
                <w:rStyle w:val="b-stepstep-name"/>
                <w:sz w:val="20"/>
                <w:szCs w:val="20"/>
                <w:rtl/>
                <w:lang w:bidi="ar-LB"/>
              </w:rPr>
              <w:t>في المصنفات</w:t>
            </w:r>
            <w:r w:rsidRPr="00F25959">
              <w:rPr>
                <w:rStyle w:val="b-stepstep-name"/>
                <w:sz w:val="20"/>
                <w:szCs w:val="20"/>
              </w:rPr>
              <w:t xml:space="preserve"> </w:t>
            </w:r>
            <w:r w:rsidRPr="00F25959">
              <w:rPr>
                <w:rStyle w:val="b-stepstep-name"/>
                <w:sz w:val="20"/>
                <w:szCs w:val="20"/>
                <w:rtl/>
                <w:lang w:bidi="ar-LB"/>
              </w:rPr>
              <w:t>الفنية أو مخطوطات المصنفات الأدبية والموسيقية.</w:t>
            </w:r>
            <w:r w:rsidRPr="00F25959">
              <w:rPr>
                <w:rStyle w:val="b-stepstep-name"/>
                <w:sz w:val="20"/>
                <w:szCs w:val="20"/>
                <w:vertAlign w:val="superscript"/>
                <w:lang w:val="en-GB"/>
              </w:rPr>
              <w:footnoteReference w:id="60"/>
            </w:r>
          </w:p>
        </w:tc>
        <w:tc>
          <w:tcPr>
            <w:tcW w:w="3004" w:type="dxa"/>
          </w:tcPr>
          <w:p w14:paraId="0E5280EF" w14:textId="77777777" w:rsidR="008D64F9" w:rsidRPr="00F25959" w:rsidRDefault="008D64F9">
            <w:pPr>
              <w:pStyle w:val="BodyText"/>
              <w:numPr>
                <w:ilvl w:val="0"/>
                <w:numId w:val="16"/>
              </w:numPr>
              <w:ind w:left="360"/>
              <w:rPr>
                <w:rStyle w:val="b-stepstep-name"/>
                <w:sz w:val="20"/>
                <w:szCs w:val="20"/>
                <w:rtl/>
                <w:lang w:bidi="ar-LB"/>
              </w:rPr>
            </w:pPr>
            <w:r w:rsidRPr="00F25959">
              <w:rPr>
                <w:rStyle w:val="b-stepstep-name"/>
                <w:sz w:val="20"/>
                <w:szCs w:val="20"/>
                <w:rtl/>
                <w:lang w:bidi="ar-LB"/>
              </w:rPr>
              <w:lastRenderedPageBreak/>
              <w:t>يصوغ هذا النص الحق باعتباره متعلقًا بعمليات إعادة البيع "التي تتم بشكل احترافي"</w:t>
            </w:r>
          </w:p>
          <w:p w14:paraId="0E290E1E" w14:textId="77777777" w:rsidR="008D64F9" w:rsidRPr="00F25959" w:rsidRDefault="008D64F9">
            <w:pPr>
              <w:pStyle w:val="BodyText"/>
              <w:numPr>
                <w:ilvl w:val="0"/>
                <w:numId w:val="16"/>
              </w:numPr>
              <w:ind w:left="360"/>
              <w:rPr>
                <w:rStyle w:val="b-stepstep-name"/>
                <w:sz w:val="20"/>
                <w:szCs w:val="20"/>
                <w:rtl/>
                <w:lang w:bidi="ar-LB"/>
              </w:rPr>
            </w:pPr>
            <w:r w:rsidRPr="00F25959">
              <w:rPr>
                <w:rStyle w:val="b-stepstep-name"/>
                <w:sz w:val="20"/>
                <w:szCs w:val="20"/>
                <w:rtl/>
                <w:lang w:bidi="ar-LB"/>
              </w:rPr>
              <w:lastRenderedPageBreak/>
              <w:t xml:space="preserve">يحتوي على تعريف عام يشير إلى الوسطاء وغيرهم من الأشخاص الذين يتاجرون بشكل احترافي في المصنفات الفنية أو المخطوطات [تتمتع بولندا بحق تتبع يشمل المخطوطات].  </w:t>
            </w:r>
          </w:p>
        </w:tc>
      </w:tr>
      <w:tr w:rsidR="008D64F9" w:rsidRPr="00F25959" w14:paraId="1E27B930" w14:textId="77777777" w:rsidTr="00104ED0">
        <w:tc>
          <w:tcPr>
            <w:tcW w:w="3003" w:type="dxa"/>
          </w:tcPr>
          <w:p w14:paraId="60B0F602" w14:textId="77777777" w:rsidR="008D64F9" w:rsidRPr="00F25959" w:rsidRDefault="008D64F9" w:rsidP="00104ED0">
            <w:pPr>
              <w:pStyle w:val="BodyText"/>
              <w:rPr>
                <w:rStyle w:val="b-stepstep-name"/>
                <w:sz w:val="20"/>
                <w:szCs w:val="20"/>
                <w:rtl/>
                <w:lang w:bidi="ar-LB"/>
              </w:rPr>
            </w:pPr>
            <w:r w:rsidRPr="00F25959">
              <w:rPr>
                <w:rStyle w:val="b-stepstep-name"/>
                <w:sz w:val="20"/>
                <w:szCs w:val="20"/>
                <w:rtl/>
                <w:lang w:bidi="ar-LB"/>
              </w:rPr>
              <w:lastRenderedPageBreak/>
              <w:t>عمليات النقل الأول للملكية من دون مقابل مالي (نيوزيلندا)</w:t>
            </w:r>
          </w:p>
        </w:tc>
        <w:tc>
          <w:tcPr>
            <w:tcW w:w="3003" w:type="dxa"/>
          </w:tcPr>
          <w:p w14:paraId="7FDA83AA" w14:textId="77777777" w:rsidR="008D64F9" w:rsidRPr="00F25959" w:rsidRDefault="008D64F9" w:rsidP="00104ED0">
            <w:pPr>
              <w:pStyle w:val="BodyText"/>
              <w:rPr>
                <w:rStyle w:val="b-stepstep-name"/>
                <w:sz w:val="20"/>
                <w:szCs w:val="20"/>
                <w:rtl/>
                <w:lang w:bidi="ar-LB"/>
              </w:rPr>
            </w:pPr>
            <w:r w:rsidRPr="00F25959">
              <w:rPr>
                <w:rStyle w:val="b-stepstep-name"/>
                <w:sz w:val="20"/>
                <w:szCs w:val="20"/>
                <w:rtl/>
                <w:lang w:bidi="ar-LB"/>
              </w:rPr>
              <w:t>12.-(1) يمكن اعتبار بيع المصنف بمثابة إعادة بيع على الرغم من أن النقل الأول للملكية لم يتم مقابل مبلغ مالي (أو أي مُقابل آخر).</w:t>
            </w:r>
            <w:r w:rsidRPr="00F25959">
              <w:rPr>
                <w:rStyle w:val="b-stepstep-name"/>
                <w:sz w:val="20"/>
                <w:szCs w:val="20"/>
                <w:vertAlign w:val="superscript"/>
                <w:lang w:val="en-GB"/>
              </w:rPr>
              <w:footnoteReference w:id="61"/>
            </w:r>
          </w:p>
        </w:tc>
        <w:tc>
          <w:tcPr>
            <w:tcW w:w="3004" w:type="dxa"/>
          </w:tcPr>
          <w:p w14:paraId="7CFA01E5" w14:textId="77777777" w:rsidR="008D64F9" w:rsidRPr="00F25959" w:rsidRDefault="008D64F9">
            <w:pPr>
              <w:pStyle w:val="BodyText"/>
              <w:numPr>
                <w:ilvl w:val="0"/>
                <w:numId w:val="16"/>
              </w:numPr>
              <w:ind w:left="360"/>
              <w:rPr>
                <w:rStyle w:val="b-stepstep-name"/>
                <w:sz w:val="20"/>
                <w:szCs w:val="20"/>
                <w:rtl/>
                <w:lang w:bidi="ar-LB"/>
              </w:rPr>
            </w:pPr>
            <w:r w:rsidRPr="00F25959">
              <w:rPr>
                <w:rStyle w:val="b-stepstep-name"/>
                <w:sz w:val="20"/>
                <w:szCs w:val="20"/>
                <w:rtl/>
                <w:lang w:bidi="ar-LB"/>
              </w:rPr>
              <w:t>يوضح هذا الحكم بوضوح هذه الحالة، التي يمكن أن يُفترض أنها تنطبق في الأحكام التي لا تذكرها.</w:t>
            </w:r>
          </w:p>
        </w:tc>
      </w:tr>
      <w:tr w:rsidR="008D64F9" w:rsidRPr="00F25959" w14:paraId="3686C20F" w14:textId="77777777" w:rsidTr="00104ED0">
        <w:tc>
          <w:tcPr>
            <w:tcW w:w="3003" w:type="dxa"/>
          </w:tcPr>
          <w:p w14:paraId="74F817D0" w14:textId="77777777" w:rsidR="008D64F9" w:rsidRPr="00F25959" w:rsidRDefault="008D64F9" w:rsidP="00104ED0">
            <w:pPr>
              <w:pStyle w:val="BodyText"/>
              <w:rPr>
                <w:rStyle w:val="b-stepstep-name"/>
                <w:sz w:val="20"/>
                <w:szCs w:val="20"/>
                <w:rtl/>
                <w:lang w:bidi="ar-LB"/>
              </w:rPr>
            </w:pPr>
            <w:r w:rsidRPr="00F25959">
              <w:rPr>
                <w:rStyle w:val="b-stepstep-name"/>
                <w:sz w:val="20"/>
                <w:szCs w:val="20"/>
                <w:rtl/>
                <w:lang w:bidi="ar-LB"/>
              </w:rPr>
              <w:t>صياغة بديلة لعمليات إعادة البيع التي سيتم تغطيتها (المكسيك)</w:t>
            </w:r>
            <w:r w:rsidRPr="00F25959">
              <w:rPr>
                <w:rStyle w:val="b-stepstep-name"/>
                <w:sz w:val="20"/>
                <w:szCs w:val="20"/>
                <w:lang w:val="en-AU"/>
              </w:rPr>
              <w:t xml:space="preserve"> </w:t>
            </w:r>
          </w:p>
          <w:p w14:paraId="6CB67B4C" w14:textId="77777777" w:rsidR="008D64F9" w:rsidRPr="00F25959" w:rsidRDefault="008D64F9" w:rsidP="00104ED0">
            <w:pPr>
              <w:pStyle w:val="BodyText"/>
              <w:rPr>
                <w:rStyle w:val="b-stepstep-name"/>
                <w:sz w:val="20"/>
                <w:szCs w:val="20"/>
                <w:lang w:val="en-AU"/>
              </w:rPr>
            </w:pPr>
          </w:p>
        </w:tc>
        <w:tc>
          <w:tcPr>
            <w:tcW w:w="3003" w:type="dxa"/>
          </w:tcPr>
          <w:p w14:paraId="2FA512D0" w14:textId="77777777" w:rsidR="008D64F9" w:rsidRPr="00F25959" w:rsidRDefault="008D64F9" w:rsidP="00104ED0">
            <w:pPr>
              <w:pStyle w:val="BodyText"/>
              <w:rPr>
                <w:rStyle w:val="b-stepstep-name"/>
                <w:sz w:val="20"/>
                <w:szCs w:val="20"/>
                <w:rtl/>
                <w:lang w:bidi="ar-LB"/>
              </w:rPr>
            </w:pPr>
            <w:r w:rsidRPr="00F25959">
              <w:rPr>
                <w:rStyle w:val="b-stepstep-name"/>
                <w:sz w:val="20"/>
                <w:szCs w:val="20"/>
                <w:rtl/>
                <w:lang w:bidi="ar-LB"/>
              </w:rPr>
              <w:t>... أي عملية إعادة بيع في ظل شروط مماثلة لتلك التي تتم في المزاد العلني، أو في منشأة تجارية، أو بتدخل تاجر أو وكيل تجاري،...</w:t>
            </w:r>
            <w:r w:rsidRPr="00F25959">
              <w:rPr>
                <w:rStyle w:val="b-stepstep-name"/>
                <w:sz w:val="20"/>
                <w:szCs w:val="20"/>
                <w:vertAlign w:val="superscript"/>
              </w:rPr>
              <w:footnoteReference w:id="62"/>
            </w:r>
          </w:p>
        </w:tc>
        <w:tc>
          <w:tcPr>
            <w:tcW w:w="3004" w:type="dxa"/>
          </w:tcPr>
          <w:p w14:paraId="6ACF874F" w14:textId="77777777" w:rsidR="008D64F9" w:rsidRPr="00F25959" w:rsidRDefault="008D64F9">
            <w:pPr>
              <w:pStyle w:val="BodyText"/>
              <w:numPr>
                <w:ilvl w:val="0"/>
                <w:numId w:val="16"/>
              </w:numPr>
              <w:ind w:left="360"/>
              <w:rPr>
                <w:rStyle w:val="b-stepstep-name"/>
                <w:sz w:val="20"/>
                <w:szCs w:val="20"/>
                <w:rtl/>
                <w:lang w:bidi="ar-LB"/>
              </w:rPr>
            </w:pPr>
            <w:r w:rsidRPr="00F25959">
              <w:rPr>
                <w:rStyle w:val="b-stepstep-name"/>
                <w:sz w:val="20"/>
                <w:szCs w:val="20"/>
                <w:rtl/>
                <w:lang w:bidi="ar-LB"/>
              </w:rPr>
              <w:t>طريقة أخرى لتحديد الطابع التجاري لعمليات إعادة البيع، أي أنه تُستثنى المبيعات الخاصة التي تتم بين الأطراف المعنية.</w:t>
            </w:r>
            <w:r w:rsidRPr="00F25959">
              <w:rPr>
                <w:rStyle w:val="b-stepstep-name"/>
                <w:sz w:val="20"/>
                <w:szCs w:val="20"/>
                <w:lang w:val="en-AU"/>
              </w:rPr>
              <w:t xml:space="preserve"> </w:t>
            </w:r>
          </w:p>
        </w:tc>
      </w:tr>
    </w:tbl>
    <w:p w14:paraId="2F8CCADE" w14:textId="77777777" w:rsidR="008D64F9" w:rsidRPr="008D64F9" w:rsidRDefault="008D64F9" w:rsidP="00534856">
      <w:pPr>
        <w:pStyle w:val="Heading2"/>
        <w:rPr>
          <w:rtl/>
        </w:rPr>
      </w:pPr>
      <w:r w:rsidRPr="008D64F9">
        <w:rPr>
          <w:rtl/>
        </w:rPr>
        <w:t>عمليات إعادة البيع المستثناة من حق التتبع</w:t>
      </w:r>
    </w:p>
    <w:p w14:paraId="474F819C" w14:textId="77777777" w:rsidR="008D64F9" w:rsidRPr="008D64F9" w:rsidRDefault="008D64F9" w:rsidP="00104ED0">
      <w:pPr>
        <w:pStyle w:val="ONUMA"/>
        <w:rPr>
          <w:b/>
          <w:bCs/>
          <w:rtl/>
          <w:lang w:bidi="ar-LB"/>
        </w:rPr>
      </w:pPr>
      <w:r w:rsidRPr="008D64F9">
        <w:rPr>
          <w:rtl/>
          <w:lang w:bidi="ar-LB"/>
        </w:rPr>
        <w:t>بالإضافة إلى مسألة تحديد أنواع عمليات إعادة البيع التي يشملها حق التتبع، ينبغي أيضا التفكير في  فرض المزيد من القيود العملية.  أولاً، هل يجب وضع حد أدنى لسعر المبيع على عمليات إعادة البيع التي يغطيها حق التتبع؟</w:t>
      </w:r>
      <w:r w:rsidRPr="008D64F9">
        <w:rPr>
          <w:lang w:val="en-AU"/>
        </w:rPr>
        <w:t xml:space="preserve"> </w:t>
      </w:r>
      <w:r w:rsidRPr="008D64F9">
        <w:rPr>
          <w:rtl/>
          <w:lang w:bidi="ar-LB"/>
        </w:rPr>
        <w:t>إذا تم تغطية جميع عمليات إعادة البيع، فقد يؤدي هذا إلى خلق صعوبات في القدرة على تحصيل وتوزيع إتاوات حق التتبع بطريقة فعالة وفي الوقت المناسب.  ثانياً، هل ينبغي تطبيق حق التتبع على عمليات إعادة البيع حيث حصل البائع على العمل مباشرة من الف</w:t>
      </w:r>
      <w:r w:rsidRPr="008D64F9">
        <w:rPr>
          <w:rFonts w:hint="cs"/>
          <w:rtl/>
          <w:lang w:bidi="ar-LB"/>
        </w:rPr>
        <w:t>نان</w:t>
      </w:r>
      <w:r w:rsidRPr="008D64F9">
        <w:rPr>
          <w:rtl/>
          <w:lang w:bidi="ar-LB"/>
        </w:rPr>
        <w:t xml:space="preserve"> خلال فترة زمنية معينة قبل عملية إعادة البيع؟</w:t>
      </w:r>
      <w:r w:rsidRPr="008D64F9">
        <w:rPr>
          <w:lang w:val="en-AU"/>
        </w:rPr>
        <w:t xml:space="preserve"> </w:t>
      </w:r>
      <w:r w:rsidRPr="008D64F9">
        <w:rPr>
          <w:rtl/>
          <w:lang w:bidi="ar-LB"/>
        </w:rPr>
        <w:t>في هذه الحالة، يُفترض أن تكون فترة زمنية قصيرة للغاية قد انقضت قبل اختبار قيمة المصنف بشكل صحيح في السوق وبالتالي ينبغي ألا يتأثر المشتري بطريقة سلبية (قد يتم أيضًا تحديد حد أقصى لسعر إعادة البيع لكي يكون القيد منطقيا).</w:t>
      </w:r>
      <w:r w:rsidRPr="008D64F9">
        <w:rPr>
          <w:lang w:val="en-AU"/>
        </w:rPr>
        <w:t xml:space="preserve"> </w:t>
      </w:r>
      <w:r w:rsidRPr="008D64F9">
        <w:rPr>
          <w:rtl/>
          <w:lang w:bidi="ar-LB"/>
        </w:rPr>
        <w:t>وتوجد قيود من هذا النوع في العديد من القوانين الوطنية، ولا سيما في توجيهات المفوضية الأوروبية، ولا يحتوي نص المادة 14(ثالثا) من اتفاقية برن على شرح واضح بشأنها.</w:t>
      </w:r>
      <w:r w:rsidRPr="008D64F9">
        <w:rPr>
          <w:lang w:val="en-AU"/>
        </w:rPr>
        <w:t xml:space="preserve"> </w:t>
      </w:r>
      <w:r w:rsidRPr="008D64F9">
        <w:rPr>
          <w:rtl/>
          <w:lang w:bidi="ar-LB"/>
        </w:rPr>
        <w:t>ويعرض الجدول 6 أدناه بعض الأحكام النموذجية المقترحة.</w:t>
      </w:r>
    </w:p>
    <w:p w14:paraId="497FEC61" w14:textId="77777777" w:rsidR="008D64F9" w:rsidRPr="008D64F9" w:rsidRDefault="008D64F9" w:rsidP="00104ED0">
      <w:pPr>
        <w:pStyle w:val="ONUMA"/>
        <w:rPr>
          <w:b/>
          <w:bCs/>
          <w:rtl/>
          <w:lang w:bidi="ar-LB"/>
        </w:rPr>
      </w:pPr>
      <w:r w:rsidRPr="008D64F9">
        <w:rPr>
          <w:rtl/>
          <w:lang w:bidi="ar-LB"/>
        </w:rPr>
        <w:t>ومن المسائل الأخرى التي ينبغي أخذها بالاعتبار هي مسألة الحالات التي تُستثنى من تطبيق مخطط حق التتبع الوطني وذلك وفقا لبعض السياسات العامة.</w:t>
      </w:r>
      <w:r w:rsidRPr="008D64F9">
        <w:rPr>
          <w:lang w:val="en-AU"/>
        </w:rPr>
        <w:t xml:space="preserve"> </w:t>
      </w:r>
      <w:r w:rsidRPr="008D64F9">
        <w:rPr>
          <w:rtl/>
          <w:lang w:bidi="ar-LB"/>
        </w:rPr>
        <w:t>وتوجد استثناءات لحقوق حصرية أخرى مثل حق الاستنساخ وحق الأداء العلني وما إلى ذلك، في مواد أخرى من اتفاقية برن، على سبيل المثال، في المواد 9 و10 و10(ثانيا)</w:t>
      </w:r>
      <w:r w:rsidRPr="008D64F9">
        <w:rPr>
          <w:i/>
          <w:rtl/>
          <w:lang w:bidi="ar-LB"/>
        </w:rPr>
        <w:t>.</w:t>
      </w:r>
      <w:r w:rsidRPr="008D64F9">
        <w:rPr>
          <w:i/>
          <w:lang w:val="en-AU"/>
        </w:rPr>
        <w:t xml:space="preserve"> </w:t>
      </w:r>
      <w:r w:rsidRPr="008D64F9">
        <w:rPr>
          <w:rtl/>
          <w:lang w:bidi="ar-LB"/>
        </w:rPr>
        <w:t>وقد يكون من الصعب فرض أنواع مشابهة من الاستثناءات أو التقييدات على حق التتبع، على الرغم من وجود استثناء (إعادة البيع بالمزاد لأغراض خيرية) في أحد القوانين الوطنية التي تم اعتمادها مؤخرًا.</w:t>
      </w:r>
      <w:r w:rsidRPr="008D64F9">
        <w:rPr>
          <w:vertAlign w:val="superscript"/>
          <w:lang w:val="en-AU"/>
        </w:rPr>
        <w:footnoteReference w:id="63"/>
      </w:r>
      <w:r w:rsidRPr="008D64F9">
        <w:rPr>
          <w:lang w:val="en-AU"/>
        </w:rPr>
        <w:t xml:space="preserve"> </w:t>
      </w:r>
      <w:r w:rsidRPr="008D64F9">
        <w:rPr>
          <w:rtl/>
          <w:lang w:bidi="ar-LB"/>
        </w:rPr>
        <w:t xml:space="preserve">وإن المادة 14(ثالثا) من اتفاقية برن لا تذكر هذه المسائل، ولكن بصفة عامة يمكن القول إن الحق غير القابل للتصرف </w:t>
      </w:r>
      <w:r w:rsidRPr="008D64F9">
        <w:rPr>
          <w:rtl/>
          <w:lang w:bidi="ar-LB"/>
        </w:rPr>
        <w:lastRenderedPageBreak/>
        <w:t>الموصوف في هذه الاتفاقية ينبغي ألا يخضع لاستثناءات أو تقييدات إلا لتلك التي قد تكون ضرورية لأسباب عملية كما هو موضح في الفقرة السابقة.</w:t>
      </w:r>
      <w:r w:rsidRPr="008D64F9">
        <w:rPr>
          <w:lang w:val="en-AU"/>
        </w:rPr>
        <w:t xml:space="preserve"> </w:t>
      </w:r>
    </w:p>
    <w:p w14:paraId="3E7B1E49" w14:textId="77777777" w:rsidR="008D64F9" w:rsidRPr="008D64F9" w:rsidRDefault="008D64F9" w:rsidP="00534856">
      <w:pPr>
        <w:keepNext/>
        <w:spacing w:after="240"/>
        <w:rPr>
          <w:rFonts w:asciiTheme="minorHAnsi" w:hAnsiTheme="minorHAnsi" w:cstheme="minorHAnsi"/>
          <w:bCs/>
          <w:i/>
          <w:iCs/>
          <w:rtl/>
          <w:lang w:bidi="ar-LB"/>
        </w:rPr>
      </w:pPr>
      <w:r w:rsidRPr="008D64F9">
        <w:rPr>
          <w:rFonts w:asciiTheme="minorHAnsi" w:hAnsiTheme="minorHAnsi" w:cstheme="minorHAnsi"/>
          <w:bCs/>
          <w:i/>
          <w:iCs/>
          <w:rtl/>
          <w:lang w:bidi="ar-LB"/>
        </w:rPr>
        <w:t>الجدول 6</w:t>
      </w:r>
    </w:p>
    <w:tbl>
      <w:tblPr>
        <w:tblStyle w:val="TableGrid"/>
        <w:tblpPr w:leftFromText="180" w:rightFromText="180" w:vertAnchor="text" w:horzAnchor="margin" w:tblpY="439"/>
        <w:bidiVisual/>
        <w:tblW w:w="0" w:type="auto"/>
        <w:tblLook w:val="04A0" w:firstRow="1" w:lastRow="0" w:firstColumn="1" w:lastColumn="0" w:noHBand="0" w:noVBand="1"/>
      </w:tblPr>
      <w:tblGrid>
        <w:gridCol w:w="2689"/>
        <w:gridCol w:w="3402"/>
        <w:gridCol w:w="2919"/>
      </w:tblGrid>
      <w:tr w:rsidR="008D64F9" w:rsidRPr="00F25959" w14:paraId="175A8202" w14:textId="77777777" w:rsidTr="00101B5A">
        <w:tc>
          <w:tcPr>
            <w:tcW w:w="2689" w:type="dxa"/>
          </w:tcPr>
          <w:p w14:paraId="1445A054" w14:textId="77777777" w:rsidR="008D64F9" w:rsidRPr="00534856" w:rsidRDefault="008D64F9" w:rsidP="00F25959">
            <w:pPr>
              <w:pStyle w:val="BodyText"/>
              <w:rPr>
                <w:b/>
                <w:bCs/>
                <w:rtl/>
                <w:lang w:bidi="ar-LB"/>
              </w:rPr>
            </w:pPr>
            <w:r w:rsidRPr="00534856">
              <w:rPr>
                <w:b/>
                <w:bCs/>
                <w:rtl/>
                <w:lang w:bidi="ar-LB"/>
              </w:rPr>
              <w:t>نوع الحكم</w:t>
            </w:r>
          </w:p>
        </w:tc>
        <w:tc>
          <w:tcPr>
            <w:tcW w:w="3402" w:type="dxa"/>
          </w:tcPr>
          <w:p w14:paraId="4E2466C5" w14:textId="77777777" w:rsidR="008D64F9" w:rsidRPr="00534856" w:rsidRDefault="008D64F9" w:rsidP="00F25959">
            <w:pPr>
              <w:pStyle w:val="BodyText"/>
              <w:rPr>
                <w:b/>
                <w:bCs/>
                <w:rtl/>
                <w:lang w:bidi="ar-LB"/>
              </w:rPr>
            </w:pPr>
            <w:r w:rsidRPr="00534856">
              <w:rPr>
                <w:b/>
                <w:bCs/>
                <w:rtl/>
                <w:lang w:bidi="ar-LB"/>
              </w:rPr>
              <w:t>النص المقترح</w:t>
            </w:r>
          </w:p>
        </w:tc>
        <w:tc>
          <w:tcPr>
            <w:tcW w:w="2919" w:type="dxa"/>
          </w:tcPr>
          <w:p w14:paraId="65876C81" w14:textId="77777777" w:rsidR="008D64F9" w:rsidRPr="00534856" w:rsidRDefault="008D64F9" w:rsidP="00F25959">
            <w:pPr>
              <w:pStyle w:val="BodyText"/>
              <w:rPr>
                <w:b/>
                <w:bCs/>
                <w:rtl/>
                <w:lang w:bidi="ar-LB"/>
              </w:rPr>
            </w:pPr>
            <w:r w:rsidRPr="00534856">
              <w:rPr>
                <w:b/>
                <w:bCs/>
                <w:rtl/>
                <w:lang w:bidi="ar-LB"/>
              </w:rPr>
              <w:t>تعليقات/ملاحظات</w:t>
            </w:r>
          </w:p>
        </w:tc>
      </w:tr>
      <w:tr w:rsidR="008D64F9" w:rsidRPr="00F25959" w14:paraId="2FF97B69" w14:textId="77777777" w:rsidTr="00101B5A">
        <w:tc>
          <w:tcPr>
            <w:tcW w:w="2689" w:type="dxa"/>
          </w:tcPr>
          <w:p w14:paraId="063A44D9" w14:textId="77777777" w:rsidR="008D64F9" w:rsidRPr="00F25959" w:rsidRDefault="008D64F9" w:rsidP="00F25959">
            <w:pPr>
              <w:pStyle w:val="BodyText"/>
              <w:rPr>
                <w:rtl/>
                <w:lang w:bidi="ar-LB"/>
              </w:rPr>
            </w:pPr>
            <w:r w:rsidRPr="00F25959">
              <w:rPr>
                <w:rtl/>
                <w:lang w:bidi="ar-LB"/>
              </w:rPr>
              <w:t>تحديد حد أدنى لسعر البيع (المفوضية الأوروبية)</w:t>
            </w:r>
          </w:p>
        </w:tc>
        <w:tc>
          <w:tcPr>
            <w:tcW w:w="3402" w:type="dxa"/>
          </w:tcPr>
          <w:p w14:paraId="046FDC34" w14:textId="77777777" w:rsidR="008D64F9" w:rsidRPr="00F25959" w:rsidRDefault="008D64F9" w:rsidP="00F25959">
            <w:pPr>
              <w:pStyle w:val="BodyText"/>
              <w:rPr>
                <w:rtl/>
                <w:lang w:bidi="ar-LB"/>
              </w:rPr>
            </w:pPr>
            <w:r w:rsidRPr="00F25959">
              <w:rPr>
                <w:rtl/>
                <w:lang w:bidi="ar-LB"/>
              </w:rPr>
              <w:t>لا يجوز بأي حال من الأحوال أن يتجاوز الحد الأدنى لسعر البيع …..</w:t>
            </w:r>
            <w:r w:rsidRPr="00F25959">
              <w:rPr>
                <w:vertAlign w:val="superscript"/>
              </w:rPr>
              <w:footnoteReference w:id="64"/>
            </w:r>
          </w:p>
        </w:tc>
        <w:tc>
          <w:tcPr>
            <w:tcW w:w="2919" w:type="dxa"/>
          </w:tcPr>
          <w:p w14:paraId="525F602D" w14:textId="77777777" w:rsidR="008D64F9" w:rsidRPr="00F25959" w:rsidRDefault="008D64F9">
            <w:pPr>
              <w:pStyle w:val="BodyText"/>
              <w:numPr>
                <w:ilvl w:val="0"/>
                <w:numId w:val="16"/>
              </w:numPr>
              <w:ind w:left="360"/>
              <w:rPr>
                <w:rtl/>
                <w:lang w:bidi="ar-LB"/>
              </w:rPr>
            </w:pPr>
            <w:r w:rsidRPr="00F25959">
              <w:rPr>
                <w:rtl/>
                <w:lang w:bidi="ar-LB"/>
              </w:rPr>
              <w:t xml:space="preserve">إن تحديد حد أدنى لسعر البيع يرتبط بالظروف الاقتصادية والاجتماعية للبلد الذي تبنى حق التتبع، فعلى سبيل المثال في أستراليا، تم تحديد حد أدنى قدره 1000 دولار أسترالي؛ أما في كينيا، فهو 20000 شلن؛ وفي السنغال، 200000 فرنك أفريقي.   </w:t>
            </w:r>
          </w:p>
        </w:tc>
      </w:tr>
      <w:tr w:rsidR="008D64F9" w:rsidRPr="00F25959" w14:paraId="3E45DC8E" w14:textId="77777777" w:rsidTr="00101B5A">
        <w:tc>
          <w:tcPr>
            <w:tcW w:w="2689" w:type="dxa"/>
          </w:tcPr>
          <w:p w14:paraId="1100358D" w14:textId="77777777" w:rsidR="008D64F9" w:rsidRPr="00F25959" w:rsidRDefault="008D64F9" w:rsidP="00F25959">
            <w:pPr>
              <w:pStyle w:val="BodyText"/>
              <w:rPr>
                <w:rtl/>
                <w:lang w:bidi="ar-LB"/>
              </w:rPr>
            </w:pPr>
            <w:r w:rsidRPr="00F25959">
              <w:rPr>
                <w:rtl/>
                <w:lang w:bidi="ar-LB"/>
              </w:rPr>
              <w:t>حكم مفصل (أستراليا)</w:t>
            </w:r>
          </w:p>
          <w:p w14:paraId="501323DC" w14:textId="77777777" w:rsidR="008D64F9" w:rsidRPr="00F25959" w:rsidRDefault="008D64F9" w:rsidP="00F25959">
            <w:pPr>
              <w:pStyle w:val="BodyText"/>
            </w:pPr>
          </w:p>
        </w:tc>
        <w:tc>
          <w:tcPr>
            <w:tcW w:w="3402" w:type="dxa"/>
          </w:tcPr>
          <w:p w14:paraId="09538D43" w14:textId="77777777" w:rsidR="008D64F9" w:rsidRPr="00F25959" w:rsidRDefault="008D64F9" w:rsidP="00F25959">
            <w:pPr>
              <w:pStyle w:val="BodyText"/>
              <w:rPr>
                <w:rtl/>
                <w:lang w:bidi="ar-LB"/>
              </w:rPr>
            </w:pPr>
            <w:r w:rsidRPr="00F25959">
              <w:rPr>
                <w:rtl/>
                <w:lang w:bidi="ar-LB"/>
              </w:rPr>
              <w:t>ل</w:t>
            </w:r>
            <w:r w:rsidRPr="00F25959">
              <w:rPr>
                <w:rFonts w:hint="cs"/>
                <w:rtl/>
                <w:lang w:bidi="ar-LB"/>
              </w:rPr>
              <w:t>يس هناك إ</w:t>
            </w:r>
            <w:r w:rsidRPr="00F25959">
              <w:rPr>
                <w:rtl/>
                <w:lang w:bidi="ar-LB"/>
              </w:rPr>
              <w:t>تاوة إعادة بيع ع</w:t>
            </w:r>
            <w:r w:rsidRPr="00F25959">
              <w:rPr>
                <w:rFonts w:hint="cs"/>
                <w:rtl/>
                <w:lang w:bidi="ar-LB"/>
              </w:rPr>
              <w:t xml:space="preserve">لى </w:t>
            </w:r>
            <w:r w:rsidRPr="00F25959">
              <w:rPr>
                <w:rtl/>
                <w:lang w:bidi="ar-LB"/>
              </w:rPr>
              <w:t>إعادة البيع التجاري للمصنف الفني إذا كان سعر البيع أقل:</w:t>
            </w:r>
          </w:p>
          <w:p w14:paraId="655EEAC0" w14:textId="77777777" w:rsidR="008D64F9" w:rsidRPr="00F25959" w:rsidRDefault="008D64F9" w:rsidP="00F25959">
            <w:pPr>
              <w:pStyle w:val="BodyText"/>
              <w:rPr>
                <w:rtl/>
                <w:lang w:bidi="ar-LB"/>
              </w:rPr>
            </w:pPr>
            <w:r w:rsidRPr="00F25959">
              <w:rPr>
                <w:rtl/>
                <w:lang w:bidi="ar-LB"/>
              </w:rPr>
              <w:t>(أ)</w:t>
            </w:r>
            <w:r w:rsidRPr="00F25959">
              <w:rPr>
                <w:rFonts w:hint="cs"/>
                <w:rtl/>
                <w:lang w:bidi="ar-LB"/>
              </w:rPr>
              <w:t xml:space="preserve">   </w:t>
            </w:r>
            <w:r w:rsidRPr="00F25959">
              <w:rPr>
                <w:rtl/>
                <w:lang w:bidi="ar-LB"/>
              </w:rPr>
              <w:t xml:space="preserve">من </w:t>
            </w:r>
            <w:r w:rsidRPr="00F25959">
              <w:rPr>
                <w:rFonts w:hint="cs"/>
                <w:rtl/>
                <w:lang w:bidi="ar-LB"/>
              </w:rPr>
              <w:t>1000</w:t>
            </w:r>
            <w:r w:rsidRPr="00F25959">
              <w:rPr>
                <w:rtl/>
                <w:lang w:bidi="ar-LB"/>
              </w:rPr>
              <w:t xml:space="preserve"> دولار أو، إذا تم دفع المبلغ بعملة أجنبية، من المبلغ المحسوب بالدولار باستخدام سعر الصرف المعمول به في وقت إعادة البيع التجاري والذي يعادل </w:t>
            </w:r>
            <w:r w:rsidRPr="00F25959">
              <w:rPr>
                <w:rFonts w:hint="cs"/>
                <w:rtl/>
                <w:lang w:bidi="ar-LB"/>
              </w:rPr>
              <w:t>1000</w:t>
            </w:r>
            <w:r w:rsidRPr="00F25959">
              <w:rPr>
                <w:rtl/>
                <w:lang w:bidi="ar-LB"/>
              </w:rPr>
              <w:t xml:space="preserve"> دولار؛ أو</w:t>
            </w:r>
          </w:p>
          <w:p w14:paraId="0560B66C" w14:textId="77777777" w:rsidR="008D64F9" w:rsidRPr="00F25959" w:rsidRDefault="008D64F9" w:rsidP="00F25959">
            <w:pPr>
              <w:pStyle w:val="BodyText"/>
              <w:rPr>
                <w:rtl/>
                <w:lang w:bidi="ar-LB"/>
              </w:rPr>
            </w:pPr>
            <w:r w:rsidRPr="00F25959">
              <w:rPr>
                <w:rtl/>
                <w:lang w:bidi="ar-LB"/>
              </w:rPr>
              <w:t xml:space="preserve">(ب) </w:t>
            </w:r>
            <w:r w:rsidRPr="00F25959">
              <w:rPr>
                <w:rFonts w:hint="cs"/>
                <w:rtl/>
                <w:lang w:bidi="ar-LB"/>
              </w:rPr>
              <w:t xml:space="preserve"> </w:t>
            </w:r>
            <w:r w:rsidRPr="00F25959">
              <w:rPr>
                <w:rtl/>
                <w:lang w:bidi="ar-LB"/>
              </w:rPr>
              <w:t>إذا تم تحديد مبلغ أعلى بموجب اللوائح - قيمة المبلغ الأعلى.</w:t>
            </w:r>
            <w:r w:rsidRPr="00F25959">
              <w:rPr>
                <w:vertAlign w:val="superscript"/>
              </w:rPr>
              <w:footnoteReference w:id="65"/>
            </w:r>
            <w:r w:rsidRPr="00F25959">
              <w:t xml:space="preserve"> </w:t>
            </w:r>
          </w:p>
        </w:tc>
        <w:tc>
          <w:tcPr>
            <w:tcW w:w="2919" w:type="dxa"/>
          </w:tcPr>
          <w:p w14:paraId="6A430B93" w14:textId="77777777" w:rsidR="008D64F9" w:rsidRPr="00F25959" w:rsidRDefault="008D64F9">
            <w:pPr>
              <w:pStyle w:val="BodyText"/>
              <w:numPr>
                <w:ilvl w:val="0"/>
                <w:numId w:val="16"/>
              </w:numPr>
              <w:ind w:left="360"/>
              <w:rPr>
                <w:rtl/>
                <w:lang w:bidi="ar-LB"/>
              </w:rPr>
            </w:pPr>
            <w:r w:rsidRPr="00F25959">
              <w:rPr>
                <w:rtl/>
                <w:lang w:bidi="ar-LB"/>
              </w:rPr>
              <w:t>يذكر النص أسعار الصرف</w:t>
            </w:r>
          </w:p>
          <w:p w14:paraId="47A273EB" w14:textId="7DB6A5FE" w:rsidR="008D64F9" w:rsidRPr="00F25959" w:rsidRDefault="008D64F9">
            <w:pPr>
              <w:pStyle w:val="BodyText"/>
              <w:numPr>
                <w:ilvl w:val="0"/>
                <w:numId w:val="16"/>
              </w:numPr>
              <w:ind w:left="360"/>
            </w:pPr>
            <w:r w:rsidRPr="00F25959">
              <w:rPr>
                <w:rtl/>
                <w:lang w:bidi="ar-LB"/>
              </w:rPr>
              <w:t>يسمح بتحديد حدًا أعلى في المستقبل</w:t>
            </w:r>
          </w:p>
        </w:tc>
      </w:tr>
      <w:tr w:rsidR="008D64F9" w:rsidRPr="00F25959" w14:paraId="43885830" w14:textId="77777777" w:rsidTr="00101B5A">
        <w:tc>
          <w:tcPr>
            <w:tcW w:w="2689" w:type="dxa"/>
          </w:tcPr>
          <w:p w14:paraId="192B19CA" w14:textId="77777777" w:rsidR="008D64F9" w:rsidRPr="00F25959" w:rsidRDefault="008D64F9" w:rsidP="00F25959">
            <w:pPr>
              <w:pStyle w:val="BodyText"/>
              <w:rPr>
                <w:rtl/>
                <w:lang w:bidi="ar-LB"/>
              </w:rPr>
            </w:pPr>
            <w:r w:rsidRPr="00F25959">
              <w:rPr>
                <w:rtl/>
                <w:lang w:bidi="ar-LB"/>
              </w:rPr>
              <w:t>الحدود الزمنية لحق التتبع (المفوضية الأوروبية)</w:t>
            </w:r>
          </w:p>
        </w:tc>
        <w:tc>
          <w:tcPr>
            <w:tcW w:w="3402" w:type="dxa"/>
          </w:tcPr>
          <w:p w14:paraId="25892AEF" w14:textId="77777777" w:rsidR="008D64F9" w:rsidRPr="00F25959" w:rsidRDefault="008D64F9" w:rsidP="00F25959">
            <w:pPr>
              <w:pStyle w:val="BodyText"/>
              <w:rPr>
                <w:rtl/>
                <w:lang w:bidi="ar-LB"/>
              </w:rPr>
            </w:pPr>
            <w:r w:rsidRPr="00F25959">
              <w:rPr>
                <w:rtl/>
                <w:lang w:bidi="ar-LB"/>
              </w:rPr>
              <w:t>يجوز للدول الأعضاء أن تنص على أن الحق المشار إليه في الفقرة 1 لا ينطبق على عمليات إعادة البيع في الحالات التي يكون فيها البائع قد حصل على المصنف مباشرة من المؤلف قبل أقل من ثلاث سنوات من عملية إعادة البيع وسعر إعادة البيع لا يتجاوز 10000 يورو.</w:t>
            </w:r>
            <w:r w:rsidRPr="00F25959">
              <w:t xml:space="preserve"> </w:t>
            </w:r>
            <w:r w:rsidRPr="00F25959">
              <w:rPr>
                <w:rtl/>
                <w:lang w:bidi="ar-LB"/>
              </w:rPr>
              <w:t>…</w:t>
            </w:r>
            <w:r w:rsidRPr="00F25959">
              <w:rPr>
                <w:vertAlign w:val="superscript"/>
              </w:rPr>
              <w:footnoteReference w:id="66"/>
            </w:r>
          </w:p>
        </w:tc>
        <w:tc>
          <w:tcPr>
            <w:tcW w:w="2919" w:type="dxa"/>
          </w:tcPr>
          <w:p w14:paraId="1A40D06B" w14:textId="77777777" w:rsidR="008D64F9" w:rsidRPr="00F25959" w:rsidRDefault="008D64F9">
            <w:pPr>
              <w:pStyle w:val="BodyText"/>
              <w:numPr>
                <w:ilvl w:val="0"/>
                <w:numId w:val="16"/>
              </w:numPr>
              <w:ind w:left="360"/>
              <w:rPr>
                <w:rtl/>
                <w:lang w:bidi="ar-LB"/>
              </w:rPr>
            </w:pPr>
            <w:r w:rsidRPr="00F25959">
              <w:rPr>
                <w:rtl/>
                <w:lang w:bidi="ar-LB"/>
              </w:rPr>
              <w:t>قد يعتبر المشرعون هذا الحكم حكماً عادلاً للمشتري اذ تم تحديد سقف لسعر إعادة البيع ضمن المهلة الزمنية المحددة.</w:t>
            </w:r>
            <w:r w:rsidRPr="00F25959">
              <w:t xml:space="preserve"> </w:t>
            </w:r>
          </w:p>
        </w:tc>
      </w:tr>
      <w:tr w:rsidR="008D64F9" w:rsidRPr="00F25959" w14:paraId="158C0550" w14:textId="77777777" w:rsidTr="00101B5A">
        <w:tc>
          <w:tcPr>
            <w:tcW w:w="2689" w:type="dxa"/>
          </w:tcPr>
          <w:p w14:paraId="60ABEF92" w14:textId="77777777" w:rsidR="008D64F9" w:rsidRPr="00F25959" w:rsidRDefault="008D64F9" w:rsidP="00F25959">
            <w:pPr>
              <w:pStyle w:val="BodyText"/>
              <w:rPr>
                <w:rtl/>
                <w:lang w:bidi="ar-LB"/>
              </w:rPr>
            </w:pPr>
            <w:r w:rsidRPr="00F25959">
              <w:rPr>
                <w:rtl/>
                <w:lang w:bidi="ar-LB"/>
              </w:rPr>
              <w:t>قائمة بعمليات إعادة البيع المستثناة (كينيا)</w:t>
            </w:r>
          </w:p>
        </w:tc>
        <w:tc>
          <w:tcPr>
            <w:tcW w:w="3402" w:type="dxa"/>
          </w:tcPr>
          <w:p w14:paraId="3F128E7A" w14:textId="77777777" w:rsidR="008D64F9" w:rsidRPr="00F25959" w:rsidRDefault="008D64F9" w:rsidP="00F25959">
            <w:pPr>
              <w:pStyle w:val="BodyText"/>
              <w:rPr>
                <w:rtl/>
                <w:lang w:bidi="ar-LB"/>
              </w:rPr>
            </w:pPr>
            <w:r w:rsidRPr="00F25959">
              <w:rPr>
                <w:rtl/>
                <w:lang w:bidi="ar-LB"/>
              </w:rPr>
              <w:t>26د (6) لا يجوز دفع أي إتاوة إعادة بيع عند إعادة البيع التجاري للمصنف الفني</w:t>
            </w:r>
          </w:p>
          <w:p w14:paraId="45F0C160" w14:textId="77777777" w:rsidR="008D64F9" w:rsidRPr="00F25959" w:rsidRDefault="008D64F9" w:rsidP="00F25959">
            <w:pPr>
              <w:pStyle w:val="BodyText"/>
              <w:rPr>
                <w:rtl/>
                <w:lang w:bidi="ar-LB"/>
              </w:rPr>
            </w:pPr>
            <w:r w:rsidRPr="00F25959">
              <w:rPr>
                <w:rtl/>
                <w:lang w:bidi="ar-LB"/>
              </w:rPr>
              <w:t>(أ) إذا كان سعر البيع أقل من 20000 شلن؛ أو</w:t>
            </w:r>
          </w:p>
          <w:p w14:paraId="40375EA9" w14:textId="77777777" w:rsidR="008D64F9" w:rsidRPr="00F25959" w:rsidRDefault="008D64F9" w:rsidP="00F25959">
            <w:pPr>
              <w:pStyle w:val="BodyText"/>
              <w:rPr>
                <w:rtl/>
                <w:lang w:bidi="ar-LB"/>
              </w:rPr>
            </w:pPr>
            <w:r w:rsidRPr="00F25959">
              <w:rPr>
                <w:rtl/>
                <w:lang w:bidi="ar-LB"/>
              </w:rPr>
              <w:lastRenderedPageBreak/>
              <w:t>(ب) إذا كانت العملية هي عملية إعادة بيع أرض، أو رسم أو مخطط أو نموذج لمبنى؛ أو</w:t>
            </w:r>
          </w:p>
          <w:p w14:paraId="27374A9E" w14:textId="77777777" w:rsidR="008D64F9" w:rsidRPr="00F25959" w:rsidRDefault="008D64F9" w:rsidP="00F25959">
            <w:pPr>
              <w:pStyle w:val="BodyText"/>
              <w:rPr>
                <w:rtl/>
                <w:lang w:bidi="ar-LB"/>
              </w:rPr>
            </w:pPr>
            <w:r w:rsidRPr="00F25959">
              <w:rPr>
                <w:rtl/>
                <w:lang w:bidi="ar-LB"/>
              </w:rPr>
              <w:t>(ج) إذا كان المزاد لأغراض خيرية؛ أو</w:t>
            </w:r>
          </w:p>
          <w:p w14:paraId="0F366558" w14:textId="77777777" w:rsidR="008D64F9" w:rsidRPr="00F25959" w:rsidRDefault="008D64F9" w:rsidP="00F25959">
            <w:pPr>
              <w:pStyle w:val="BodyText"/>
              <w:rPr>
                <w:rtl/>
                <w:lang w:bidi="ar-LB"/>
              </w:rPr>
            </w:pPr>
            <w:r w:rsidRPr="00F25959">
              <w:rPr>
                <w:rtl/>
                <w:lang w:bidi="ar-LB"/>
              </w:rPr>
              <w:t>(د) إذا كانت المصنفات الفنية المنتجة عبارة عن نسخ متطابقة؛ أو</w:t>
            </w:r>
          </w:p>
          <w:p w14:paraId="34DAA18F" w14:textId="77777777" w:rsidR="008D64F9" w:rsidRPr="00F25959" w:rsidRDefault="008D64F9" w:rsidP="00F25959">
            <w:pPr>
              <w:pStyle w:val="BodyText"/>
              <w:rPr>
                <w:rtl/>
                <w:lang w:bidi="ar-LB"/>
              </w:rPr>
            </w:pPr>
            <w:r w:rsidRPr="00F25959">
              <w:rPr>
                <w:rtl/>
                <w:lang w:bidi="ar-LB"/>
              </w:rPr>
              <w:t>(هـ) إذا كانت عملية إعادة البيع تتعلق بمخطوطة مصنف أدبي أو درامي أو موسيقي</w:t>
            </w:r>
            <w:r w:rsidRPr="00F25959">
              <w:rPr>
                <w:vertAlign w:val="superscript"/>
              </w:rPr>
              <w:footnoteReference w:id="67"/>
            </w:r>
          </w:p>
          <w:p w14:paraId="4274B474" w14:textId="77777777" w:rsidR="008D64F9" w:rsidRPr="00F25959" w:rsidDel="00EF0D3E" w:rsidRDefault="008D64F9" w:rsidP="00F25959">
            <w:pPr>
              <w:pStyle w:val="BodyText"/>
            </w:pPr>
          </w:p>
        </w:tc>
        <w:tc>
          <w:tcPr>
            <w:tcW w:w="2919" w:type="dxa"/>
          </w:tcPr>
          <w:p w14:paraId="123BA740" w14:textId="77777777" w:rsidR="008D64F9" w:rsidRPr="00F25959" w:rsidRDefault="008D64F9">
            <w:pPr>
              <w:pStyle w:val="BodyText"/>
              <w:numPr>
                <w:ilvl w:val="0"/>
                <w:numId w:val="16"/>
              </w:numPr>
              <w:ind w:left="360"/>
              <w:rPr>
                <w:rtl/>
                <w:lang w:bidi="ar-LB"/>
              </w:rPr>
            </w:pPr>
            <w:r w:rsidRPr="00F25959">
              <w:rPr>
                <w:rtl/>
                <w:lang w:bidi="ar-LB"/>
              </w:rPr>
              <w:lastRenderedPageBreak/>
              <w:t>تشمل هذه الاستثناءات المختلفة المزادات المخصصة للأغراض الخيرية.</w:t>
            </w:r>
          </w:p>
        </w:tc>
      </w:tr>
      <w:tr w:rsidR="008D64F9" w:rsidRPr="00F25959" w14:paraId="3B0883DD" w14:textId="77777777" w:rsidTr="00101B5A">
        <w:tc>
          <w:tcPr>
            <w:tcW w:w="2689" w:type="dxa"/>
          </w:tcPr>
          <w:p w14:paraId="37B49758" w14:textId="77777777" w:rsidR="008D64F9" w:rsidRPr="00F25959" w:rsidRDefault="008D64F9" w:rsidP="00F25959">
            <w:pPr>
              <w:pStyle w:val="BodyText"/>
              <w:rPr>
                <w:rtl/>
                <w:lang w:bidi="ar-LB"/>
              </w:rPr>
            </w:pPr>
            <w:r w:rsidRPr="00F25959">
              <w:rPr>
                <w:rtl/>
                <w:lang w:bidi="ar-LB"/>
              </w:rPr>
              <w:t>استثناء بعض عمليات إعادة البيع وعمليات البيع للمتاحف (السويد)</w:t>
            </w:r>
          </w:p>
        </w:tc>
        <w:tc>
          <w:tcPr>
            <w:tcW w:w="3402" w:type="dxa"/>
          </w:tcPr>
          <w:p w14:paraId="261ED72C" w14:textId="77777777" w:rsidR="008D64F9" w:rsidRPr="00F25959" w:rsidRDefault="008D64F9" w:rsidP="00F25959">
            <w:pPr>
              <w:pStyle w:val="BodyText"/>
              <w:rPr>
                <w:rtl/>
                <w:lang w:bidi="ar-LB"/>
              </w:rPr>
            </w:pPr>
            <w:r w:rsidRPr="00F25959">
              <w:rPr>
                <w:rtl/>
                <w:lang w:bidi="ar-LB"/>
              </w:rPr>
              <w:t>المادة 26ن</w:t>
            </w:r>
            <w:r w:rsidRPr="00F25959">
              <w:t xml:space="preserve"> </w:t>
            </w:r>
            <w:r w:rsidRPr="00F25959">
              <w:rPr>
                <w:rtl/>
                <w:lang w:bidi="ar-LB"/>
              </w:rPr>
              <w:t>….</w:t>
            </w:r>
          </w:p>
          <w:p w14:paraId="08318269" w14:textId="77777777" w:rsidR="008D64F9" w:rsidRPr="00F25959" w:rsidRDefault="008D64F9" w:rsidP="00F25959">
            <w:pPr>
              <w:pStyle w:val="BodyText"/>
              <w:rPr>
                <w:rtl/>
                <w:lang w:bidi="ar-LB"/>
              </w:rPr>
            </w:pPr>
            <w:r w:rsidRPr="00F25959">
              <w:rPr>
                <w:rtl/>
                <w:lang w:bidi="ar-LB"/>
              </w:rPr>
              <w:t>لا يحق للمؤلف الحصول على عائدات إذا:</w:t>
            </w:r>
          </w:p>
          <w:p w14:paraId="6E64BE4C" w14:textId="77777777" w:rsidR="008D64F9" w:rsidRPr="00F25959" w:rsidRDefault="008D64F9" w:rsidP="00F25959">
            <w:pPr>
              <w:pStyle w:val="BodyText"/>
              <w:rPr>
                <w:rtl/>
                <w:lang w:bidi="ar-LB"/>
              </w:rPr>
            </w:pPr>
            <w:r w:rsidRPr="00F25959">
              <w:rPr>
                <w:rtl/>
                <w:lang w:bidi="ar-LB"/>
              </w:rPr>
              <w:t>…</w:t>
            </w:r>
          </w:p>
          <w:p w14:paraId="29E566BE" w14:textId="77777777" w:rsidR="008D64F9" w:rsidRPr="00F25959" w:rsidRDefault="008D64F9" w:rsidP="00F25959">
            <w:pPr>
              <w:pStyle w:val="BodyText"/>
              <w:rPr>
                <w:rtl/>
                <w:lang w:bidi="ar-LB"/>
              </w:rPr>
            </w:pPr>
            <w:r w:rsidRPr="00F25959">
              <w:rPr>
                <w:rtl/>
                <w:lang w:bidi="ar-LB"/>
              </w:rPr>
              <w:t>2. يتعلق البيع بنسخة من عمل معماري متجسد على شكل مبنى، أو</w:t>
            </w:r>
            <w:r w:rsidRPr="00F25959">
              <w:t xml:space="preserve"> </w:t>
            </w:r>
          </w:p>
          <w:p w14:paraId="60A347AF" w14:textId="77777777" w:rsidR="008D64F9" w:rsidRPr="00F25959" w:rsidRDefault="008D64F9" w:rsidP="00F25959">
            <w:pPr>
              <w:pStyle w:val="BodyText"/>
              <w:rPr>
                <w:rtl/>
                <w:lang w:bidi="ar-LB"/>
              </w:rPr>
            </w:pPr>
            <w:r w:rsidRPr="00F25959">
              <w:rPr>
                <w:rtl/>
                <w:lang w:bidi="ar-LB"/>
              </w:rPr>
              <w:t>3. يقوم شخص عادي ببيع المصنف إلى متحف مفتوح للجمهور ويقوم بنشاطه من دون تحقيق أي ربح، في حال لم تشارك أي جهة متخصصة في سوق المصنفات الفنية في عملية البيع.</w:t>
            </w:r>
            <w:r w:rsidRPr="00F25959">
              <w:rPr>
                <w:vertAlign w:val="superscript"/>
                <w:rtl/>
                <w:lang w:bidi="ar-LB"/>
              </w:rPr>
              <w:footnoteReference w:id="68"/>
            </w:r>
          </w:p>
          <w:p w14:paraId="7301FB68" w14:textId="77777777" w:rsidR="008D64F9" w:rsidRPr="00F25959" w:rsidRDefault="008D64F9" w:rsidP="00F25959">
            <w:pPr>
              <w:pStyle w:val="BodyText"/>
            </w:pPr>
          </w:p>
        </w:tc>
        <w:tc>
          <w:tcPr>
            <w:tcW w:w="2919" w:type="dxa"/>
          </w:tcPr>
          <w:p w14:paraId="2E16C822" w14:textId="77777777" w:rsidR="008D64F9" w:rsidRPr="00F25959" w:rsidRDefault="008D64F9">
            <w:pPr>
              <w:pStyle w:val="BodyText"/>
              <w:numPr>
                <w:ilvl w:val="0"/>
                <w:numId w:val="16"/>
              </w:numPr>
              <w:ind w:left="360"/>
              <w:rPr>
                <w:rtl/>
                <w:lang w:bidi="ar-LB"/>
              </w:rPr>
            </w:pPr>
            <w:r w:rsidRPr="00F25959">
              <w:rPr>
                <w:rtl/>
                <w:lang w:bidi="ar-LB"/>
              </w:rPr>
              <w:t>توجد هنا استثناءات أخرى للمباني التي تجسد الأعمال المعمارية وعمليات البيع الخاصة للمتاحف العامة في ظل ظروف معينة.</w:t>
            </w:r>
            <w:r w:rsidRPr="00F25959">
              <w:t xml:space="preserve"> </w:t>
            </w:r>
          </w:p>
        </w:tc>
      </w:tr>
    </w:tbl>
    <w:p w14:paraId="2B0386EE" w14:textId="77777777" w:rsidR="008D64F9" w:rsidRPr="008D64F9" w:rsidRDefault="008D64F9" w:rsidP="00534856">
      <w:pPr>
        <w:pStyle w:val="Heading2"/>
        <w:rPr>
          <w:rtl/>
        </w:rPr>
      </w:pPr>
      <w:r w:rsidRPr="008D64F9">
        <w:rPr>
          <w:rtl/>
        </w:rPr>
        <w:t>ما الذي يشمله سعر البيع/إعادة البيع؟</w:t>
      </w:r>
    </w:p>
    <w:p w14:paraId="415C2A22" w14:textId="77777777" w:rsidR="008D64F9" w:rsidRPr="008D64F9" w:rsidRDefault="008D64F9" w:rsidP="00F25959">
      <w:pPr>
        <w:pStyle w:val="ONUMA"/>
        <w:rPr>
          <w:rtl/>
          <w:lang w:bidi="ar-LB"/>
        </w:rPr>
      </w:pPr>
      <w:r w:rsidRPr="008D64F9">
        <w:rPr>
          <w:rtl/>
          <w:lang w:bidi="ar-LB"/>
        </w:rPr>
        <w:t>سعر البيع/إعادة البيع هو السعر الذي حصل عليه المصنف عند سقوط المطرقة في حالة البيع بالمزاد العلني أو السعر الذي تم الاتفاق عليه لدفعه للبائع بمشاركة جهات متخصصة في سوق المصنفات الفنية.</w:t>
      </w:r>
      <w:r w:rsidRPr="008D64F9">
        <w:rPr>
          <w:lang w:val="en-AU"/>
        </w:rPr>
        <w:t xml:space="preserve"> </w:t>
      </w:r>
      <w:r w:rsidRPr="008D64F9">
        <w:rPr>
          <w:rtl/>
          <w:lang w:bidi="ar-LB"/>
        </w:rPr>
        <w:t>وبشكل عام، يجب عدم خصم أي مبلغ من هذا السعر عند حساب إتاوة إعادة البيع للمصنف الفني، لأن هذا الأمر سيجعل من مهمة الحساب أسهل بكثير وسيكون أكثر إنصافا للمؤلف بطبيعة الحال.</w:t>
      </w:r>
      <w:r w:rsidRPr="008D64F9">
        <w:rPr>
          <w:lang w:val="en-AU"/>
        </w:rPr>
        <w:t xml:space="preserve"> </w:t>
      </w:r>
      <w:r w:rsidRPr="008D64F9">
        <w:rPr>
          <w:rtl/>
          <w:lang w:bidi="ar-LB"/>
        </w:rPr>
        <w:t>وهذه المسألة لم يتم تناولها بشكل مباشر في المادة 14(ثالثا) من اتفاقية برن.</w:t>
      </w:r>
      <w:r w:rsidRPr="008D64F9">
        <w:rPr>
          <w:i/>
          <w:lang w:val="en-AU"/>
        </w:rPr>
        <w:t xml:space="preserve"> </w:t>
      </w:r>
      <w:r w:rsidRPr="008D64F9">
        <w:rPr>
          <w:rtl/>
          <w:lang w:bidi="ar-LB"/>
        </w:rPr>
        <w:t xml:space="preserve">  </w:t>
      </w:r>
    </w:p>
    <w:p w14:paraId="4CD2CE40" w14:textId="77777777" w:rsidR="008D64F9" w:rsidRPr="008D64F9" w:rsidRDefault="008D64F9" w:rsidP="00F25959">
      <w:pPr>
        <w:pStyle w:val="ONUMA"/>
        <w:rPr>
          <w:rtl/>
          <w:lang w:bidi="ar-LB"/>
        </w:rPr>
      </w:pPr>
      <w:r w:rsidRPr="008D64F9">
        <w:rPr>
          <w:rtl/>
          <w:lang w:bidi="ar-LB"/>
        </w:rPr>
        <w:t>وبموجب بعض مخططات حق التتبع الوطنية، لا يتضمن سعر البيع أي ضرائب قد تكون مستحقة الدفع عند تنفيذ عملية البيع، على سبيل المثال، في الاتحاد الأوروبي</w:t>
      </w:r>
      <w:r w:rsidRPr="008D64F9">
        <w:rPr>
          <w:vertAlign w:val="superscript"/>
          <w:lang w:val="en-GB"/>
        </w:rPr>
        <w:footnoteReference w:id="69"/>
      </w:r>
      <w:r w:rsidRPr="008D64F9">
        <w:rPr>
          <w:rtl/>
          <w:lang w:bidi="ar-LB"/>
        </w:rPr>
        <w:t>.</w:t>
      </w:r>
      <w:r w:rsidRPr="008D64F9">
        <w:rPr>
          <w:lang w:val="en-AU"/>
        </w:rPr>
        <w:t xml:space="preserve"> </w:t>
      </w:r>
      <w:r w:rsidRPr="008D64F9">
        <w:rPr>
          <w:rtl/>
          <w:lang w:bidi="ar-LB"/>
        </w:rPr>
        <w:t>وفي بلدان أخرى، مثل أستراليا، يتم تضمين ضريبة القيمة المضافة (أو ضريبة السلع والخدمات) في سعر إعادة البيع، في حين لا يتم حساب الضرائب الأخرى.</w:t>
      </w:r>
      <w:r w:rsidRPr="008D64F9">
        <w:rPr>
          <w:vertAlign w:val="superscript"/>
          <w:lang w:val="en-GB"/>
        </w:rPr>
        <w:footnoteReference w:id="70"/>
      </w:r>
      <w:r w:rsidRPr="008D64F9">
        <w:rPr>
          <w:lang w:val="en-AU"/>
        </w:rPr>
        <w:t xml:space="preserve"> </w:t>
      </w:r>
      <w:r w:rsidRPr="008D64F9">
        <w:rPr>
          <w:rtl/>
          <w:lang w:bidi="ar-LB"/>
        </w:rPr>
        <w:t>وهناك مسألة أخرى ينبغي النظر فيها وهي ما إذا كان ينبغي تضمين في سعر البيع المبلغ الإضافي الذي يدفعه المشتري الفائز بالمزاد لدار المزادات (يكون عادةً نسبة مئوية من سعر البيع) عند حساب إتاوة إعادة بيع المصنف الفني.</w:t>
      </w:r>
      <w:r w:rsidRPr="008D64F9">
        <w:rPr>
          <w:lang w:val="en-AU"/>
        </w:rPr>
        <w:t xml:space="preserve"> </w:t>
      </w:r>
      <w:r w:rsidRPr="008D64F9">
        <w:rPr>
          <w:rtl/>
          <w:lang w:bidi="ar-LB"/>
        </w:rPr>
        <w:t>وهذه مسألة مثيرة للجدل حيث قد يتم اضافة هذا المبلغ إلى سعر إعادة البيع رغم أن دار المزادات هو الذي يحصل عليه وليس البائع.</w:t>
      </w:r>
    </w:p>
    <w:p w14:paraId="6A7AA757" w14:textId="77777777" w:rsidR="008D64F9" w:rsidRPr="008D64F9" w:rsidRDefault="008D64F9" w:rsidP="00F25959">
      <w:pPr>
        <w:pStyle w:val="ONUMA"/>
        <w:rPr>
          <w:rtl/>
          <w:lang w:bidi="ar-LB"/>
        </w:rPr>
      </w:pPr>
      <w:r w:rsidRPr="008D64F9">
        <w:rPr>
          <w:rtl/>
          <w:lang w:bidi="ar-LB"/>
        </w:rPr>
        <w:lastRenderedPageBreak/>
        <w:t>وعند تحديد كيفية حساب سعر إعادة البيع، تحتاج كل دولة إلى ال</w:t>
      </w:r>
      <w:r w:rsidRPr="008D64F9">
        <w:rPr>
          <w:rFonts w:hint="cs"/>
          <w:rtl/>
          <w:lang w:bidi="ar-LB"/>
        </w:rPr>
        <w:t xml:space="preserve">نظر </w:t>
      </w:r>
      <w:r w:rsidRPr="008D64F9">
        <w:rPr>
          <w:rtl/>
          <w:lang w:bidi="ar-LB"/>
        </w:rPr>
        <w:t xml:space="preserve">بعناية </w:t>
      </w:r>
      <w:r w:rsidRPr="008D64F9">
        <w:rPr>
          <w:rFonts w:hint="cs"/>
          <w:rtl/>
          <w:lang w:bidi="ar-LB"/>
        </w:rPr>
        <w:t xml:space="preserve">في </w:t>
      </w:r>
      <w:r w:rsidRPr="008D64F9">
        <w:rPr>
          <w:rtl/>
          <w:lang w:bidi="ar-LB"/>
        </w:rPr>
        <w:t>الطريقة التي تعمل بها أسواق إعادة بيع المصنفات الفنية ونظام الضرائب الوطني، إذ قد يتم التعامل مع هذه المسائل بشكل مختلف بين بلد وآخر.</w:t>
      </w:r>
      <w:r w:rsidRPr="008D64F9">
        <w:rPr>
          <w:lang w:val="en-AU"/>
        </w:rPr>
        <w:t xml:space="preserve"> </w:t>
      </w:r>
      <w:r w:rsidRPr="008D64F9">
        <w:rPr>
          <w:rtl/>
          <w:lang w:bidi="ar-LB"/>
        </w:rPr>
        <w:t>ومع أخذ ذلك في الاعتبار، نقترح بعض الأحكام النموذجية في الجدول التالي.</w:t>
      </w:r>
    </w:p>
    <w:p w14:paraId="0CDDB0EF" w14:textId="77777777" w:rsidR="008D64F9" w:rsidRPr="008D64F9" w:rsidRDefault="008D64F9" w:rsidP="00F25959">
      <w:pPr>
        <w:spacing w:after="240"/>
        <w:rPr>
          <w:rFonts w:asciiTheme="minorHAnsi" w:hAnsiTheme="minorHAnsi" w:cstheme="minorHAnsi"/>
          <w:bCs/>
          <w:i/>
          <w:iCs/>
          <w:rtl/>
          <w:lang w:bidi="ar-LB"/>
        </w:rPr>
      </w:pPr>
      <w:r w:rsidRPr="008D64F9">
        <w:rPr>
          <w:rFonts w:asciiTheme="minorHAnsi" w:hAnsiTheme="minorHAnsi" w:cstheme="minorHAnsi"/>
          <w:bCs/>
          <w:i/>
          <w:iCs/>
          <w:rtl/>
          <w:lang w:bidi="ar-LB"/>
        </w:rPr>
        <w:t>الجدول 7</w:t>
      </w:r>
    </w:p>
    <w:tbl>
      <w:tblPr>
        <w:tblStyle w:val="TableGrid"/>
        <w:bidiVisual/>
        <w:tblW w:w="0" w:type="auto"/>
        <w:tblLook w:val="04A0" w:firstRow="1" w:lastRow="0" w:firstColumn="1" w:lastColumn="0" w:noHBand="0" w:noVBand="1"/>
      </w:tblPr>
      <w:tblGrid>
        <w:gridCol w:w="3003"/>
        <w:gridCol w:w="3003"/>
        <w:gridCol w:w="3004"/>
      </w:tblGrid>
      <w:tr w:rsidR="008D64F9" w:rsidRPr="008D64F9" w14:paraId="23981FE6" w14:textId="77777777" w:rsidTr="00101B5A">
        <w:tc>
          <w:tcPr>
            <w:tcW w:w="3003" w:type="dxa"/>
          </w:tcPr>
          <w:p w14:paraId="43AE86E3" w14:textId="77777777" w:rsidR="008D64F9" w:rsidRPr="00F25959" w:rsidRDefault="008D64F9" w:rsidP="00F25959">
            <w:pPr>
              <w:pStyle w:val="BodyText"/>
              <w:rPr>
                <w:b/>
                <w:bCs/>
                <w:rtl/>
                <w:lang w:bidi="ar-LB"/>
              </w:rPr>
            </w:pPr>
            <w:r w:rsidRPr="00F25959">
              <w:rPr>
                <w:b/>
                <w:bCs/>
                <w:rtl/>
                <w:lang w:bidi="ar-LB"/>
              </w:rPr>
              <w:t>نوع الحكم</w:t>
            </w:r>
          </w:p>
        </w:tc>
        <w:tc>
          <w:tcPr>
            <w:tcW w:w="3003" w:type="dxa"/>
          </w:tcPr>
          <w:p w14:paraId="19798C75" w14:textId="77777777" w:rsidR="008D64F9" w:rsidRPr="00F25959" w:rsidRDefault="008D64F9" w:rsidP="00F25959">
            <w:pPr>
              <w:pStyle w:val="BodyText"/>
              <w:rPr>
                <w:b/>
                <w:bCs/>
                <w:rtl/>
                <w:lang w:bidi="ar-LB"/>
              </w:rPr>
            </w:pPr>
            <w:r w:rsidRPr="00F25959">
              <w:rPr>
                <w:b/>
                <w:bCs/>
                <w:rtl/>
                <w:lang w:bidi="ar-LB"/>
              </w:rPr>
              <w:t>النص المقترح</w:t>
            </w:r>
          </w:p>
        </w:tc>
        <w:tc>
          <w:tcPr>
            <w:tcW w:w="3004" w:type="dxa"/>
          </w:tcPr>
          <w:p w14:paraId="670E1DBF" w14:textId="77777777" w:rsidR="008D64F9" w:rsidRPr="00F25959" w:rsidRDefault="008D64F9" w:rsidP="00F25959">
            <w:pPr>
              <w:pStyle w:val="BodyText"/>
              <w:rPr>
                <w:b/>
                <w:bCs/>
                <w:rtl/>
                <w:lang w:bidi="ar-LB"/>
              </w:rPr>
            </w:pPr>
            <w:r w:rsidRPr="00F25959">
              <w:rPr>
                <w:b/>
                <w:bCs/>
                <w:rtl/>
                <w:lang w:bidi="ar-LB"/>
              </w:rPr>
              <w:t>تعليقات/ملاحظات</w:t>
            </w:r>
          </w:p>
        </w:tc>
      </w:tr>
      <w:tr w:rsidR="008D64F9" w:rsidRPr="008D64F9" w14:paraId="2E541BBA" w14:textId="77777777" w:rsidTr="00101B5A">
        <w:tc>
          <w:tcPr>
            <w:tcW w:w="3003" w:type="dxa"/>
          </w:tcPr>
          <w:p w14:paraId="1E0C8988" w14:textId="77777777" w:rsidR="008D64F9" w:rsidRPr="008D64F9" w:rsidRDefault="008D64F9" w:rsidP="00F25959">
            <w:pPr>
              <w:pStyle w:val="BodyText"/>
              <w:rPr>
                <w:rtl/>
                <w:lang w:bidi="ar-LB"/>
              </w:rPr>
            </w:pPr>
            <w:r w:rsidRPr="008D64F9">
              <w:rPr>
                <w:rtl/>
                <w:lang w:bidi="ar-LB"/>
              </w:rPr>
              <w:t>استثناء الضرائب بشكل عام من سعر إعادة البيع.</w:t>
            </w:r>
          </w:p>
        </w:tc>
        <w:tc>
          <w:tcPr>
            <w:tcW w:w="3003" w:type="dxa"/>
          </w:tcPr>
          <w:p w14:paraId="6204EB1D" w14:textId="77777777" w:rsidR="008D64F9" w:rsidRPr="008D64F9" w:rsidRDefault="008D64F9" w:rsidP="00F25959">
            <w:pPr>
              <w:pStyle w:val="BodyText"/>
              <w:rPr>
                <w:rtl/>
                <w:lang w:bidi="ar-LB"/>
              </w:rPr>
            </w:pPr>
            <w:r w:rsidRPr="008D64F9">
              <w:rPr>
                <w:rtl/>
                <w:lang w:bidi="ar-LB"/>
              </w:rPr>
              <w:t>سعر البيع المنصوص عليه في المادتين 3 و4 هو السعر الصافي.</w:t>
            </w:r>
            <w:r w:rsidRPr="008D64F9">
              <w:rPr>
                <w:vertAlign w:val="superscript"/>
                <w:lang w:val="en-GB"/>
              </w:rPr>
              <w:footnoteReference w:id="71"/>
            </w:r>
          </w:p>
        </w:tc>
        <w:tc>
          <w:tcPr>
            <w:tcW w:w="3004" w:type="dxa"/>
          </w:tcPr>
          <w:p w14:paraId="71BCA707" w14:textId="77777777" w:rsidR="008D64F9" w:rsidRPr="008D64F9" w:rsidRDefault="008D64F9">
            <w:pPr>
              <w:pStyle w:val="BodyText"/>
              <w:numPr>
                <w:ilvl w:val="0"/>
                <w:numId w:val="16"/>
              </w:numPr>
              <w:ind w:left="360"/>
              <w:rPr>
                <w:rtl/>
                <w:lang w:bidi="ar-LB"/>
              </w:rPr>
            </w:pPr>
            <w:r w:rsidRPr="008D64F9">
              <w:rPr>
                <w:rtl/>
                <w:lang w:bidi="ar-LB"/>
              </w:rPr>
              <w:t>يستثني جميع الضرائب المستحقة المرتبطة بعملية البيع، بما في ذلك ضريبة القيمة المضافة (الأكثر شيوعًا)</w:t>
            </w:r>
          </w:p>
          <w:p w14:paraId="6D609C2B" w14:textId="77777777" w:rsidR="008D64F9" w:rsidRPr="008D64F9" w:rsidRDefault="008D64F9">
            <w:pPr>
              <w:pStyle w:val="BodyText"/>
              <w:numPr>
                <w:ilvl w:val="0"/>
                <w:numId w:val="16"/>
              </w:numPr>
              <w:ind w:left="360"/>
              <w:rPr>
                <w:rtl/>
                <w:lang w:bidi="ar-LB"/>
              </w:rPr>
            </w:pPr>
            <w:r w:rsidRPr="008D64F9">
              <w:rPr>
                <w:rtl/>
                <w:lang w:bidi="ar-LB"/>
              </w:rPr>
              <w:t>يقلل من قيمة إتاوةحق التتبع المستحقة للمؤلف.</w:t>
            </w:r>
            <w:r w:rsidRPr="008D64F9">
              <w:rPr>
                <w:lang w:val="en-AU"/>
              </w:rPr>
              <w:t xml:space="preserve"> </w:t>
            </w:r>
          </w:p>
        </w:tc>
      </w:tr>
      <w:tr w:rsidR="008D64F9" w:rsidRPr="008D64F9" w14:paraId="578ADF43" w14:textId="77777777" w:rsidTr="00101B5A">
        <w:tc>
          <w:tcPr>
            <w:tcW w:w="3003" w:type="dxa"/>
          </w:tcPr>
          <w:p w14:paraId="6BB87D05" w14:textId="77777777" w:rsidR="008D64F9" w:rsidRPr="008D64F9" w:rsidRDefault="008D64F9" w:rsidP="00F25959">
            <w:pPr>
              <w:pStyle w:val="BodyText"/>
              <w:rPr>
                <w:rtl/>
                <w:lang w:bidi="ar-LB"/>
              </w:rPr>
            </w:pPr>
            <w:r w:rsidRPr="008D64F9">
              <w:rPr>
                <w:rtl/>
                <w:lang w:bidi="ar-LB"/>
              </w:rPr>
              <w:t>سعر إعادة البيع يشمل الضريبة ولكن يستثني الحكم المبلغ الإضافي الذي يدفعه المشتري الفائز بالمزاد لدار المزادات</w:t>
            </w:r>
            <w:r w:rsidRPr="008D64F9">
              <w:t xml:space="preserve"> </w:t>
            </w:r>
          </w:p>
        </w:tc>
        <w:tc>
          <w:tcPr>
            <w:tcW w:w="3003" w:type="dxa"/>
          </w:tcPr>
          <w:p w14:paraId="1FA1097A" w14:textId="77777777" w:rsidR="008D64F9" w:rsidRPr="008D64F9" w:rsidRDefault="008D64F9" w:rsidP="00F25959">
            <w:pPr>
              <w:pStyle w:val="BodyText"/>
              <w:rPr>
                <w:rtl/>
                <w:lang w:bidi="ar-LB"/>
              </w:rPr>
            </w:pPr>
            <w:r w:rsidRPr="008D64F9">
              <w:rPr>
                <w:i/>
                <w:rtl/>
                <w:lang w:bidi="ar-LB"/>
              </w:rPr>
              <w:t>سعر البيع عند إعادة البيع التجاري للمصنف الفني يعني المبلغ الذي يدفعه المشتري مقابل المصنف الفني عند إعادة البيع التجاري بما في ذلك ضريبة السلع والخدمات ولكنه لا يشمل أي مبلغ إضافي يدفعه المشتري الفائز بالمزاد لدار المزادات أو أي ضريبة أخرى مستحقة مرتبطة بعملية البيع</w:t>
            </w:r>
            <w:r w:rsidRPr="008D64F9">
              <w:rPr>
                <w:rtl/>
                <w:lang w:bidi="ar-LB"/>
              </w:rPr>
              <w:t>.</w:t>
            </w:r>
            <w:r w:rsidRPr="008D64F9">
              <w:rPr>
                <w:vertAlign w:val="superscript"/>
                <w:lang w:val="en-GB"/>
              </w:rPr>
              <w:footnoteReference w:id="72"/>
            </w:r>
            <w:r w:rsidRPr="008D64F9">
              <w:rPr>
                <w:lang w:val="en-AU"/>
              </w:rPr>
              <w:t xml:space="preserve"> </w:t>
            </w:r>
          </w:p>
        </w:tc>
        <w:tc>
          <w:tcPr>
            <w:tcW w:w="3004" w:type="dxa"/>
          </w:tcPr>
          <w:p w14:paraId="7FF54D15" w14:textId="77777777" w:rsidR="008D64F9" w:rsidRPr="008D64F9" w:rsidRDefault="008D64F9">
            <w:pPr>
              <w:pStyle w:val="BodyText"/>
              <w:numPr>
                <w:ilvl w:val="0"/>
                <w:numId w:val="16"/>
              </w:numPr>
              <w:ind w:left="360"/>
              <w:rPr>
                <w:rtl/>
                <w:lang w:bidi="ar-LB"/>
              </w:rPr>
            </w:pPr>
            <w:r w:rsidRPr="008D64F9">
              <w:rPr>
                <w:rtl/>
                <w:lang w:bidi="ar-LB"/>
              </w:rPr>
              <w:t>تم شمل ضريبة القيمة المضافة (ضريبة الخدمات العامة أو ضريبة السلع والخدمات) في الحساب، والتي ينبغي أن تزيد من سعر البيع الذي يتم على أساسه حساب إتاوة إعادة البيع للمصنفات الفنية.</w:t>
            </w:r>
          </w:p>
          <w:p w14:paraId="009B0E93" w14:textId="77777777" w:rsidR="008D64F9" w:rsidRPr="008D64F9" w:rsidRDefault="008D64F9">
            <w:pPr>
              <w:pStyle w:val="BodyText"/>
              <w:numPr>
                <w:ilvl w:val="0"/>
                <w:numId w:val="16"/>
              </w:numPr>
              <w:ind w:left="360"/>
              <w:rPr>
                <w:rtl/>
                <w:lang w:bidi="ar-LB"/>
              </w:rPr>
            </w:pPr>
            <w:r w:rsidRPr="008D64F9">
              <w:rPr>
                <w:rtl/>
                <w:lang w:bidi="ar-LB"/>
              </w:rPr>
              <w:t>لا يشمل الحكم الضرائب الأخرى والمبلغ الإضافي الذي يدفعه المشتري الفائز بالمزاد لدار المزادات.</w:t>
            </w:r>
          </w:p>
        </w:tc>
      </w:tr>
      <w:tr w:rsidR="008D64F9" w:rsidRPr="008D64F9" w14:paraId="06F47D3A" w14:textId="77777777" w:rsidTr="00101B5A">
        <w:tc>
          <w:tcPr>
            <w:tcW w:w="3003" w:type="dxa"/>
          </w:tcPr>
          <w:p w14:paraId="05A40096" w14:textId="77777777" w:rsidR="008D64F9" w:rsidRPr="008D64F9" w:rsidRDefault="008D64F9" w:rsidP="00F25959">
            <w:pPr>
              <w:pStyle w:val="BodyText"/>
              <w:rPr>
                <w:rtl/>
                <w:lang w:bidi="ar-LB"/>
              </w:rPr>
            </w:pPr>
            <w:r w:rsidRPr="008D64F9">
              <w:rPr>
                <w:rtl/>
                <w:lang w:bidi="ar-LB"/>
              </w:rPr>
              <w:t>المزادات العامة وعمليات البيع الأخرى - استثناء الضرائب</w:t>
            </w:r>
          </w:p>
        </w:tc>
        <w:tc>
          <w:tcPr>
            <w:tcW w:w="3003" w:type="dxa"/>
          </w:tcPr>
          <w:p w14:paraId="7FB72100" w14:textId="77777777" w:rsidR="008D64F9" w:rsidRPr="008D64F9" w:rsidRDefault="008D64F9" w:rsidP="00F25959">
            <w:pPr>
              <w:pStyle w:val="BodyText"/>
              <w:rPr>
                <w:rtl/>
                <w:lang w:bidi="ar-LB"/>
              </w:rPr>
            </w:pPr>
            <w:r w:rsidRPr="008D64F9">
              <w:rPr>
                <w:rtl/>
                <w:lang w:bidi="ar-LB"/>
              </w:rPr>
              <w:t>سعر بيع المصنف الذي يؤخذ بالاعتبار لتحصيل حق إعادة البيع هو السعر عند سقوط المطرقة في حالة المزاد العلني، وبالنسبة لعمليات البيع الأخرى، قيمة المبلغ/التحويل الذي تلقاه البائع من دون حساب الضرائب.</w:t>
            </w:r>
            <w:r w:rsidRPr="008D64F9">
              <w:rPr>
                <w:vertAlign w:val="superscript"/>
                <w:rtl/>
                <w:lang w:bidi="ar-LB"/>
              </w:rPr>
              <w:footnoteReference w:id="73"/>
            </w:r>
          </w:p>
          <w:p w14:paraId="2F7A0B24" w14:textId="77777777" w:rsidR="008D64F9" w:rsidRPr="008D64F9" w:rsidRDefault="008D64F9" w:rsidP="00F25959">
            <w:pPr>
              <w:pStyle w:val="BodyText"/>
              <w:rPr>
                <w:lang w:val="en-GB"/>
              </w:rPr>
            </w:pPr>
          </w:p>
        </w:tc>
        <w:tc>
          <w:tcPr>
            <w:tcW w:w="3004" w:type="dxa"/>
          </w:tcPr>
          <w:p w14:paraId="780A2D94" w14:textId="77777777" w:rsidR="008D64F9" w:rsidRPr="008D64F9" w:rsidRDefault="008D64F9">
            <w:pPr>
              <w:pStyle w:val="BodyText"/>
              <w:numPr>
                <w:ilvl w:val="0"/>
                <w:numId w:val="16"/>
              </w:numPr>
              <w:ind w:left="360"/>
              <w:rPr>
                <w:rtl/>
                <w:lang w:bidi="ar-LB"/>
              </w:rPr>
            </w:pPr>
            <w:r w:rsidRPr="008D64F9">
              <w:rPr>
                <w:rtl/>
                <w:lang w:bidi="ar-LB"/>
              </w:rPr>
              <w:t>يشير إلى المبيعات في المزاد العلني ("السعر عند سقوط المطرقة" أو "سعر التحكيم") و"المبيعات الأخرى"</w:t>
            </w:r>
          </w:p>
          <w:p w14:paraId="39838E3D" w14:textId="77777777" w:rsidR="008D64F9" w:rsidRPr="008D64F9" w:rsidRDefault="008D64F9">
            <w:pPr>
              <w:pStyle w:val="BodyText"/>
              <w:numPr>
                <w:ilvl w:val="0"/>
                <w:numId w:val="16"/>
              </w:numPr>
              <w:ind w:left="360"/>
              <w:rPr>
                <w:rtl/>
                <w:lang w:bidi="ar-LB"/>
              </w:rPr>
            </w:pPr>
            <w:r w:rsidRPr="008D64F9">
              <w:rPr>
                <w:rtl/>
                <w:lang w:bidi="ar-LB"/>
              </w:rPr>
              <w:t>لا يشمل الضرائب</w:t>
            </w:r>
          </w:p>
        </w:tc>
      </w:tr>
    </w:tbl>
    <w:p w14:paraId="1DF4E209" w14:textId="77777777" w:rsidR="008D64F9" w:rsidRPr="008D64F9" w:rsidRDefault="008D64F9" w:rsidP="00534856">
      <w:pPr>
        <w:pStyle w:val="Heading2"/>
        <w:rPr>
          <w:rtl/>
        </w:rPr>
      </w:pPr>
      <w:r w:rsidRPr="008D64F9">
        <w:rPr>
          <w:lang w:bidi="ar-SA"/>
        </w:rPr>
        <w:t xml:space="preserve"> </w:t>
      </w:r>
      <w:r w:rsidRPr="008D64F9">
        <w:rPr>
          <w:rtl/>
        </w:rPr>
        <w:t>المبلغ المطلوب تحصيله</w:t>
      </w:r>
    </w:p>
    <w:p w14:paraId="56904265" w14:textId="77777777" w:rsidR="008D64F9" w:rsidRPr="008D64F9" w:rsidRDefault="008D64F9" w:rsidP="00577563">
      <w:pPr>
        <w:pStyle w:val="ONUMA"/>
        <w:rPr>
          <w:rtl/>
          <w:lang w:bidi="ar-LB"/>
        </w:rPr>
      </w:pPr>
      <w:r w:rsidRPr="008D64F9">
        <w:rPr>
          <w:rtl/>
          <w:lang w:bidi="ar-LB"/>
        </w:rPr>
        <w:t>لا تقدم المادة 14(ثالثا) من اتفاقية برن أي توجيهات بشأن هذا الموضوع، باستثناء الشرط العام الذي ينص على أن المؤلف يتمتع "بحق غير قابل للتصرف فيه يتعلق بمصلحتهم في عمليات بيع المصنف التالية لأول تنازل يجريه مؤلف المصنف".</w:t>
      </w:r>
      <w:r w:rsidRPr="008D64F9">
        <w:rPr>
          <w:lang w:val="en-AU"/>
        </w:rPr>
        <w:t xml:space="preserve"> </w:t>
      </w:r>
      <w:r w:rsidRPr="008D64F9">
        <w:rPr>
          <w:rtl/>
          <w:lang w:bidi="ar-LB"/>
        </w:rPr>
        <w:t>وبناء على ذلك، يُترك لكل مخطط وطني تحديد كيفية حساب حجم هذه "المصلحة"، ولكن قد يُفترض أن هذه المصلحة تمثل حصة من عائدات عملية إعادة البيع.</w:t>
      </w:r>
      <w:r w:rsidRPr="008D64F9">
        <w:rPr>
          <w:lang w:val="en-AU"/>
        </w:rPr>
        <w:t xml:space="preserve"> </w:t>
      </w:r>
      <w:r w:rsidRPr="008D64F9">
        <w:rPr>
          <w:rtl/>
          <w:lang w:bidi="ar-LB"/>
        </w:rPr>
        <w:t>وتعتبر العديد من القوانين الوطنية أن هذه "المصلحة" هي عبارة عن "إتاوة" وهذا هو المصطلح المستخدم في مجموعة الأدوات هذه.</w:t>
      </w:r>
    </w:p>
    <w:p w14:paraId="509D9D7E" w14:textId="77777777" w:rsidR="008D64F9" w:rsidRPr="008D64F9" w:rsidRDefault="008D64F9" w:rsidP="00577563">
      <w:pPr>
        <w:pStyle w:val="ONUMA"/>
        <w:rPr>
          <w:rtl/>
          <w:lang w:bidi="ar-LB"/>
        </w:rPr>
      </w:pPr>
      <w:r w:rsidRPr="008D64F9">
        <w:rPr>
          <w:rtl/>
          <w:lang w:bidi="ar-LB"/>
        </w:rPr>
        <w:lastRenderedPageBreak/>
        <w:t>ويمكن العثور على طرق مختلفة لتحديد هذه الإتاوة في قوانين الاتحاد الأوروبي والقوانين الوطنية.</w:t>
      </w:r>
      <w:r w:rsidRPr="008D64F9">
        <w:rPr>
          <w:lang w:val="en-AU"/>
        </w:rPr>
        <w:t xml:space="preserve"> </w:t>
      </w:r>
      <w:r w:rsidRPr="008D64F9">
        <w:rPr>
          <w:rtl/>
          <w:lang w:bidi="ar-LB"/>
        </w:rPr>
        <w:t>وتعتمد هذه الطرق بشكل عام على تحديد نسبة مئوية من سعر إعادة البيع (بين 2% إلى 10%)</w:t>
      </w:r>
      <w:r w:rsidRPr="008D64F9">
        <w:rPr>
          <w:vertAlign w:val="superscript"/>
          <w:lang w:val="en-AU"/>
        </w:rPr>
        <w:footnoteReference w:id="74"/>
      </w:r>
      <w:r w:rsidRPr="008D64F9">
        <w:rPr>
          <w:rtl/>
          <w:lang w:bidi="ar-LB"/>
        </w:rPr>
        <w:t xml:space="preserve"> وقد يتم تحديد حد أدنى لسعر البيع ليصبح دفع إتاوة إعادة البيع مستحقًا - لن يحصل المؤلف على إتاوة إذا كان سعر البيع أقل من الحد الأدنى (يرجى الاطلاع على الجدول 6 أعلاه).</w:t>
      </w:r>
      <w:r w:rsidRPr="008D64F9">
        <w:rPr>
          <w:lang w:val="en-AU"/>
        </w:rPr>
        <w:t xml:space="preserve"> </w:t>
      </w:r>
      <w:r w:rsidRPr="008D64F9">
        <w:rPr>
          <w:rtl/>
          <w:lang w:bidi="ar-LB"/>
        </w:rPr>
        <w:t>وفي بعض الحالات، كما هو الحال في الاتحاد الأوروبي، يتم فرض حد أقصى أيضًا للمبلغ الذي يمكن تحصيله</w:t>
      </w:r>
      <w:r w:rsidRPr="008D64F9">
        <w:rPr>
          <w:rFonts w:hint="cs"/>
          <w:rtl/>
          <w:lang w:bidi="ar-LB"/>
        </w:rPr>
        <w:t xml:space="preserve">. </w:t>
      </w:r>
      <w:r w:rsidRPr="008D64F9">
        <w:rPr>
          <w:rtl/>
          <w:lang w:bidi="ar-LB"/>
        </w:rPr>
        <w:t>في حين أن مثل هذا القيد مسموح به بموجب المادة 14(ثالثا) التي تشير فقط إلى "المصلحة" في أي بيع، مما يترك هذا الأمر للمشرعين الوطنيين لتحديده بأنفسهم، الا ان المشرعين خارج الاتحاد الأوروبي قد يقررون أنه لا يوجد سبب مقنع لفرض هذا السقف (على ما يبدو، لم يتم تحديد مثل هذا السقف في مخططات حق التتبع الوطنية الأخرى حتى الآن).</w:t>
      </w:r>
      <w:r w:rsidRPr="008D64F9">
        <w:rPr>
          <w:vertAlign w:val="superscript"/>
          <w:lang w:val="en-AU"/>
        </w:rPr>
        <w:footnoteReference w:id="75"/>
      </w:r>
      <w:r w:rsidRPr="008D64F9">
        <w:rPr>
          <w:rtl/>
          <w:lang w:bidi="ar-LB"/>
        </w:rPr>
        <w:t xml:space="preserve">   </w:t>
      </w:r>
    </w:p>
    <w:p w14:paraId="78D6F887" w14:textId="77777777" w:rsidR="008D64F9" w:rsidRPr="008D64F9" w:rsidRDefault="008D64F9" w:rsidP="00577563">
      <w:pPr>
        <w:pStyle w:val="ONUMA"/>
        <w:rPr>
          <w:rtl/>
          <w:lang w:bidi="ar-LB"/>
        </w:rPr>
      </w:pPr>
      <w:r w:rsidRPr="008D64F9">
        <w:rPr>
          <w:rtl/>
          <w:lang w:bidi="ar-LB"/>
        </w:rPr>
        <w:t>وبصرف النظر عن مسألة الحد الأقصى لإتاوة حق التتبع التي يمكن تحصيلها، فمن الممكن أيضًا اعتماد مقياس متدرج للنسب المئوية وفقًا لقيمة إعادة البيع.</w:t>
      </w:r>
      <w:r w:rsidRPr="008D64F9">
        <w:rPr>
          <w:lang w:val="en-AU"/>
        </w:rPr>
        <w:t xml:space="preserve"> </w:t>
      </w:r>
      <w:r w:rsidRPr="008D64F9">
        <w:rPr>
          <w:rtl/>
          <w:lang w:bidi="ar-LB"/>
        </w:rPr>
        <w:t>ومرة أخرى، هذه إحدى ميزات مخطط الاتحاد الأوروبي ولكنها قد تؤدي إلى تعقيد إدارة المخطط وهي غير موجودة بشكل عام في مخططات الدول الأخرى الغير تابعة للاتحاد الأوروبي والتي تطبق ببساطة نسبة محددة على سعر إعادة البيع.</w:t>
      </w:r>
      <w:r w:rsidRPr="008D64F9">
        <w:rPr>
          <w:lang w:val="en-AU"/>
        </w:rPr>
        <w:t xml:space="preserve"> </w:t>
      </w:r>
      <w:r w:rsidRPr="008D64F9">
        <w:rPr>
          <w:rtl/>
          <w:lang w:bidi="ar-LB"/>
        </w:rPr>
        <w:t>لا يشير قانون تونس النموذجي إلى نسبة محددة، ولكن تحتوي المادة 4(ثانيا) على ملاحظة مفادها أنه خلال الفترة التي صدر فيها القانون النموذجي (1976)، كان المتوسط العام للنسبة المفروضة في البلدان القليلة التي كانت تطبق أنظمة حق التتبع 5% من سعر إعادة البيع.</w:t>
      </w:r>
      <w:r w:rsidRPr="008D64F9">
        <w:rPr>
          <w:vertAlign w:val="superscript"/>
          <w:lang w:val="en-AU"/>
        </w:rPr>
        <w:footnoteReference w:id="76"/>
      </w:r>
      <w:r w:rsidRPr="008D64F9">
        <w:rPr>
          <w:lang w:val="en-AU"/>
        </w:rPr>
        <w:t xml:space="preserve"> </w:t>
      </w:r>
    </w:p>
    <w:p w14:paraId="041E9A61" w14:textId="77777777" w:rsidR="008D64F9" w:rsidRPr="008D64F9" w:rsidRDefault="008D64F9" w:rsidP="00577563">
      <w:pPr>
        <w:pStyle w:val="ONUMA"/>
        <w:rPr>
          <w:rtl/>
          <w:lang w:bidi="ar-LB"/>
        </w:rPr>
      </w:pPr>
      <w:r w:rsidRPr="008D64F9">
        <w:rPr>
          <w:rtl/>
          <w:lang w:bidi="ar-LB"/>
        </w:rPr>
        <w:t>وتقوم بعض البلدان بحساب الإتاوة الخاصة بها كنسبة من الزيادة في قيمة المصنف عند إعادة البيع، على سبيل المثال حددت البرازيل نسبة 5٪ من الزيادة في القيمة المصنف،</w:t>
      </w:r>
      <w:r w:rsidRPr="008D64F9">
        <w:rPr>
          <w:vertAlign w:val="superscript"/>
          <w:lang w:val="en-AU"/>
        </w:rPr>
        <w:footnoteReference w:id="77"/>
      </w:r>
      <w:r w:rsidRPr="008D64F9">
        <w:rPr>
          <w:rtl/>
          <w:lang w:bidi="ar-LB"/>
        </w:rPr>
        <w:t xml:space="preserve"> لكن هذه المقاربة أصبحت نادرة نسبيًا الآن.</w:t>
      </w:r>
      <w:r w:rsidRPr="008D64F9">
        <w:rPr>
          <w:lang w:val="en-AU"/>
        </w:rPr>
        <w:t xml:space="preserve"> </w:t>
      </w:r>
      <w:r w:rsidRPr="008D64F9">
        <w:rPr>
          <w:rtl/>
          <w:lang w:bidi="ar-LB"/>
        </w:rPr>
        <w:t>وعلى الرغم من أن المادة 14(ثالثا) لا تتناول هذه المسألة بشكل مباشر (يرجى الاطلاع على الفقرة 14(د) أعلاه)، يُنصح بعدم اتباع هذه المقاربة خلال وضع أي مخطط حق تتبع جديد.</w:t>
      </w:r>
      <w:r w:rsidRPr="008D64F9">
        <w:rPr>
          <w:lang w:val="en-AU"/>
        </w:rPr>
        <w:t xml:space="preserve"> </w:t>
      </w:r>
      <w:r w:rsidRPr="008D64F9">
        <w:rPr>
          <w:rtl/>
          <w:lang w:bidi="ar-LB"/>
        </w:rPr>
        <w:t>ومن ناحية أخرى، قد يكون من الصعب تطبيق مثل هذا النظام عمليًا اذ يعتمد على الإفصاح الكامل عن تفاصيل كل عملية إعادة بيع</w:t>
      </w:r>
      <w:r w:rsidRPr="008D64F9">
        <w:rPr>
          <w:lang w:val="en-AU"/>
        </w:rPr>
        <w:t xml:space="preserve"> </w:t>
      </w:r>
      <w:r w:rsidRPr="008D64F9">
        <w:rPr>
          <w:rtl/>
          <w:lang w:bidi="ar-LB"/>
        </w:rPr>
        <w:t>لتحديد الربح الفعلي المحقق من عملية إعادة البيع.</w:t>
      </w:r>
      <w:r w:rsidRPr="008D64F9">
        <w:rPr>
          <w:lang w:val="en-AU"/>
        </w:rPr>
        <w:t xml:space="preserve"> </w:t>
      </w:r>
      <w:r w:rsidRPr="008D64F9">
        <w:rPr>
          <w:rtl/>
          <w:lang w:bidi="ar-LB"/>
        </w:rPr>
        <w:t>وبالاضافة إلى ذلك، من حيث المبدأ، يتعارض هذا النظام مع فكرة إتاوة حق التتبع باعتبارها إتاوة مفروضة على جميع عمليات إعادة البيع التجاري، وبالتالي يتعارض مع النهج العام المقترح هنا المتمثل في ان يقوم حق التتبع على نفس أُسس الحقوق الاقتصادية الحصرية الأخرى للمؤلف المعترف بها بموجب اتفاقية برن.</w:t>
      </w:r>
      <w:r w:rsidRPr="008D64F9">
        <w:rPr>
          <w:lang w:val="en-AU"/>
        </w:rPr>
        <w:t xml:space="preserve"> </w:t>
      </w:r>
      <w:r w:rsidRPr="008D64F9">
        <w:rPr>
          <w:rtl/>
          <w:lang w:bidi="ar-LB"/>
        </w:rPr>
        <w:t>وفي الواقع، يجعل هذا النظام المؤلف طرفًا مشاركًا في "الاستثمار" الذي يقوم به مشتري المصنف الفني الأصلي أو المخطوطة، حيث لا يستحق الدفع للمؤلف إلا عند تحقيق ربح عند إعادة البيع.</w:t>
      </w:r>
    </w:p>
    <w:p w14:paraId="733F33DF" w14:textId="77777777" w:rsidR="008D64F9" w:rsidRPr="008D64F9" w:rsidRDefault="008D64F9" w:rsidP="00577563">
      <w:pPr>
        <w:pStyle w:val="ONUMA"/>
        <w:rPr>
          <w:rtl/>
          <w:lang w:bidi="ar-LB"/>
        </w:rPr>
      </w:pPr>
      <w:r w:rsidRPr="008D64F9">
        <w:rPr>
          <w:rtl/>
          <w:lang w:bidi="ar-LB"/>
        </w:rPr>
        <w:t>وترد في الجدول أدناه أمثلة على الأحكام التي تعكس هذه المقاربات المختلفة، بما في ذلك نسبة مئوية عندما تحقق عملية إعادة البيع أي ربح.</w:t>
      </w:r>
    </w:p>
    <w:p w14:paraId="5AB5F8A8" w14:textId="77777777" w:rsidR="008D64F9" w:rsidRPr="008D64F9" w:rsidRDefault="008D64F9" w:rsidP="00577563">
      <w:pPr>
        <w:spacing w:after="240"/>
        <w:rPr>
          <w:rFonts w:asciiTheme="minorHAnsi" w:hAnsiTheme="minorHAnsi" w:cstheme="minorHAnsi"/>
          <w:bCs/>
          <w:rtl/>
          <w:lang w:bidi="ar-LB"/>
        </w:rPr>
      </w:pPr>
      <w:r w:rsidRPr="008D64F9">
        <w:rPr>
          <w:rFonts w:asciiTheme="minorHAnsi" w:hAnsiTheme="minorHAnsi" w:cstheme="minorHAnsi"/>
          <w:bCs/>
          <w:rtl/>
          <w:lang w:bidi="ar-LB"/>
        </w:rPr>
        <w:t>الجدول 8</w:t>
      </w:r>
    </w:p>
    <w:tbl>
      <w:tblPr>
        <w:tblStyle w:val="TableGrid"/>
        <w:bidiVisual/>
        <w:tblW w:w="9246" w:type="dxa"/>
        <w:tblLook w:val="04A0" w:firstRow="1" w:lastRow="0" w:firstColumn="1" w:lastColumn="0" w:noHBand="0" w:noVBand="1"/>
      </w:tblPr>
      <w:tblGrid>
        <w:gridCol w:w="2689"/>
        <w:gridCol w:w="2126"/>
        <w:gridCol w:w="4431"/>
      </w:tblGrid>
      <w:tr w:rsidR="008D64F9" w:rsidRPr="00577563" w14:paraId="670AE73F" w14:textId="77777777" w:rsidTr="00101B5A">
        <w:tc>
          <w:tcPr>
            <w:tcW w:w="2689" w:type="dxa"/>
          </w:tcPr>
          <w:p w14:paraId="3835C787" w14:textId="77777777" w:rsidR="008D64F9" w:rsidRPr="00577563" w:rsidRDefault="008D64F9" w:rsidP="00577563">
            <w:pPr>
              <w:pStyle w:val="BodyText"/>
              <w:rPr>
                <w:b/>
                <w:bCs/>
                <w:sz w:val="20"/>
                <w:szCs w:val="20"/>
                <w:rtl/>
                <w:lang w:bidi="ar-LB"/>
              </w:rPr>
            </w:pPr>
            <w:r w:rsidRPr="00577563">
              <w:rPr>
                <w:b/>
                <w:bCs/>
                <w:sz w:val="20"/>
                <w:szCs w:val="20"/>
                <w:rtl/>
                <w:lang w:bidi="ar-LB"/>
              </w:rPr>
              <w:t>نوع الحكم</w:t>
            </w:r>
          </w:p>
        </w:tc>
        <w:tc>
          <w:tcPr>
            <w:tcW w:w="2126" w:type="dxa"/>
          </w:tcPr>
          <w:p w14:paraId="02344A02" w14:textId="77777777" w:rsidR="008D64F9" w:rsidRPr="00577563" w:rsidRDefault="008D64F9" w:rsidP="00577563">
            <w:pPr>
              <w:pStyle w:val="BodyText"/>
              <w:rPr>
                <w:b/>
                <w:bCs/>
                <w:sz w:val="20"/>
                <w:szCs w:val="20"/>
                <w:rtl/>
                <w:lang w:bidi="ar-LB"/>
              </w:rPr>
            </w:pPr>
            <w:r w:rsidRPr="00577563">
              <w:rPr>
                <w:b/>
                <w:bCs/>
                <w:sz w:val="20"/>
                <w:szCs w:val="20"/>
                <w:rtl/>
                <w:lang w:bidi="ar-LB"/>
              </w:rPr>
              <w:t>النص المقترح</w:t>
            </w:r>
          </w:p>
        </w:tc>
        <w:tc>
          <w:tcPr>
            <w:tcW w:w="4431" w:type="dxa"/>
          </w:tcPr>
          <w:p w14:paraId="2B07D88A" w14:textId="77777777" w:rsidR="008D64F9" w:rsidRPr="00577563" w:rsidRDefault="008D64F9" w:rsidP="00577563">
            <w:pPr>
              <w:pStyle w:val="BodyText"/>
              <w:rPr>
                <w:b/>
                <w:bCs/>
                <w:sz w:val="20"/>
                <w:szCs w:val="20"/>
                <w:rtl/>
                <w:lang w:bidi="ar-LB"/>
              </w:rPr>
            </w:pPr>
            <w:r w:rsidRPr="00577563">
              <w:rPr>
                <w:b/>
                <w:bCs/>
                <w:sz w:val="20"/>
                <w:szCs w:val="20"/>
                <w:rtl/>
                <w:lang w:bidi="ar-LB"/>
              </w:rPr>
              <w:t>تعليقات/ملاحظات</w:t>
            </w:r>
          </w:p>
        </w:tc>
      </w:tr>
      <w:tr w:rsidR="008D64F9" w:rsidRPr="00577563" w14:paraId="68028AA0" w14:textId="77777777" w:rsidTr="00101B5A">
        <w:tc>
          <w:tcPr>
            <w:tcW w:w="2689" w:type="dxa"/>
          </w:tcPr>
          <w:p w14:paraId="285646D0" w14:textId="77777777" w:rsidR="008D64F9" w:rsidRPr="00577563" w:rsidRDefault="008D64F9" w:rsidP="00577563">
            <w:pPr>
              <w:pStyle w:val="BodyText"/>
              <w:rPr>
                <w:sz w:val="20"/>
                <w:szCs w:val="20"/>
                <w:rtl/>
                <w:lang w:bidi="ar-LB"/>
              </w:rPr>
            </w:pPr>
            <w:r w:rsidRPr="00577563">
              <w:rPr>
                <w:sz w:val="20"/>
                <w:szCs w:val="20"/>
                <w:rtl/>
                <w:lang w:bidi="ar-LB"/>
              </w:rPr>
              <w:t>نسبة من سعر إعادة البيع (أستراليا، السنغال)</w:t>
            </w:r>
            <w:r w:rsidRPr="00577563">
              <w:rPr>
                <w:sz w:val="20"/>
                <w:szCs w:val="20"/>
              </w:rPr>
              <w:t xml:space="preserve"> </w:t>
            </w:r>
          </w:p>
        </w:tc>
        <w:tc>
          <w:tcPr>
            <w:tcW w:w="2126" w:type="dxa"/>
          </w:tcPr>
          <w:p w14:paraId="10E754C2" w14:textId="77777777" w:rsidR="008D64F9" w:rsidRPr="00577563" w:rsidRDefault="008D64F9" w:rsidP="00577563">
            <w:pPr>
              <w:pStyle w:val="BodyText"/>
              <w:rPr>
                <w:sz w:val="20"/>
                <w:szCs w:val="20"/>
                <w:rtl/>
                <w:lang w:bidi="ar-LB"/>
              </w:rPr>
            </w:pPr>
            <w:r w:rsidRPr="00577563">
              <w:rPr>
                <w:i/>
                <w:sz w:val="20"/>
                <w:szCs w:val="20"/>
                <w:rtl/>
                <w:lang w:bidi="ar-LB"/>
              </w:rPr>
              <w:t>تبلغ قيمة إتاوة إعادة البيع المستحقة نسبة 5%</w:t>
            </w:r>
            <w:r w:rsidRPr="00577563">
              <w:rPr>
                <w:i/>
                <w:sz w:val="20"/>
                <w:szCs w:val="20"/>
                <w:lang w:val="en-AU"/>
              </w:rPr>
              <w:t xml:space="preserve"> </w:t>
            </w:r>
            <w:r w:rsidRPr="00577563">
              <w:rPr>
                <w:i/>
                <w:sz w:val="20"/>
                <w:szCs w:val="20"/>
                <w:rtl/>
                <w:lang w:bidi="ar-LB"/>
              </w:rPr>
              <w:t>من سعر البيع عند إعادة البيع التجاري للمصنف الفني</w:t>
            </w:r>
            <w:r w:rsidRPr="00577563">
              <w:rPr>
                <w:sz w:val="20"/>
                <w:szCs w:val="20"/>
                <w:rtl/>
                <w:lang w:bidi="ar-LB"/>
              </w:rPr>
              <w:t>.</w:t>
            </w:r>
            <w:r w:rsidRPr="00577563">
              <w:rPr>
                <w:sz w:val="20"/>
                <w:szCs w:val="20"/>
                <w:vertAlign w:val="superscript"/>
                <w:lang w:val="en-AU"/>
              </w:rPr>
              <w:footnoteReference w:id="78"/>
            </w:r>
          </w:p>
        </w:tc>
        <w:tc>
          <w:tcPr>
            <w:tcW w:w="4431" w:type="dxa"/>
          </w:tcPr>
          <w:p w14:paraId="15AB5CFD" w14:textId="77777777" w:rsidR="008D64F9" w:rsidRPr="00577563" w:rsidRDefault="008D64F9">
            <w:pPr>
              <w:pStyle w:val="BodyText"/>
              <w:numPr>
                <w:ilvl w:val="0"/>
                <w:numId w:val="16"/>
              </w:numPr>
              <w:ind w:left="360"/>
              <w:rPr>
                <w:sz w:val="20"/>
                <w:szCs w:val="20"/>
                <w:rtl/>
                <w:lang w:bidi="ar-LB"/>
              </w:rPr>
            </w:pPr>
            <w:r w:rsidRPr="00577563">
              <w:rPr>
                <w:sz w:val="20"/>
                <w:szCs w:val="20"/>
                <w:rtl/>
                <w:lang w:bidi="ar-LB"/>
              </w:rPr>
              <w:t xml:space="preserve">يبدو أن هذا النص يتوافق عموماً مع النسب المعتمدة في الأنظمة القضائية </w:t>
            </w:r>
            <w:r w:rsidRPr="00D531F5">
              <w:rPr>
                <w:rtl/>
                <w:lang w:bidi="ar-LB"/>
              </w:rPr>
              <w:t>خارج</w:t>
            </w:r>
            <w:r w:rsidRPr="00577563">
              <w:rPr>
                <w:sz w:val="20"/>
                <w:szCs w:val="20"/>
                <w:rtl/>
                <w:lang w:bidi="ar-LB"/>
              </w:rPr>
              <w:t xml:space="preserve"> الاتحاد الأوروبي.</w:t>
            </w:r>
            <w:r w:rsidRPr="00577563">
              <w:rPr>
                <w:sz w:val="20"/>
                <w:szCs w:val="20"/>
              </w:rPr>
              <w:t xml:space="preserve"> </w:t>
            </w:r>
          </w:p>
          <w:p w14:paraId="6A1B0676" w14:textId="77777777" w:rsidR="008D64F9" w:rsidRPr="00577563" w:rsidRDefault="008D64F9">
            <w:pPr>
              <w:pStyle w:val="BodyText"/>
              <w:numPr>
                <w:ilvl w:val="0"/>
                <w:numId w:val="16"/>
              </w:numPr>
              <w:ind w:left="360"/>
              <w:rPr>
                <w:sz w:val="20"/>
                <w:szCs w:val="20"/>
                <w:rtl/>
                <w:lang w:bidi="ar-LB"/>
              </w:rPr>
            </w:pPr>
            <w:r w:rsidRPr="00577563">
              <w:rPr>
                <w:sz w:val="20"/>
                <w:szCs w:val="20"/>
                <w:rtl/>
                <w:lang w:bidi="ar-LB"/>
              </w:rPr>
              <w:t xml:space="preserve">وقد يكون من </w:t>
            </w:r>
            <w:r w:rsidRPr="00D531F5">
              <w:rPr>
                <w:rtl/>
                <w:lang w:bidi="ar-LB"/>
              </w:rPr>
              <w:t>الممكن</w:t>
            </w:r>
            <w:r w:rsidRPr="00577563">
              <w:rPr>
                <w:sz w:val="20"/>
                <w:szCs w:val="20"/>
                <w:rtl/>
                <w:lang w:bidi="ar-LB"/>
              </w:rPr>
              <w:t xml:space="preserve"> تبرير النسب المئوية المنخفضة، مثل 2%، ــ فلا يوجد أي قيد في هذه الحالة بموجب اتفاقية برن أو أي صك دولي آخر.</w:t>
            </w:r>
          </w:p>
          <w:p w14:paraId="29D3D1AF" w14:textId="77777777" w:rsidR="008D64F9" w:rsidRPr="00577563" w:rsidRDefault="008D64F9">
            <w:pPr>
              <w:pStyle w:val="BodyText"/>
              <w:numPr>
                <w:ilvl w:val="0"/>
                <w:numId w:val="16"/>
              </w:numPr>
              <w:ind w:left="360"/>
              <w:rPr>
                <w:sz w:val="20"/>
                <w:szCs w:val="20"/>
                <w:rtl/>
                <w:lang w:bidi="ar-LB"/>
              </w:rPr>
            </w:pPr>
            <w:r w:rsidRPr="00577563">
              <w:rPr>
                <w:sz w:val="20"/>
                <w:szCs w:val="20"/>
                <w:rtl/>
                <w:lang w:bidi="ar-LB"/>
              </w:rPr>
              <w:lastRenderedPageBreak/>
              <w:t xml:space="preserve">ولم يتم تحديد في هذه الحالة حد أقصى لسعر إعادة البيع، أي أن الاتاوة هي 5% </w:t>
            </w:r>
            <w:r w:rsidRPr="00D531F5">
              <w:rPr>
                <w:rtl/>
                <w:lang w:bidi="ar-LB"/>
              </w:rPr>
              <w:t>من</w:t>
            </w:r>
            <w:r w:rsidRPr="00577563">
              <w:rPr>
                <w:sz w:val="20"/>
                <w:szCs w:val="20"/>
                <w:rtl/>
                <w:lang w:bidi="ar-LB"/>
              </w:rPr>
              <w:t xml:space="preserve"> سعر لوحة تباع بمبلغ 10000 دولار أو بمبلغ مليون دولار أو أكثر.</w:t>
            </w:r>
          </w:p>
          <w:p w14:paraId="3E1FE0DE" w14:textId="77777777" w:rsidR="008D64F9" w:rsidRPr="00577563" w:rsidRDefault="008D64F9">
            <w:pPr>
              <w:pStyle w:val="BodyText"/>
              <w:numPr>
                <w:ilvl w:val="0"/>
                <w:numId w:val="16"/>
              </w:numPr>
              <w:ind w:left="360"/>
              <w:rPr>
                <w:sz w:val="20"/>
                <w:szCs w:val="20"/>
                <w:rtl/>
                <w:lang w:bidi="ar-LB"/>
              </w:rPr>
            </w:pPr>
            <w:r w:rsidRPr="00577563">
              <w:rPr>
                <w:sz w:val="20"/>
                <w:szCs w:val="20"/>
                <w:rtl/>
                <w:lang w:bidi="ar-LB"/>
              </w:rPr>
              <w:t xml:space="preserve">ومن </w:t>
            </w:r>
            <w:r w:rsidRPr="00D531F5">
              <w:rPr>
                <w:rtl/>
                <w:lang w:bidi="ar-LB"/>
              </w:rPr>
              <w:t>الناحية</w:t>
            </w:r>
            <w:r w:rsidRPr="00577563">
              <w:rPr>
                <w:sz w:val="20"/>
                <w:szCs w:val="20"/>
                <w:rtl/>
                <w:lang w:bidi="ar-LB"/>
              </w:rPr>
              <w:t xml:space="preserve"> العملية، من الأسهل عادةً تطبيق نسبة مئوية ثابتة.</w:t>
            </w:r>
          </w:p>
        </w:tc>
      </w:tr>
      <w:tr w:rsidR="008D64F9" w:rsidRPr="00577563" w14:paraId="3055C784" w14:textId="77777777" w:rsidTr="00101B5A">
        <w:tc>
          <w:tcPr>
            <w:tcW w:w="2689" w:type="dxa"/>
          </w:tcPr>
          <w:p w14:paraId="448CFE22" w14:textId="77777777" w:rsidR="008D64F9" w:rsidRPr="00577563" w:rsidRDefault="008D64F9" w:rsidP="00577563">
            <w:pPr>
              <w:pStyle w:val="BodyText"/>
              <w:rPr>
                <w:sz w:val="20"/>
                <w:szCs w:val="20"/>
                <w:rtl/>
                <w:lang w:bidi="ar-LB"/>
              </w:rPr>
            </w:pPr>
            <w:r w:rsidRPr="00577563">
              <w:rPr>
                <w:sz w:val="20"/>
                <w:szCs w:val="20"/>
                <w:rtl/>
                <w:lang w:bidi="ar-LB"/>
              </w:rPr>
              <w:lastRenderedPageBreak/>
              <w:t>مقياس متدرج (المفوضية الأوروبية)</w:t>
            </w:r>
          </w:p>
        </w:tc>
        <w:tc>
          <w:tcPr>
            <w:tcW w:w="2126" w:type="dxa"/>
          </w:tcPr>
          <w:p w14:paraId="6FFE284E" w14:textId="77777777" w:rsidR="008D64F9" w:rsidRPr="00577563" w:rsidRDefault="008D64F9" w:rsidP="00577563">
            <w:pPr>
              <w:pStyle w:val="BodyText"/>
              <w:rPr>
                <w:i/>
                <w:sz w:val="20"/>
                <w:szCs w:val="20"/>
                <w:rtl/>
                <w:lang w:bidi="ar-LB"/>
              </w:rPr>
            </w:pPr>
            <w:r w:rsidRPr="00577563">
              <w:rPr>
                <w:i/>
                <w:sz w:val="20"/>
                <w:szCs w:val="20"/>
                <w:rtl/>
                <w:lang w:bidi="ar-LB"/>
              </w:rPr>
              <w:t>تُحدَّد نسب الإتاوة المنصوص عليها في المادة 1 وفقا لما يلي:</w:t>
            </w:r>
          </w:p>
          <w:p w14:paraId="045D1CE5" w14:textId="77777777" w:rsidR="008D64F9" w:rsidRPr="00577563" w:rsidRDefault="008D64F9" w:rsidP="00577563">
            <w:pPr>
              <w:pStyle w:val="BodyText"/>
              <w:rPr>
                <w:i/>
                <w:sz w:val="20"/>
                <w:szCs w:val="20"/>
                <w:rtl/>
                <w:lang w:bidi="ar-LB"/>
              </w:rPr>
            </w:pPr>
            <w:r w:rsidRPr="00577563">
              <w:rPr>
                <w:i/>
                <w:sz w:val="20"/>
                <w:szCs w:val="20"/>
                <w:rtl/>
                <w:lang w:bidi="ar-LB"/>
              </w:rPr>
              <w:t>(أ) 4% اذا كان سعر البيع 50.000 يورو أو أقل؛</w:t>
            </w:r>
          </w:p>
          <w:p w14:paraId="032A27AE" w14:textId="77777777" w:rsidR="008D64F9" w:rsidRPr="00577563" w:rsidRDefault="008D64F9" w:rsidP="00577563">
            <w:pPr>
              <w:pStyle w:val="BodyText"/>
              <w:rPr>
                <w:i/>
                <w:sz w:val="20"/>
                <w:szCs w:val="20"/>
                <w:rtl/>
                <w:lang w:bidi="ar-LB"/>
              </w:rPr>
            </w:pPr>
            <w:r w:rsidRPr="00577563">
              <w:rPr>
                <w:i/>
                <w:sz w:val="20"/>
                <w:szCs w:val="20"/>
                <w:rtl/>
                <w:lang w:bidi="ar-LB"/>
              </w:rPr>
              <w:t>(ب) 3% اذا كان سعر البيع بين 50000 يورو و200000 يورو؛</w:t>
            </w:r>
          </w:p>
          <w:p w14:paraId="0340F151" w14:textId="77777777" w:rsidR="008D64F9" w:rsidRPr="00577563" w:rsidRDefault="008D64F9" w:rsidP="00577563">
            <w:pPr>
              <w:pStyle w:val="BodyText"/>
              <w:rPr>
                <w:i/>
                <w:sz w:val="20"/>
                <w:szCs w:val="20"/>
                <w:rtl/>
                <w:lang w:bidi="ar-LB"/>
              </w:rPr>
            </w:pPr>
            <w:r w:rsidRPr="00577563">
              <w:rPr>
                <w:i/>
                <w:sz w:val="20"/>
                <w:szCs w:val="20"/>
                <w:rtl/>
                <w:lang w:bidi="ar-LB"/>
              </w:rPr>
              <w:t>(ج) 1% اذا كان سعر البيع بين 200 ألف يورو و350 ألف يورو؛</w:t>
            </w:r>
          </w:p>
          <w:p w14:paraId="6D765F42" w14:textId="77777777" w:rsidR="008D64F9" w:rsidRPr="00577563" w:rsidRDefault="008D64F9" w:rsidP="00577563">
            <w:pPr>
              <w:pStyle w:val="BodyText"/>
              <w:rPr>
                <w:i/>
                <w:sz w:val="20"/>
                <w:szCs w:val="20"/>
                <w:rtl/>
                <w:lang w:bidi="ar-LB"/>
              </w:rPr>
            </w:pPr>
            <w:r w:rsidRPr="00577563">
              <w:rPr>
                <w:i/>
                <w:sz w:val="20"/>
                <w:szCs w:val="20"/>
                <w:rtl/>
                <w:lang w:bidi="ar-LB"/>
              </w:rPr>
              <w:t>(د) 0.5% اذا كان سعر البيع بين 350 ألف يورو و500 ألف يورو؛</w:t>
            </w:r>
          </w:p>
          <w:p w14:paraId="7131459B" w14:textId="77777777" w:rsidR="008D64F9" w:rsidRPr="00577563" w:rsidRDefault="008D64F9" w:rsidP="00577563">
            <w:pPr>
              <w:pStyle w:val="BodyText"/>
              <w:rPr>
                <w:sz w:val="20"/>
                <w:szCs w:val="20"/>
                <w:rtl/>
                <w:lang w:bidi="ar-LB"/>
              </w:rPr>
            </w:pPr>
            <w:r w:rsidRPr="00577563">
              <w:rPr>
                <w:i/>
                <w:sz w:val="20"/>
                <w:szCs w:val="20"/>
                <w:rtl/>
                <w:lang w:bidi="ar-LB"/>
              </w:rPr>
              <w:t>(هـ) 0.25% اذا تجاوز سعر البيع 500 ألف يورو</w:t>
            </w:r>
            <w:r w:rsidRPr="00577563">
              <w:rPr>
                <w:sz w:val="20"/>
                <w:szCs w:val="20"/>
                <w:rtl/>
                <w:lang w:bidi="ar-LB"/>
              </w:rPr>
              <w:t>.</w:t>
            </w:r>
            <w:r w:rsidRPr="00577563">
              <w:rPr>
                <w:sz w:val="20"/>
                <w:szCs w:val="20"/>
                <w:vertAlign w:val="superscript"/>
                <w:lang w:val="en-GB"/>
              </w:rPr>
              <w:footnoteReference w:id="79"/>
            </w:r>
          </w:p>
          <w:p w14:paraId="0A482D65" w14:textId="77777777" w:rsidR="008D64F9" w:rsidRPr="00577563" w:rsidDel="00EF0D3E" w:rsidRDefault="008D64F9" w:rsidP="00577563">
            <w:pPr>
              <w:pStyle w:val="BodyText"/>
              <w:rPr>
                <w:sz w:val="20"/>
                <w:szCs w:val="20"/>
                <w:lang w:val="en-AU"/>
              </w:rPr>
            </w:pPr>
          </w:p>
        </w:tc>
        <w:tc>
          <w:tcPr>
            <w:tcW w:w="4431" w:type="dxa"/>
          </w:tcPr>
          <w:p w14:paraId="0E022654" w14:textId="77777777" w:rsidR="008D64F9" w:rsidRPr="00577563" w:rsidRDefault="008D64F9">
            <w:pPr>
              <w:pStyle w:val="BodyText"/>
              <w:numPr>
                <w:ilvl w:val="0"/>
                <w:numId w:val="16"/>
              </w:numPr>
              <w:ind w:left="360"/>
              <w:rPr>
                <w:sz w:val="20"/>
                <w:szCs w:val="20"/>
                <w:rtl/>
                <w:lang w:bidi="ar-LB"/>
              </w:rPr>
            </w:pPr>
            <w:r w:rsidRPr="00577563">
              <w:rPr>
                <w:sz w:val="20"/>
                <w:szCs w:val="20"/>
                <w:rtl/>
                <w:lang w:bidi="ar-LB"/>
              </w:rPr>
              <w:t>ي</w:t>
            </w:r>
            <w:r w:rsidRPr="00577563">
              <w:rPr>
                <w:rFonts w:hint="cs"/>
                <w:sz w:val="20"/>
                <w:szCs w:val="20"/>
                <w:rtl/>
                <w:lang w:bidi="ar-LB"/>
              </w:rPr>
              <w:t>ط</w:t>
            </w:r>
            <w:r w:rsidRPr="00577563">
              <w:rPr>
                <w:sz w:val="20"/>
                <w:szCs w:val="20"/>
                <w:rtl/>
                <w:lang w:bidi="ar-LB"/>
              </w:rPr>
              <w:t>ب</w:t>
            </w:r>
            <w:r w:rsidRPr="00577563">
              <w:rPr>
                <w:rFonts w:hint="cs"/>
                <w:sz w:val="20"/>
                <w:szCs w:val="20"/>
                <w:rtl/>
                <w:lang w:bidi="ar-LB"/>
              </w:rPr>
              <w:t xml:space="preserve">ّق </w:t>
            </w:r>
            <w:r w:rsidRPr="00577563">
              <w:rPr>
                <w:sz w:val="20"/>
                <w:szCs w:val="20"/>
                <w:rtl/>
                <w:lang w:bidi="ar-LB"/>
              </w:rPr>
              <w:t xml:space="preserve">هذا </w:t>
            </w:r>
            <w:r w:rsidRPr="00D531F5">
              <w:rPr>
                <w:rtl/>
                <w:lang w:bidi="ar-LB"/>
              </w:rPr>
              <w:t>المقياس</w:t>
            </w:r>
            <w:r w:rsidRPr="00577563">
              <w:rPr>
                <w:sz w:val="20"/>
                <w:szCs w:val="20"/>
                <w:rtl/>
                <w:lang w:bidi="ar-LB"/>
              </w:rPr>
              <w:t xml:space="preserve"> </w:t>
            </w:r>
            <w:r w:rsidRPr="00577563">
              <w:rPr>
                <w:rFonts w:hint="cs"/>
                <w:sz w:val="20"/>
                <w:szCs w:val="20"/>
                <w:rtl/>
                <w:lang w:bidi="ar-LB"/>
              </w:rPr>
              <w:t>ال</w:t>
            </w:r>
            <w:r w:rsidRPr="00577563">
              <w:rPr>
                <w:sz w:val="20"/>
                <w:szCs w:val="20"/>
                <w:rtl/>
                <w:lang w:bidi="ar-LB"/>
              </w:rPr>
              <w:t xml:space="preserve">متدرج في </w:t>
            </w:r>
            <w:r w:rsidRPr="00577563">
              <w:rPr>
                <w:rFonts w:hint="cs"/>
                <w:sz w:val="20"/>
                <w:szCs w:val="20"/>
                <w:rtl/>
                <w:lang w:bidi="ar-LB"/>
              </w:rPr>
              <w:t xml:space="preserve">جميع </w:t>
            </w:r>
            <w:r w:rsidRPr="00577563">
              <w:rPr>
                <w:sz w:val="20"/>
                <w:szCs w:val="20"/>
                <w:rtl/>
                <w:lang w:bidi="ar-LB"/>
              </w:rPr>
              <w:t>الدول الأعضاء في الاتحاد الأوروبي.</w:t>
            </w:r>
          </w:p>
          <w:p w14:paraId="0385258F" w14:textId="77777777" w:rsidR="008D64F9" w:rsidRPr="00577563" w:rsidRDefault="008D64F9">
            <w:pPr>
              <w:pStyle w:val="BodyText"/>
              <w:numPr>
                <w:ilvl w:val="0"/>
                <w:numId w:val="16"/>
              </w:numPr>
              <w:ind w:left="360"/>
              <w:rPr>
                <w:sz w:val="20"/>
                <w:szCs w:val="20"/>
                <w:rtl/>
                <w:lang w:bidi="ar-LB"/>
              </w:rPr>
            </w:pPr>
            <w:r w:rsidRPr="00577563">
              <w:rPr>
                <w:sz w:val="20"/>
                <w:szCs w:val="20"/>
                <w:rtl/>
                <w:lang w:bidi="ar-LB"/>
              </w:rPr>
              <w:t xml:space="preserve">قد يكون من </w:t>
            </w:r>
            <w:r w:rsidRPr="00D531F5">
              <w:rPr>
                <w:rtl/>
                <w:lang w:bidi="ar-LB"/>
              </w:rPr>
              <w:t>الأصعب</w:t>
            </w:r>
            <w:r w:rsidRPr="00577563">
              <w:rPr>
                <w:sz w:val="20"/>
                <w:szCs w:val="20"/>
                <w:rtl/>
                <w:lang w:bidi="ar-LB"/>
              </w:rPr>
              <w:t xml:space="preserve"> تحديد الإتاوة لكل عملية بيع، ولكن يمكن التعامل مع هذا الأمر بسهولة من خلال الإدارة الجماعية لحق التتبع.</w:t>
            </w:r>
          </w:p>
          <w:p w14:paraId="25FE858A" w14:textId="77777777" w:rsidR="008D64F9" w:rsidRPr="00577563" w:rsidRDefault="008D64F9" w:rsidP="00577563">
            <w:pPr>
              <w:pStyle w:val="BodyText"/>
              <w:rPr>
                <w:sz w:val="20"/>
                <w:szCs w:val="20"/>
              </w:rPr>
            </w:pPr>
          </w:p>
        </w:tc>
      </w:tr>
      <w:tr w:rsidR="008D64F9" w:rsidRPr="00577563" w14:paraId="0BF29C03" w14:textId="77777777" w:rsidTr="00101B5A">
        <w:tc>
          <w:tcPr>
            <w:tcW w:w="2689" w:type="dxa"/>
          </w:tcPr>
          <w:p w14:paraId="65D3D843" w14:textId="77777777" w:rsidR="008D64F9" w:rsidRPr="00577563" w:rsidRDefault="008D64F9" w:rsidP="00577563">
            <w:pPr>
              <w:pStyle w:val="BodyText"/>
              <w:rPr>
                <w:sz w:val="20"/>
                <w:szCs w:val="20"/>
                <w:rtl/>
                <w:lang w:bidi="ar-LB"/>
              </w:rPr>
            </w:pPr>
            <w:r w:rsidRPr="00577563">
              <w:rPr>
                <w:sz w:val="20"/>
                <w:szCs w:val="20"/>
                <w:rtl/>
                <w:lang w:bidi="ar-LB"/>
              </w:rPr>
              <w:t>حد أقصى على القيمة الإجمالية لإتاوة حق التتبع (المفوضية الأوروبية)</w:t>
            </w:r>
          </w:p>
        </w:tc>
        <w:tc>
          <w:tcPr>
            <w:tcW w:w="2126" w:type="dxa"/>
          </w:tcPr>
          <w:p w14:paraId="0B1C5CDB" w14:textId="77777777" w:rsidR="008D64F9" w:rsidRPr="00577563" w:rsidDel="00EF0D3E" w:rsidRDefault="008D64F9" w:rsidP="00577563">
            <w:pPr>
              <w:pStyle w:val="BodyText"/>
              <w:rPr>
                <w:sz w:val="20"/>
                <w:szCs w:val="20"/>
                <w:rtl/>
                <w:lang w:bidi="ar-LB"/>
              </w:rPr>
            </w:pPr>
            <w:r w:rsidRPr="00577563">
              <w:rPr>
                <w:i/>
                <w:sz w:val="20"/>
                <w:szCs w:val="20"/>
                <w:rtl/>
                <w:lang w:bidi="ar-LB"/>
              </w:rPr>
              <w:t>ولكن، لا يجوز تحت أي ظرف من الظروف أن تتجاوز القيمة الإجمالية للإتاوة 3000 يورو.</w:t>
            </w:r>
            <w:r w:rsidRPr="00577563">
              <w:rPr>
                <w:i/>
                <w:sz w:val="20"/>
                <w:szCs w:val="20"/>
                <w:lang w:val="en-AU"/>
              </w:rPr>
              <w:t xml:space="preserve"> </w:t>
            </w:r>
            <w:r w:rsidRPr="00577563">
              <w:rPr>
                <w:i/>
                <w:sz w:val="20"/>
                <w:szCs w:val="20"/>
                <w:rtl/>
                <w:lang w:bidi="ar-LB"/>
              </w:rPr>
              <w:t>لا يجوز أن تتجاوز القيمة الإجمالية لإتاوة حق التتبع</w:t>
            </w:r>
            <w:r w:rsidRPr="00577563">
              <w:rPr>
                <w:sz w:val="20"/>
                <w:szCs w:val="20"/>
                <w:rtl/>
                <w:lang w:bidi="ar-LB"/>
              </w:rPr>
              <w:t>...</w:t>
            </w:r>
            <w:r w:rsidRPr="00577563">
              <w:rPr>
                <w:sz w:val="20"/>
                <w:szCs w:val="20"/>
                <w:vertAlign w:val="superscript"/>
                <w:lang w:val="en-AU"/>
              </w:rPr>
              <w:footnoteReference w:id="80"/>
            </w:r>
          </w:p>
        </w:tc>
        <w:tc>
          <w:tcPr>
            <w:tcW w:w="4431" w:type="dxa"/>
          </w:tcPr>
          <w:p w14:paraId="5A230138" w14:textId="77777777" w:rsidR="008D64F9" w:rsidRPr="00577563" w:rsidRDefault="008D64F9">
            <w:pPr>
              <w:pStyle w:val="BodyText"/>
              <w:numPr>
                <w:ilvl w:val="0"/>
                <w:numId w:val="16"/>
              </w:numPr>
              <w:ind w:left="360"/>
              <w:rPr>
                <w:sz w:val="20"/>
                <w:szCs w:val="20"/>
                <w:rtl/>
                <w:lang w:bidi="ar-LB"/>
              </w:rPr>
            </w:pPr>
            <w:r w:rsidRPr="00577563">
              <w:rPr>
                <w:sz w:val="20"/>
                <w:szCs w:val="20"/>
                <w:rtl/>
                <w:lang w:bidi="ar-LB"/>
              </w:rPr>
              <w:t xml:space="preserve">يرجى </w:t>
            </w:r>
            <w:r w:rsidRPr="00D531F5">
              <w:rPr>
                <w:rtl/>
                <w:lang w:bidi="ar-LB"/>
              </w:rPr>
              <w:t>الاطلاع</w:t>
            </w:r>
            <w:r w:rsidRPr="00577563">
              <w:rPr>
                <w:sz w:val="20"/>
                <w:szCs w:val="20"/>
                <w:rtl/>
                <w:lang w:bidi="ar-LB"/>
              </w:rPr>
              <w:t xml:space="preserve"> على الملاحظات الواردة سابقًا في الفقرة 42.</w:t>
            </w:r>
          </w:p>
        </w:tc>
      </w:tr>
      <w:tr w:rsidR="008D64F9" w:rsidRPr="00577563" w14:paraId="2C1E2A21" w14:textId="77777777" w:rsidTr="00101B5A">
        <w:tc>
          <w:tcPr>
            <w:tcW w:w="2689" w:type="dxa"/>
          </w:tcPr>
          <w:p w14:paraId="7557CA52" w14:textId="77777777" w:rsidR="008D64F9" w:rsidRPr="00577563" w:rsidRDefault="008D64F9" w:rsidP="00577563">
            <w:pPr>
              <w:pStyle w:val="BodyText"/>
              <w:rPr>
                <w:sz w:val="20"/>
                <w:szCs w:val="20"/>
                <w:rtl/>
                <w:lang w:bidi="ar-LB"/>
              </w:rPr>
            </w:pPr>
            <w:r w:rsidRPr="00577563">
              <w:rPr>
                <w:sz w:val="20"/>
                <w:szCs w:val="20"/>
                <w:rtl/>
                <w:lang w:bidi="ar-LB"/>
              </w:rPr>
              <w:t>حد أدنى لسعر إعادة بيع المصنف الفني (أستراليا، كينيا)</w:t>
            </w:r>
          </w:p>
        </w:tc>
        <w:tc>
          <w:tcPr>
            <w:tcW w:w="2126" w:type="dxa"/>
          </w:tcPr>
          <w:p w14:paraId="43F9A493" w14:textId="77777777" w:rsidR="008D64F9" w:rsidRPr="00577563" w:rsidRDefault="008D64F9" w:rsidP="00577563">
            <w:pPr>
              <w:pStyle w:val="BodyText"/>
              <w:rPr>
                <w:sz w:val="20"/>
                <w:szCs w:val="20"/>
                <w:rtl/>
                <w:lang w:bidi="ar-LB"/>
              </w:rPr>
            </w:pPr>
            <w:r w:rsidRPr="00577563">
              <w:rPr>
                <w:i/>
                <w:sz w:val="20"/>
                <w:szCs w:val="20"/>
                <w:rtl/>
                <w:lang w:bidi="ar-LB"/>
              </w:rPr>
              <w:t>لا يتم دفع أي إتاوة إعادة بيع إذا كان سعر إعادة البيع للمصنف الفني أقل من ... أو أي مبلغ آخر قد يتم تحديده بموجب اللوائح أو القوانين [توجيه من الوزير، إلخ</w:t>
            </w:r>
            <w:r w:rsidRPr="00577563">
              <w:rPr>
                <w:sz w:val="20"/>
                <w:szCs w:val="20"/>
                <w:rtl/>
                <w:lang w:bidi="ar-LB"/>
              </w:rPr>
              <w:t>]</w:t>
            </w:r>
            <w:r w:rsidRPr="00577563">
              <w:rPr>
                <w:sz w:val="20"/>
                <w:szCs w:val="20"/>
                <w:vertAlign w:val="superscript"/>
                <w:lang w:val="en-AU"/>
              </w:rPr>
              <w:footnoteReference w:id="81"/>
            </w:r>
          </w:p>
        </w:tc>
        <w:tc>
          <w:tcPr>
            <w:tcW w:w="4431" w:type="dxa"/>
          </w:tcPr>
          <w:p w14:paraId="5B2B6DBF" w14:textId="77777777" w:rsidR="008D64F9" w:rsidRPr="00577563" w:rsidRDefault="008D64F9">
            <w:pPr>
              <w:pStyle w:val="BodyText"/>
              <w:numPr>
                <w:ilvl w:val="0"/>
                <w:numId w:val="16"/>
              </w:numPr>
              <w:ind w:left="360"/>
              <w:rPr>
                <w:sz w:val="20"/>
                <w:szCs w:val="20"/>
                <w:rtl/>
                <w:lang w:bidi="ar-LB"/>
              </w:rPr>
            </w:pPr>
            <w:r w:rsidRPr="00577563">
              <w:rPr>
                <w:sz w:val="20"/>
                <w:szCs w:val="20"/>
                <w:rtl/>
                <w:lang w:bidi="ar-LB"/>
              </w:rPr>
              <w:t>إن تحديد حد أدنى لدفع إتاوة حق التتبع قد يجعل إدارة المخطط أسهل، وتوفير آلية لزيادة (أو تخفيض) هذا الحد الأدنى من خلال القوانين واللوائح وما إلى ذلك قد يكون مفيدًا في المستقبل.</w:t>
            </w:r>
            <w:r w:rsidRPr="00577563">
              <w:rPr>
                <w:sz w:val="20"/>
                <w:szCs w:val="20"/>
              </w:rPr>
              <w:t xml:space="preserve"> </w:t>
            </w:r>
          </w:p>
        </w:tc>
      </w:tr>
      <w:tr w:rsidR="008D64F9" w:rsidRPr="00577563" w14:paraId="788F612E" w14:textId="77777777" w:rsidTr="00101B5A">
        <w:tc>
          <w:tcPr>
            <w:tcW w:w="2689" w:type="dxa"/>
          </w:tcPr>
          <w:p w14:paraId="1C43037D" w14:textId="77777777" w:rsidR="008D64F9" w:rsidRPr="00577563" w:rsidRDefault="008D64F9" w:rsidP="00577563">
            <w:pPr>
              <w:pStyle w:val="BodyText"/>
              <w:rPr>
                <w:sz w:val="20"/>
                <w:szCs w:val="20"/>
                <w:rtl/>
                <w:lang w:bidi="ar-LB"/>
              </w:rPr>
            </w:pPr>
            <w:r w:rsidRPr="00577563">
              <w:rPr>
                <w:sz w:val="20"/>
                <w:szCs w:val="20"/>
                <w:rtl/>
                <w:lang w:bidi="ar-LB"/>
              </w:rPr>
              <w:t>نسبة مئوية من الزيادة في قيمة المصنف (البرازيل)</w:t>
            </w:r>
          </w:p>
        </w:tc>
        <w:tc>
          <w:tcPr>
            <w:tcW w:w="2126" w:type="dxa"/>
          </w:tcPr>
          <w:p w14:paraId="0AE6D76B" w14:textId="77777777" w:rsidR="008D64F9" w:rsidRPr="00577563" w:rsidRDefault="008D64F9" w:rsidP="00577563">
            <w:pPr>
              <w:pStyle w:val="BodyText"/>
              <w:rPr>
                <w:sz w:val="20"/>
                <w:szCs w:val="20"/>
                <w:rtl/>
                <w:lang w:bidi="ar-LB"/>
              </w:rPr>
            </w:pPr>
            <w:r w:rsidRPr="00577563">
              <w:rPr>
                <w:sz w:val="20"/>
                <w:szCs w:val="20"/>
                <w:rtl/>
                <w:lang w:bidi="ar-LB"/>
              </w:rPr>
              <w:t xml:space="preserve">للمؤلف الحق غير القابل للإلغاء وغير القابل للتصرف في الحصول على ما لا يقل عن خمسة في المائة من أي مكسب في القيمة قد يتحقق </w:t>
            </w:r>
            <w:r w:rsidRPr="00577563">
              <w:rPr>
                <w:sz w:val="20"/>
                <w:szCs w:val="20"/>
                <w:rtl/>
                <w:lang w:bidi="ar-LB"/>
              </w:rPr>
              <w:lastRenderedPageBreak/>
              <w:t>في كل عملية إعادة بيع لمصنف فني أصلي أو مخطوطة.</w:t>
            </w:r>
            <w:r w:rsidRPr="00577563">
              <w:rPr>
                <w:sz w:val="20"/>
                <w:szCs w:val="20"/>
                <w:vertAlign w:val="superscript"/>
                <w:lang w:val="en-GB"/>
              </w:rPr>
              <w:footnoteReference w:id="82"/>
            </w:r>
            <w:r w:rsidRPr="00577563">
              <w:rPr>
                <w:sz w:val="20"/>
                <w:szCs w:val="20"/>
                <w:lang w:val="en-GB"/>
              </w:rPr>
              <w:t xml:space="preserve"> </w:t>
            </w:r>
          </w:p>
          <w:p w14:paraId="54E2E4C2" w14:textId="77777777" w:rsidR="008D64F9" w:rsidRPr="00577563" w:rsidRDefault="008D64F9" w:rsidP="00577563">
            <w:pPr>
              <w:pStyle w:val="BodyText"/>
              <w:rPr>
                <w:sz w:val="20"/>
                <w:szCs w:val="20"/>
                <w:lang w:val="en-AU"/>
              </w:rPr>
            </w:pPr>
          </w:p>
        </w:tc>
        <w:tc>
          <w:tcPr>
            <w:tcW w:w="4431" w:type="dxa"/>
          </w:tcPr>
          <w:p w14:paraId="1F6ECBDB" w14:textId="77777777" w:rsidR="008D64F9" w:rsidRPr="00577563" w:rsidRDefault="008D64F9">
            <w:pPr>
              <w:pStyle w:val="BodyText"/>
              <w:numPr>
                <w:ilvl w:val="0"/>
                <w:numId w:val="16"/>
              </w:numPr>
              <w:ind w:left="360"/>
              <w:rPr>
                <w:sz w:val="20"/>
                <w:szCs w:val="20"/>
                <w:rtl/>
                <w:lang w:bidi="ar-LB"/>
              </w:rPr>
            </w:pPr>
            <w:r w:rsidRPr="00577563">
              <w:rPr>
                <w:sz w:val="20"/>
                <w:szCs w:val="20"/>
                <w:rtl/>
                <w:lang w:bidi="ar-LB"/>
              </w:rPr>
              <w:lastRenderedPageBreak/>
              <w:t xml:space="preserve">قد يؤدي ذلك إلى مواجهة صعوبات في تحديد الربح الذي تحقق من </w:t>
            </w:r>
            <w:r w:rsidRPr="00577563">
              <w:rPr>
                <w:rFonts w:hint="cs"/>
                <w:sz w:val="20"/>
                <w:szCs w:val="20"/>
                <w:rtl/>
                <w:lang w:bidi="ar-LB"/>
              </w:rPr>
              <w:t xml:space="preserve">كل </w:t>
            </w:r>
            <w:r w:rsidRPr="00577563">
              <w:rPr>
                <w:sz w:val="20"/>
                <w:szCs w:val="20"/>
                <w:rtl/>
                <w:lang w:bidi="ar-LB"/>
              </w:rPr>
              <w:t xml:space="preserve">عملية </w:t>
            </w:r>
            <w:r w:rsidRPr="00577563">
              <w:rPr>
                <w:rFonts w:hint="cs"/>
                <w:sz w:val="20"/>
                <w:szCs w:val="20"/>
                <w:rtl/>
                <w:lang w:bidi="ar-LB"/>
              </w:rPr>
              <w:t xml:space="preserve">من عمليات </w:t>
            </w:r>
            <w:r w:rsidRPr="00577563">
              <w:rPr>
                <w:sz w:val="20"/>
                <w:szCs w:val="20"/>
                <w:rtl/>
                <w:lang w:bidi="ar-LB"/>
              </w:rPr>
              <w:t>إعادة البيع.</w:t>
            </w:r>
            <w:r w:rsidRPr="00577563">
              <w:rPr>
                <w:sz w:val="20"/>
                <w:szCs w:val="20"/>
              </w:rPr>
              <w:t xml:space="preserve"> </w:t>
            </w:r>
            <w:r w:rsidRPr="00577563">
              <w:rPr>
                <w:sz w:val="20"/>
                <w:szCs w:val="20"/>
                <w:rtl/>
                <w:lang w:bidi="ar-LB"/>
              </w:rPr>
              <w:t xml:space="preserve">وقد تتفاقم هذه الصعوبات في غياب ترتيبات الإدارة الجماعية (يرجى </w:t>
            </w:r>
            <w:r w:rsidRPr="00577563">
              <w:rPr>
                <w:sz w:val="20"/>
                <w:szCs w:val="20"/>
                <w:rtl/>
                <w:lang w:bidi="ar-LB"/>
              </w:rPr>
              <w:lastRenderedPageBreak/>
              <w:t>الاطلاع على الجزء الثاني من مجموعة الأدوات هذه) إذا كان  أصحاب الحقوق بأنفسهم مسؤولون عن تنفيذ هذا الحكم.</w:t>
            </w:r>
            <w:r w:rsidRPr="00577563">
              <w:rPr>
                <w:sz w:val="20"/>
                <w:szCs w:val="20"/>
              </w:rPr>
              <w:t xml:space="preserve"> </w:t>
            </w:r>
          </w:p>
        </w:tc>
      </w:tr>
    </w:tbl>
    <w:p w14:paraId="20845686" w14:textId="77777777" w:rsidR="008D64F9" w:rsidRPr="008D64F9" w:rsidRDefault="008D64F9" w:rsidP="00534856">
      <w:pPr>
        <w:pStyle w:val="Heading2"/>
        <w:rPr>
          <w:rtl/>
        </w:rPr>
      </w:pPr>
      <w:r w:rsidRPr="008D64F9">
        <w:rPr>
          <w:rtl/>
        </w:rPr>
        <w:lastRenderedPageBreak/>
        <w:t>من هو المسؤول عن دفع إتاوة حق التتبع</w:t>
      </w:r>
      <w:r w:rsidRPr="008D64F9">
        <w:rPr>
          <w:lang w:bidi="ar-SA"/>
        </w:rPr>
        <w:t xml:space="preserve"> </w:t>
      </w:r>
    </w:p>
    <w:p w14:paraId="0FF8257B" w14:textId="77777777" w:rsidR="008D64F9" w:rsidRPr="008D64F9" w:rsidRDefault="008D64F9" w:rsidP="00577563">
      <w:pPr>
        <w:pStyle w:val="ONUMA"/>
        <w:rPr>
          <w:rtl/>
          <w:lang w:bidi="ar-LB"/>
        </w:rPr>
      </w:pPr>
      <w:r w:rsidRPr="008D64F9">
        <w:rPr>
          <w:rtl/>
          <w:lang w:bidi="ar-LB"/>
        </w:rPr>
        <w:t>المسؤول عادةً هو بائع المصنف الذي ينطبق عليه حق التتبع، ولكن قد تكون هناك أطراف أخرى مسؤولة بشكل ثانوي، أو إضافي، عن الدفع، بما في ذلك الوسطاء والجهات المتخصصة في سوق المصنفات الفنية، وكملاذ أخير، المشتري.</w:t>
      </w:r>
      <w:r w:rsidRPr="008D64F9">
        <w:rPr>
          <w:lang w:val="en-AU"/>
        </w:rPr>
        <w:t xml:space="preserve"> </w:t>
      </w:r>
      <w:r w:rsidRPr="008D64F9">
        <w:rPr>
          <w:rtl/>
          <w:lang w:bidi="ar-LB"/>
        </w:rPr>
        <w:t>وتتمتع القوانين الوطنية بقدر كبير من المرونة فيما يتعلق بهذه المسألة، حيث إن المادة 14(ثالثا) من اتفاقية برن لا تتضمن أي وصف واضح بشأن من سيكون مسؤولا عن دفع إتاوة حق التتبع.</w:t>
      </w:r>
      <w:r w:rsidRPr="008D64F9">
        <w:rPr>
          <w:lang w:val="en-AU"/>
        </w:rPr>
        <w:t xml:space="preserve"> </w:t>
      </w:r>
      <w:r w:rsidRPr="008D64F9">
        <w:rPr>
          <w:rtl/>
          <w:lang w:bidi="ar-LB"/>
        </w:rPr>
        <w:t>وفي هذا الصدد، من المفيد أن نلاحظ الحكم التالي في المادة 1.4 من توجيه المفوضية الأوروبية، الذي يوفر للدول الأعضاء خيارات مختلفة في تنفيذها لهذا الالتزام:</w:t>
      </w:r>
    </w:p>
    <w:p w14:paraId="3DC28825" w14:textId="77777777" w:rsidR="008D64F9" w:rsidRPr="008D64F9" w:rsidRDefault="008D64F9" w:rsidP="00577563">
      <w:pPr>
        <w:pStyle w:val="BodyText"/>
        <w:ind w:left="562"/>
        <w:rPr>
          <w:rtl/>
          <w:lang w:bidi="ar-LB"/>
        </w:rPr>
      </w:pPr>
      <w:r w:rsidRPr="008D64F9">
        <w:rPr>
          <w:rtl/>
          <w:lang w:bidi="ar-LB"/>
        </w:rPr>
        <w:t>يجب أن يدفع البائع الإتاوة.</w:t>
      </w:r>
      <w:r w:rsidRPr="008D64F9">
        <w:rPr>
          <w:lang w:val="en-AU"/>
        </w:rPr>
        <w:t xml:space="preserve"> </w:t>
      </w:r>
      <w:r w:rsidRPr="008D64F9">
        <w:rPr>
          <w:rtl/>
          <w:lang w:bidi="ar-LB"/>
        </w:rPr>
        <w:t>ويجوز للدول الأعضاء أن تنص على أن أحد الأشخاص الطبيعيين أو الاعتباريين المشار إليهم في الفقرة 2، غير البائع، هو مسؤول بمفرده عن دفع الإتاوة أو يتشارك المسؤولية مع البائع.</w:t>
      </w:r>
      <w:r w:rsidRPr="008D64F9">
        <w:rPr>
          <w:lang w:val="en-AU"/>
        </w:rPr>
        <w:t xml:space="preserve"> </w:t>
      </w:r>
    </w:p>
    <w:p w14:paraId="6AEDD093" w14:textId="0128C30D" w:rsidR="008D64F9" w:rsidRPr="008D64F9" w:rsidRDefault="008D64F9" w:rsidP="00577563">
      <w:pPr>
        <w:pStyle w:val="BodyText"/>
        <w:ind w:left="562"/>
        <w:rPr>
          <w:rtl/>
          <w:lang w:bidi="ar-LB"/>
        </w:rPr>
      </w:pPr>
      <w:r w:rsidRPr="008D64F9">
        <w:rPr>
          <w:rtl/>
          <w:lang w:bidi="ar-LB"/>
        </w:rPr>
        <w:t>[الأشخاص المشار إليهم في الفقرة 2 هم:</w:t>
      </w:r>
      <w:r w:rsidRPr="008D64F9">
        <w:rPr>
          <w:lang w:val="en-AU"/>
        </w:rPr>
        <w:t xml:space="preserve"> </w:t>
      </w:r>
      <w:r w:rsidRPr="008D64F9">
        <w:rPr>
          <w:rtl/>
          <w:lang w:bidi="ar-LB"/>
        </w:rPr>
        <w:t>"أولئك المنخرطون في جميع عمليات إعادة البيع بصفتهم بائعين أو مشترين أو وسطاء متخصصين في سوق المصنفات الفنية، مثل صالات العرض والمعارض الفنية، وتجار المصنفات الفنية بشكل عام."]</w:t>
      </w:r>
    </w:p>
    <w:p w14:paraId="40678F23" w14:textId="77777777" w:rsidR="008D64F9" w:rsidRDefault="008D64F9" w:rsidP="00577563">
      <w:pPr>
        <w:pStyle w:val="ONUMA"/>
        <w:rPr>
          <w:lang w:bidi="ar-LB"/>
        </w:rPr>
      </w:pPr>
      <w:r w:rsidRPr="008D64F9">
        <w:rPr>
          <w:rtl/>
          <w:lang w:bidi="ar-LB"/>
        </w:rPr>
        <w:t>وترد نماذج مختلفة في الأحكام العينية الموضحة في الجدول التالي.</w:t>
      </w:r>
      <w:r w:rsidRPr="008D64F9">
        <w:rPr>
          <w:lang w:val="en-AU"/>
        </w:rPr>
        <w:t xml:space="preserve"> </w:t>
      </w:r>
      <w:r w:rsidRPr="008D64F9">
        <w:rPr>
          <w:rtl/>
          <w:lang w:bidi="ar-LB"/>
        </w:rPr>
        <w:t>وكما سنرى، فإن مسألة من يتحمل مسؤولية دفع إتاوة حق التتبع قد تؤدي إلى إثارة مسائل معقدة، وهذا يعني أنه لن يكون من السهل في هذه الحالات ابتكار حلول تشريعية بسيطة تلبي درجة التعقيد الوق</w:t>
      </w:r>
      <w:r w:rsidRPr="008D64F9">
        <w:rPr>
          <w:rFonts w:hint="cs"/>
          <w:rtl/>
          <w:lang w:bidi="ar-LB"/>
        </w:rPr>
        <w:t>ائ</w:t>
      </w:r>
      <w:r w:rsidRPr="008D64F9">
        <w:rPr>
          <w:rtl/>
          <w:lang w:bidi="ar-LB"/>
        </w:rPr>
        <w:t>عية التي قد تنشأ.</w:t>
      </w:r>
    </w:p>
    <w:p w14:paraId="6591F110" w14:textId="2AD9E05C" w:rsidR="00577563" w:rsidRDefault="00577563">
      <w:pPr>
        <w:bidi w:val="0"/>
        <w:rPr>
          <w:rFonts w:eastAsia="Times New Roman"/>
          <w:rtl/>
          <w:lang w:eastAsia="en-US" w:bidi="ar-LB"/>
        </w:rPr>
      </w:pPr>
      <w:r>
        <w:rPr>
          <w:rtl/>
          <w:lang w:bidi="ar-LB"/>
        </w:rPr>
        <w:br w:type="page"/>
      </w:r>
    </w:p>
    <w:p w14:paraId="58AE06AB" w14:textId="77777777" w:rsidR="008D64F9" w:rsidRPr="008D64F9" w:rsidRDefault="008D64F9" w:rsidP="00577563">
      <w:pPr>
        <w:spacing w:after="240"/>
        <w:rPr>
          <w:rFonts w:asciiTheme="minorHAnsi" w:hAnsiTheme="minorHAnsi" w:cstheme="minorHAnsi"/>
          <w:bCs/>
          <w:rtl/>
          <w:lang w:bidi="ar-LB"/>
        </w:rPr>
      </w:pPr>
      <w:r w:rsidRPr="008D64F9">
        <w:rPr>
          <w:rFonts w:asciiTheme="minorHAnsi" w:hAnsiTheme="minorHAnsi" w:cstheme="minorHAnsi"/>
          <w:bCs/>
          <w:rtl/>
          <w:lang w:bidi="ar-LB"/>
        </w:rPr>
        <w:lastRenderedPageBreak/>
        <w:t>الجدول 9</w:t>
      </w:r>
    </w:p>
    <w:tbl>
      <w:tblPr>
        <w:tblStyle w:val="TableGrid"/>
        <w:bidiVisual/>
        <w:tblW w:w="0" w:type="auto"/>
        <w:tblInd w:w="360" w:type="dxa"/>
        <w:tblLook w:val="04A0" w:firstRow="1" w:lastRow="0" w:firstColumn="1" w:lastColumn="0" w:noHBand="0" w:noVBand="1"/>
      </w:tblPr>
      <w:tblGrid>
        <w:gridCol w:w="2883"/>
        <w:gridCol w:w="2883"/>
        <w:gridCol w:w="2884"/>
      </w:tblGrid>
      <w:tr w:rsidR="008D64F9" w:rsidRPr="00577563" w14:paraId="0EF69E1F" w14:textId="77777777" w:rsidTr="00101B5A">
        <w:tc>
          <w:tcPr>
            <w:tcW w:w="2883" w:type="dxa"/>
          </w:tcPr>
          <w:p w14:paraId="456000F3" w14:textId="77777777" w:rsidR="008D64F9" w:rsidRPr="00577563" w:rsidRDefault="008D64F9" w:rsidP="00577563">
            <w:pPr>
              <w:pStyle w:val="BodyText"/>
              <w:rPr>
                <w:b/>
                <w:bCs/>
                <w:sz w:val="20"/>
                <w:szCs w:val="20"/>
                <w:rtl/>
                <w:lang w:bidi="ar-LB"/>
              </w:rPr>
            </w:pPr>
            <w:r w:rsidRPr="00577563">
              <w:rPr>
                <w:b/>
                <w:bCs/>
                <w:sz w:val="20"/>
                <w:szCs w:val="20"/>
                <w:rtl/>
                <w:lang w:bidi="ar-LB"/>
              </w:rPr>
              <w:t>نوع الحكم</w:t>
            </w:r>
          </w:p>
        </w:tc>
        <w:tc>
          <w:tcPr>
            <w:tcW w:w="2883" w:type="dxa"/>
          </w:tcPr>
          <w:p w14:paraId="0F1149D0" w14:textId="77777777" w:rsidR="008D64F9" w:rsidRPr="00577563" w:rsidRDefault="008D64F9" w:rsidP="00577563">
            <w:pPr>
              <w:pStyle w:val="BodyText"/>
              <w:rPr>
                <w:b/>
                <w:bCs/>
                <w:sz w:val="20"/>
                <w:szCs w:val="20"/>
                <w:rtl/>
                <w:lang w:bidi="ar-LB"/>
              </w:rPr>
            </w:pPr>
            <w:r w:rsidRPr="00577563">
              <w:rPr>
                <w:b/>
                <w:bCs/>
                <w:sz w:val="20"/>
                <w:szCs w:val="20"/>
                <w:rtl/>
                <w:lang w:bidi="ar-LB"/>
              </w:rPr>
              <w:t>النص المقترح</w:t>
            </w:r>
          </w:p>
        </w:tc>
        <w:tc>
          <w:tcPr>
            <w:tcW w:w="2884" w:type="dxa"/>
          </w:tcPr>
          <w:p w14:paraId="25497ABE" w14:textId="77777777" w:rsidR="008D64F9" w:rsidRPr="00577563" w:rsidRDefault="008D64F9" w:rsidP="00577563">
            <w:pPr>
              <w:pStyle w:val="BodyText"/>
              <w:rPr>
                <w:b/>
                <w:bCs/>
                <w:sz w:val="20"/>
                <w:szCs w:val="20"/>
                <w:rtl/>
                <w:lang w:bidi="ar-LB"/>
              </w:rPr>
            </w:pPr>
            <w:r w:rsidRPr="00577563">
              <w:rPr>
                <w:b/>
                <w:bCs/>
                <w:sz w:val="20"/>
                <w:szCs w:val="20"/>
                <w:rtl/>
                <w:lang w:bidi="ar-LB"/>
              </w:rPr>
              <w:t>تعليقات/ملاحظات</w:t>
            </w:r>
          </w:p>
        </w:tc>
      </w:tr>
      <w:tr w:rsidR="008D64F9" w:rsidRPr="00577563" w14:paraId="019A1AEB" w14:textId="77777777" w:rsidTr="00101B5A">
        <w:tc>
          <w:tcPr>
            <w:tcW w:w="2883" w:type="dxa"/>
          </w:tcPr>
          <w:p w14:paraId="261CCF99" w14:textId="77777777" w:rsidR="008D64F9" w:rsidRPr="00577563" w:rsidRDefault="008D64F9" w:rsidP="00577563">
            <w:pPr>
              <w:pStyle w:val="BodyText"/>
              <w:rPr>
                <w:sz w:val="20"/>
                <w:szCs w:val="20"/>
                <w:rtl/>
                <w:lang w:bidi="ar-LB"/>
              </w:rPr>
            </w:pPr>
            <w:r w:rsidRPr="00577563">
              <w:rPr>
                <w:sz w:val="20"/>
                <w:szCs w:val="20"/>
                <w:rtl/>
                <w:lang w:bidi="ar-LB"/>
              </w:rPr>
              <w:t>البائع وحده هو المسؤول (جواتيمالا)</w:t>
            </w:r>
          </w:p>
        </w:tc>
        <w:tc>
          <w:tcPr>
            <w:tcW w:w="2883" w:type="dxa"/>
          </w:tcPr>
          <w:p w14:paraId="3A54ED3C" w14:textId="77777777" w:rsidR="008D64F9" w:rsidRPr="00577563" w:rsidRDefault="008D64F9" w:rsidP="00577563">
            <w:pPr>
              <w:pStyle w:val="BodyText"/>
              <w:rPr>
                <w:sz w:val="20"/>
                <w:szCs w:val="20"/>
                <w:rtl/>
                <w:lang w:bidi="ar-LB"/>
              </w:rPr>
            </w:pPr>
            <w:r w:rsidRPr="00577563">
              <w:rPr>
                <w:sz w:val="20"/>
                <w:szCs w:val="20"/>
                <w:rtl/>
                <w:lang w:bidi="ar-LB"/>
              </w:rPr>
              <w:t>يجب على بائع المصنف الفني الأصلي [والمخطوطة] أن يدفع إتاوة حق التتبع.</w:t>
            </w:r>
            <w:r w:rsidRPr="00577563">
              <w:rPr>
                <w:sz w:val="20"/>
                <w:szCs w:val="20"/>
                <w:vertAlign w:val="superscript"/>
                <w:lang w:val="en-AU"/>
              </w:rPr>
              <w:footnoteReference w:id="83"/>
            </w:r>
          </w:p>
        </w:tc>
        <w:tc>
          <w:tcPr>
            <w:tcW w:w="2884" w:type="dxa"/>
          </w:tcPr>
          <w:p w14:paraId="671DE9AA" w14:textId="77777777" w:rsidR="008D64F9" w:rsidRPr="00577563" w:rsidRDefault="008D64F9">
            <w:pPr>
              <w:pStyle w:val="BodyText"/>
              <w:numPr>
                <w:ilvl w:val="0"/>
                <w:numId w:val="16"/>
              </w:numPr>
              <w:ind w:left="360"/>
              <w:rPr>
                <w:sz w:val="20"/>
                <w:szCs w:val="20"/>
                <w:rtl/>
                <w:lang w:bidi="ar-LB"/>
              </w:rPr>
            </w:pPr>
            <w:r w:rsidRPr="00577563">
              <w:rPr>
                <w:sz w:val="20"/>
                <w:szCs w:val="20"/>
                <w:rtl/>
                <w:lang w:bidi="ar-LB"/>
              </w:rPr>
              <w:t xml:space="preserve">هذا هو الحل الأبسط ولكنه لا يقدم أي حل بديل في حال عدم قدرة البائع على الدفع أو عدم القدرة على تحديد مكانه.  </w:t>
            </w:r>
          </w:p>
        </w:tc>
      </w:tr>
      <w:tr w:rsidR="008D64F9" w:rsidRPr="00577563" w14:paraId="77285DC1" w14:textId="77777777" w:rsidTr="00101B5A">
        <w:tc>
          <w:tcPr>
            <w:tcW w:w="2883" w:type="dxa"/>
          </w:tcPr>
          <w:p w14:paraId="10075C07" w14:textId="77777777" w:rsidR="008D64F9" w:rsidRPr="00577563" w:rsidRDefault="008D64F9" w:rsidP="00577563">
            <w:pPr>
              <w:pStyle w:val="BodyText"/>
              <w:rPr>
                <w:sz w:val="20"/>
                <w:szCs w:val="20"/>
                <w:rtl/>
                <w:lang w:bidi="ar-LB"/>
              </w:rPr>
            </w:pPr>
            <w:r w:rsidRPr="00577563">
              <w:rPr>
                <w:sz w:val="20"/>
                <w:szCs w:val="20"/>
                <w:rtl/>
                <w:lang w:bidi="ar-LB"/>
              </w:rPr>
              <w:t>المسؤولية الأولى تقع على عاتق البائع ولكن قد تُحمل الدول الأطراف الأخرى المشاركة في إعادة البيع أيضا المسؤولية (المفوضية الأوروبية)</w:t>
            </w:r>
          </w:p>
        </w:tc>
        <w:tc>
          <w:tcPr>
            <w:tcW w:w="2883" w:type="dxa"/>
          </w:tcPr>
          <w:p w14:paraId="056223EE" w14:textId="77777777" w:rsidR="008D64F9" w:rsidRPr="00577563" w:rsidDel="00EF0D3E" w:rsidRDefault="008D64F9" w:rsidP="00577563">
            <w:pPr>
              <w:pStyle w:val="BodyText"/>
              <w:rPr>
                <w:sz w:val="20"/>
                <w:szCs w:val="20"/>
                <w:rtl/>
                <w:lang w:bidi="ar-LB"/>
              </w:rPr>
            </w:pPr>
            <w:r w:rsidRPr="00577563">
              <w:rPr>
                <w:sz w:val="20"/>
                <w:szCs w:val="20"/>
                <w:rtl/>
                <w:lang w:bidi="ar-LB"/>
              </w:rPr>
              <w:t>4.</w:t>
            </w:r>
            <w:r w:rsidRPr="00577563">
              <w:rPr>
                <w:sz w:val="20"/>
                <w:szCs w:val="20"/>
              </w:rPr>
              <w:t xml:space="preserve"> </w:t>
            </w:r>
            <w:r w:rsidRPr="00577563">
              <w:rPr>
                <w:sz w:val="20"/>
                <w:szCs w:val="20"/>
                <w:rtl/>
                <w:lang w:bidi="ar-LB"/>
              </w:rPr>
              <w:t>يجب أن يدفع البائع الإتاوة.</w:t>
            </w:r>
            <w:r w:rsidRPr="00577563">
              <w:rPr>
                <w:sz w:val="20"/>
                <w:szCs w:val="20"/>
              </w:rPr>
              <w:t xml:space="preserve"> </w:t>
            </w:r>
            <w:r w:rsidRPr="00577563">
              <w:rPr>
                <w:sz w:val="20"/>
                <w:szCs w:val="20"/>
                <w:rtl/>
                <w:lang w:bidi="ar-LB"/>
              </w:rPr>
              <w:t>ويجوز للدول الأعضاء أن تنص على أن أحد الأشخاص الطبيعيين أو الاعتباريين المشار إليهم في الفقرة 2، غير البائع، هو مسؤول بمفرده عن دفع الإتاوة أو يتشارك المسؤولية مع البائع.</w:t>
            </w:r>
            <w:r w:rsidRPr="00577563">
              <w:rPr>
                <w:sz w:val="20"/>
                <w:szCs w:val="20"/>
                <w:vertAlign w:val="superscript"/>
                <w:lang w:val="en-GB"/>
              </w:rPr>
              <w:footnoteReference w:id="84"/>
            </w:r>
          </w:p>
        </w:tc>
        <w:tc>
          <w:tcPr>
            <w:tcW w:w="2884" w:type="dxa"/>
          </w:tcPr>
          <w:p w14:paraId="210926F6" w14:textId="77777777" w:rsidR="008D64F9" w:rsidRPr="00577563" w:rsidRDefault="008D64F9">
            <w:pPr>
              <w:pStyle w:val="BodyText"/>
              <w:numPr>
                <w:ilvl w:val="0"/>
                <w:numId w:val="16"/>
              </w:numPr>
              <w:ind w:left="360"/>
              <w:rPr>
                <w:sz w:val="20"/>
                <w:szCs w:val="20"/>
                <w:rtl/>
                <w:lang w:bidi="ar-LB"/>
              </w:rPr>
            </w:pPr>
            <w:r w:rsidRPr="00577563">
              <w:rPr>
                <w:sz w:val="20"/>
                <w:szCs w:val="20"/>
                <w:rtl/>
                <w:lang w:bidi="ar-LB"/>
              </w:rPr>
              <w:t>الأطراف المشار إليها في المادة 1.2 هم: البائعون أو المشترون أو الوسطاء المتخصصون في سوق المصنفات الفنية، مثل صالات العرض والمعارض الفنية، وتجار المصنفات الفنية بشكل عام."</w:t>
            </w:r>
          </w:p>
        </w:tc>
      </w:tr>
      <w:tr w:rsidR="008D64F9" w:rsidRPr="00577563" w14:paraId="4A1380AC" w14:textId="77777777" w:rsidTr="00101B5A">
        <w:tc>
          <w:tcPr>
            <w:tcW w:w="2883" w:type="dxa"/>
          </w:tcPr>
          <w:p w14:paraId="62A1A804" w14:textId="77777777" w:rsidR="008D64F9" w:rsidRPr="00577563" w:rsidRDefault="008D64F9" w:rsidP="00577563">
            <w:pPr>
              <w:pStyle w:val="BodyText"/>
              <w:rPr>
                <w:sz w:val="20"/>
                <w:szCs w:val="20"/>
                <w:rtl/>
                <w:lang w:bidi="ar-LB"/>
              </w:rPr>
            </w:pPr>
            <w:r w:rsidRPr="00577563">
              <w:rPr>
                <w:sz w:val="20"/>
                <w:szCs w:val="20"/>
                <w:rtl/>
                <w:lang w:bidi="ar-LB"/>
              </w:rPr>
              <w:t>تحمُّل الجهات المتخصصة في سوق المصنفات الفنية المسؤولية بالتضامن والتكافل مع البائع (إسبانيا)</w:t>
            </w:r>
          </w:p>
        </w:tc>
        <w:tc>
          <w:tcPr>
            <w:tcW w:w="2883" w:type="dxa"/>
          </w:tcPr>
          <w:p w14:paraId="6EB77D17" w14:textId="77777777" w:rsidR="008D64F9" w:rsidRPr="00577563" w:rsidRDefault="008D64F9" w:rsidP="00577563">
            <w:pPr>
              <w:pStyle w:val="BodyText"/>
              <w:rPr>
                <w:sz w:val="20"/>
                <w:szCs w:val="20"/>
                <w:rtl/>
                <w:lang w:bidi="ar-LB"/>
              </w:rPr>
            </w:pPr>
            <w:r w:rsidRPr="00577563">
              <w:rPr>
                <w:i/>
                <w:sz w:val="20"/>
                <w:szCs w:val="20"/>
                <w:rtl/>
                <w:lang w:bidi="ar-LB"/>
              </w:rPr>
              <w:t>تتحمل الجهات المتخصصة في سوق المصنفات الفنية، والمنخرطة في عمليات إعادة البيع التي ينطبق عليها حق التتبع، بالتضامن والتكافل مع البائع، مسؤولية دفع إتاوة حق التتبع</w:t>
            </w:r>
            <w:r w:rsidRPr="00577563">
              <w:rPr>
                <w:sz w:val="20"/>
                <w:szCs w:val="20"/>
                <w:rtl/>
                <w:lang w:bidi="ar-LB"/>
              </w:rPr>
              <w:t>.</w:t>
            </w:r>
            <w:r w:rsidRPr="00577563">
              <w:rPr>
                <w:sz w:val="20"/>
                <w:szCs w:val="20"/>
                <w:vertAlign w:val="superscript"/>
                <w:lang w:val="en-GB"/>
              </w:rPr>
              <w:footnoteReference w:id="85"/>
            </w:r>
          </w:p>
        </w:tc>
        <w:tc>
          <w:tcPr>
            <w:tcW w:w="2884" w:type="dxa"/>
          </w:tcPr>
          <w:p w14:paraId="1046BAD1" w14:textId="77777777" w:rsidR="008D64F9" w:rsidRPr="00577563" w:rsidRDefault="008D64F9">
            <w:pPr>
              <w:pStyle w:val="BodyText"/>
              <w:numPr>
                <w:ilvl w:val="0"/>
                <w:numId w:val="16"/>
              </w:numPr>
              <w:ind w:left="360"/>
              <w:rPr>
                <w:sz w:val="20"/>
                <w:szCs w:val="20"/>
                <w:rtl/>
                <w:lang w:bidi="ar-LB"/>
              </w:rPr>
            </w:pPr>
            <w:r w:rsidRPr="00577563">
              <w:rPr>
                <w:sz w:val="20"/>
                <w:szCs w:val="20"/>
                <w:rtl/>
                <w:lang w:bidi="ar-LB"/>
              </w:rPr>
              <w:t>يشير تحمُّل المسؤولية بالتضامن والتكافل إلى التزام يجوز بموجبه اتخاذ إجراءات فيما يتعلق بكامل الالتزام ضد جميع الأطراف (بشكل مشترك) أو ضد أحدهم (بشكل منفصل).</w:t>
            </w:r>
          </w:p>
          <w:p w14:paraId="0479A74A" w14:textId="77777777" w:rsidR="008D64F9" w:rsidRPr="00577563" w:rsidRDefault="008D64F9">
            <w:pPr>
              <w:pStyle w:val="BodyText"/>
              <w:numPr>
                <w:ilvl w:val="0"/>
                <w:numId w:val="16"/>
              </w:numPr>
              <w:ind w:left="360"/>
              <w:rPr>
                <w:sz w:val="20"/>
                <w:szCs w:val="20"/>
                <w:rtl/>
                <w:lang w:bidi="ar-LB"/>
              </w:rPr>
            </w:pPr>
            <w:r w:rsidRPr="00577563">
              <w:rPr>
                <w:sz w:val="20"/>
                <w:szCs w:val="20"/>
                <w:rtl/>
                <w:lang w:bidi="ar-LB"/>
              </w:rPr>
              <w:t xml:space="preserve">تمتد المسؤولية هنا إلى الجهات المتخصصة في سوق المصنفات الفنية، ولكنها لا تطال المشتري (كما هو الحال في حكم النموذجي التالي)  </w:t>
            </w:r>
          </w:p>
        </w:tc>
      </w:tr>
      <w:tr w:rsidR="008D64F9" w:rsidRPr="00577563" w14:paraId="0998BD46" w14:textId="77777777" w:rsidTr="00101B5A">
        <w:tc>
          <w:tcPr>
            <w:tcW w:w="2883" w:type="dxa"/>
          </w:tcPr>
          <w:p w14:paraId="693C2890" w14:textId="77777777" w:rsidR="008D64F9" w:rsidRPr="00577563" w:rsidRDefault="008D64F9" w:rsidP="00577563">
            <w:pPr>
              <w:pStyle w:val="BodyText"/>
              <w:rPr>
                <w:sz w:val="20"/>
                <w:szCs w:val="20"/>
                <w:rtl/>
                <w:lang w:bidi="ar-LB"/>
              </w:rPr>
            </w:pPr>
            <w:r w:rsidRPr="00577563">
              <w:rPr>
                <w:sz w:val="20"/>
                <w:szCs w:val="20"/>
                <w:rtl/>
                <w:lang w:bidi="ar-LB"/>
              </w:rPr>
              <w:t>تحمُّل البائع والجهات المتخصصة في سوق المصنفات الفنية والمشتري المسؤولية  بالتضامن والتكافل (المملكة المتحدة)</w:t>
            </w:r>
          </w:p>
        </w:tc>
        <w:tc>
          <w:tcPr>
            <w:tcW w:w="2883" w:type="dxa"/>
          </w:tcPr>
          <w:p w14:paraId="43ED1399" w14:textId="77777777" w:rsidR="008D64F9" w:rsidRPr="00577563" w:rsidRDefault="008D64F9" w:rsidP="00577563">
            <w:pPr>
              <w:pStyle w:val="BodyText"/>
              <w:rPr>
                <w:i/>
                <w:sz w:val="20"/>
                <w:szCs w:val="20"/>
                <w:rtl/>
                <w:lang w:bidi="ar-LB"/>
              </w:rPr>
            </w:pPr>
            <w:r w:rsidRPr="00577563">
              <w:rPr>
                <w:i/>
                <w:sz w:val="20"/>
                <w:szCs w:val="20"/>
                <w:rtl/>
                <w:lang w:bidi="ar-LB"/>
              </w:rPr>
              <w:t>(1) ان الجهات التالية مسؤولة بالتضامن والتكافل عن دفع إتاوة حق التتبع المستحقة المتعلقة بعملية البيع -</w:t>
            </w:r>
            <w:r w:rsidRPr="00577563">
              <w:rPr>
                <w:i/>
                <w:sz w:val="20"/>
                <w:szCs w:val="20"/>
                <w:lang w:val="en-AU"/>
              </w:rPr>
              <w:t xml:space="preserve"> </w:t>
            </w:r>
          </w:p>
          <w:p w14:paraId="7915B503" w14:textId="77777777" w:rsidR="008D64F9" w:rsidRPr="00577563" w:rsidRDefault="008D64F9" w:rsidP="00577563">
            <w:pPr>
              <w:pStyle w:val="BodyText"/>
              <w:rPr>
                <w:i/>
                <w:sz w:val="20"/>
                <w:szCs w:val="20"/>
                <w:rtl/>
                <w:lang w:bidi="ar-LB"/>
              </w:rPr>
            </w:pPr>
            <w:r w:rsidRPr="00577563">
              <w:rPr>
                <w:i/>
                <w:sz w:val="20"/>
                <w:szCs w:val="20"/>
                <w:rtl/>
                <w:lang w:bidi="ar-LB"/>
              </w:rPr>
              <w:t>(أ) البائع؛</w:t>
            </w:r>
            <w:r w:rsidRPr="00577563">
              <w:rPr>
                <w:i/>
                <w:sz w:val="20"/>
                <w:szCs w:val="20"/>
                <w:lang w:val="en-AU"/>
              </w:rPr>
              <w:t xml:space="preserve"> </w:t>
            </w:r>
          </w:p>
          <w:p w14:paraId="50CE2B86" w14:textId="77777777" w:rsidR="008D64F9" w:rsidRPr="00577563" w:rsidRDefault="008D64F9" w:rsidP="00577563">
            <w:pPr>
              <w:pStyle w:val="BodyText"/>
              <w:rPr>
                <w:i/>
                <w:sz w:val="20"/>
                <w:szCs w:val="20"/>
                <w:rtl/>
                <w:lang w:bidi="ar-LB"/>
              </w:rPr>
            </w:pPr>
            <w:r w:rsidRPr="00577563">
              <w:rPr>
                <w:i/>
                <w:sz w:val="20"/>
                <w:szCs w:val="20"/>
                <w:rtl/>
                <w:lang w:bidi="ar-LB"/>
              </w:rPr>
              <w:t>و(ب) الشخص المعني (وفقا لما هو وارد في الفقرة (2)).</w:t>
            </w:r>
            <w:r w:rsidRPr="00577563">
              <w:rPr>
                <w:i/>
                <w:sz w:val="20"/>
                <w:szCs w:val="20"/>
                <w:lang w:val="en-AU"/>
              </w:rPr>
              <w:t xml:space="preserve"> </w:t>
            </w:r>
          </w:p>
          <w:p w14:paraId="1068A234" w14:textId="77777777" w:rsidR="008D64F9" w:rsidRPr="00577563" w:rsidRDefault="008D64F9" w:rsidP="00577563">
            <w:pPr>
              <w:pStyle w:val="BodyText"/>
              <w:rPr>
                <w:i/>
                <w:sz w:val="20"/>
                <w:szCs w:val="20"/>
                <w:rtl/>
                <w:lang w:bidi="ar-LB"/>
              </w:rPr>
            </w:pPr>
            <w:r w:rsidRPr="00577563">
              <w:rPr>
                <w:i/>
                <w:sz w:val="20"/>
                <w:szCs w:val="20"/>
                <w:rtl/>
                <w:lang w:bidi="ar-LB"/>
              </w:rPr>
              <w:t>(2) الشخص المعني هو -</w:t>
            </w:r>
            <w:r w:rsidRPr="00577563">
              <w:rPr>
                <w:i/>
                <w:sz w:val="20"/>
                <w:szCs w:val="20"/>
                <w:lang w:val="en-AU"/>
              </w:rPr>
              <w:t xml:space="preserve"> </w:t>
            </w:r>
          </w:p>
          <w:p w14:paraId="1923554C" w14:textId="77777777" w:rsidR="008D64F9" w:rsidRPr="00577563" w:rsidRDefault="008D64F9" w:rsidP="00577563">
            <w:pPr>
              <w:pStyle w:val="BodyText"/>
              <w:rPr>
                <w:i/>
                <w:sz w:val="20"/>
                <w:szCs w:val="20"/>
                <w:rtl/>
                <w:lang w:bidi="ar-LB"/>
              </w:rPr>
            </w:pPr>
            <w:r w:rsidRPr="00577563">
              <w:rPr>
                <w:i/>
                <w:sz w:val="20"/>
                <w:szCs w:val="20"/>
                <w:rtl/>
                <w:lang w:bidi="ar-LB"/>
              </w:rPr>
              <w:t>(أ) وكيل البائع؛</w:t>
            </w:r>
            <w:r w:rsidRPr="00577563">
              <w:rPr>
                <w:i/>
                <w:sz w:val="20"/>
                <w:szCs w:val="20"/>
                <w:lang w:val="en-AU"/>
              </w:rPr>
              <w:t xml:space="preserve"> </w:t>
            </w:r>
          </w:p>
          <w:p w14:paraId="7B8C051F" w14:textId="77777777" w:rsidR="008D64F9" w:rsidRPr="00577563" w:rsidRDefault="008D64F9" w:rsidP="00577563">
            <w:pPr>
              <w:pStyle w:val="BodyText"/>
              <w:rPr>
                <w:i/>
                <w:sz w:val="20"/>
                <w:szCs w:val="20"/>
                <w:rtl/>
                <w:lang w:bidi="ar-LB"/>
              </w:rPr>
            </w:pPr>
            <w:r w:rsidRPr="00577563">
              <w:rPr>
                <w:i/>
                <w:sz w:val="20"/>
                <w:szCs w:val="20"/>
                <w:rtl/>
                <w:lang w:bidi="ar-LB"/>
              </w:rPr>
              <w:t>أو (ب) في حال عدم وجود مثل هذا الوكيل، وكيل المشتري؛</w:t>
            </w:r>
            <w:r w:rsidRPr="00577563">
              <w:rPr>
                <w:i/>
                <w:sz w:val="20"/>
                <w:szCs w:val="20"/>
                <w:lang w:val="en-AU"/>
              </w:rPr>
              <w:t xml:space="preserve"> </w:t>
            </w:r>
          </w:p>
          <w:p w14:paraId="45AD5F29" w14:textId="77777777" w:rsidR="008D64F9" w:rsidRPr="00577563" w:rsidRDefault="008D64F9" w:rsidP="00577563">
            <w:pPr>
              <w:pStyle w:val="BodyText"/>
              <w:rPr>
                <w:i/>
                <w:sz w:val="20"/>
                <w:szCs w:val="20"/>
                <w:rtl/>
                <w:lang w:bidi="ar-LB"/>
              </w:rPr>
            </w:pPr>
            <w:r w:rsidRPr="00577563">
              <w:rPr>
                <w:i/>
                <w:sz w:val="20"/>
                <w:szCs w:val="20"/>
                <w:rtl/>
                <w:lang w:bidi="ar-LB"/>
              </w:rPr>
              <w:t>أو (ج) ي حال عدم وجود مثل هؤلاء الوكلاء، المشتري.</w:t>
            </w:r>
            <w:r w:rsidRPr="00577563">
              <w:rPr>
                <w:i/>
                <w:sz w:val="20"/>
                <w:szCs w:val="20"/>
                <w:lang w:val="en-AU"/>
              </w:rPr>
              <w:t xml:space="preserve"> </w:t>
            </w:r>
          </w:p>
          <w:p w14:paraId="27288D20" w14:textId="77777777" w:rsidR="008D64F9" w:rsidRPr="00577563" w:rsidRDefault="008D64F9" w:rsidP="00577563">
            <w:pPr>
              <w:pStyle w:val="BodyText"/>
              <w:rPr>
                <w:i/>
                <w:sz w:val="20"/>
                <w:szCs w:val="20"/>
                <w:rtl/>
                <w:lang w:bidi="ar-LB"/>
              </w:rPr>
            </w:pPr>
            <w:r w:rsidRPr="00577563">
              <w:rPr>
                <w:i/>
                <w:sz w:val="20"/>
                <w:szCs w:val="20"/>
                <w:rtl/>
                <w:lang w:bidi="ar-LB"/>
              </w:rPr>
              <w:t xml:space="preserve">(3) تنشأ المسؤولية عند إتمام عملية البيع؛ ولكن، يمكن للشخص المسؤول أن </w:t>
            </w:r>
            <w:r w:rsidRPr="00577563">
              <w:rPr>
                <w:i/>
                <w:sz w:val="20"/>
                <w:szCs w:val="20"/>
                <w:rtl/>
                <w:lang w:bidi="ar-LB"/>
              </w:rPr>
              <w:lastRenderedPageBreak/>
              <w:t>يمتنع عن الدفع إلى أن يتم تقديم دليل على حقه في الحصول على الإتاوة.</w:t>
            </w:r>
            <w:r w:rsidRPr="00577563">
              <w:rPr>
                <w:i/>
                <w:sz w:val="20"/>
                <w:szCs w:val="20"/>
                <w:lang w:val="en-AU"/>
              </w:rPr>
              <w:t xml:space="preserve"> </w:t>
            </w:r>
          </w:p>
          <w:p w14:paraId="59BAC74F" w14:textId="77777777" w:rsidR="008D64F9" w:rsidRPr="00577563" w:rsidRDefault="008D64F9" w:rsidP="00577563">
            <w:pPr>
              <w:pStyle w:val="BodyText"/>
              <w:rPr>
                <w:sz w:val="20"/>
                <w:szCs w:val="20"/>
                <w:rtl/>
                <w:lang w:bidi="ar-LB"/>
              </w:rPr>
            </w:pPr>
            <w:r w:rsidRPr="00577563">
              <w:rPr>
                <w:i/>
                <w:sz w:val="20"/>
                <w:szCs w:val="20"/>
                <w:rtl/>
                <w:lang w:bidi="ar-LB"/>
              </w:rPr>
              <w:t>(4) في الحالات التي يكون فيها شخصان أو أكثر هم أصحاب حق التتبع، يتم الوفاء بالالتزام بدفع إتاوة حق التتبع إذا تم دفع المبلغ الإجمالي للإتاوة إلى أحد هؤلاء الأشخاص</w:t>
            </w:r>
            <w:r w:rsidRPr="00577563">
              <w:rPr>
                <w:sz w:val="20"/>
                <w:szCs w:val="20"/>
                <w:rtl/>
                <w:lang w:bidi="ar-LB"/>
              </w:rPr>
              <w:t>.</w:t>
            </w:r>
            <w:r w:rsidRPr="00577563">
              <w:rPr>
                <w:sz w:val="20"/>
                <w:szCs w:val="20"/>
                <w:vertAlign w:val="superscript"/>
              </w:rPr>
              <w:footnoteReference w:id="86"/>
            </w:r>
          </w:p>
        </w:tc>
        <w:tc>
          <w:tcPr>
            <w:tcW w:w="2884" w:type="dxa"/>
          </w:tcPr>
          <w:p w14:paraId="6D7D14DD" w14:textId="77777777" w:rsidR="008D64F9" w:rsidRPr="00577563" w:rsidRDefault="008D64F9">
            <w:pPr>
              <w:pStyle w:val="BodyText"/>
              <w:numPr>
                <w:ilvl w:val="0"/>
                <w:numId w:val="16"/>
              </w:numPr>
              <w:ind w:left="360"/>
              <w:rPr>
                <w:sz w:val="20"/>
                <w:szCs w:val="20"/>
                <w:rtl/>
                <w:lang w:bidi="ar-LB"/>
              </w:rPr>
            </w:pPr>
            <w:r w:rsidRPr="00577563">
              <w:rPr>
                <w:sz w:val="20"/>
                <w:szCs w:val="20"/>
                <w:rtl/>
                <w:lang w:bidi="ar-LB"/>
              </w:rPr>
              <w:lastRenderedPageBreak/>
              <w:t>ينص هذا الحكم على تسلسل للمسؤوليات، من البائع إلى وكيل البائع، وصولا إلى وكيل المشتري، وأخيراً المشتري.</w:t>
            </w:r>
          </w:p>
          <w:p w14:paraId="72964317" w14:textId="77777777" w:rsidR="008D64F9" w:rsidRPr="00577563" w:rsidRDefault="008D64F9">
            <w:pPr>
              <w:pStyle w:val="BodyText"/>
              <w:numPr>
                <w:ilvl w:val="0"/>
                <w:numId w:val="16"/>
              </w:numPr>
              <w:ind w:left="360"/>
              <w:rPr>
                <w:sz w:val="20"/>
                <w:szCs w:val="20"/>
                <w:rtl/>
                <w:lang w:bidi="ar-LB"/>
              </w:rPr>
            </w:pPr>
            <w:r w:rsidRPr="00577563">
              <w:rPr>
                <w:sz w:val="20"/>
                <w:szCs w:val="20"/>
                <w:rtl/>
                <w:lang w:bidi="ar-LB"/>
              </w:rPr>
              <w:t>النتيجة النهائية هي أن المؤلف لن يفقد حقه في الحصول على إتاوة حق التتبع إذا كان من الممكن الوصول إلى أي من هذه الأطراف.</w:t>
            </w:r>
          </w:p>
        </w:tc>
      </w:tr>
      <w:tr w:rsidR="008D64F9" w:rsidRPr="00577563" w14:paraId="407F7B08" w14:textId="77777777" w:rsidTr="00101B5A">
        <w:tc>
          <w:tcPr>
            <w:tcW w:w="2883" w:type="dxa"/>
          </w:tcPr>
          <w:p w14:paraId="43A1D9E8" w14:textId="77777777" w:rsidR="008D64F9" w:rsidRPr="00577563" w:rsidRDefault="008D64F9" w:rsidP="00577563">
            <w:pPr>
              <w:pStyle w:val="BodyText"/>
              <w:rPr>
                <w:sz w:val="20"/>
                <w:szCs w:val="20"/>
                <w:rtl/>
                <w:lang w:bidi="ar-LB"/>
              </w:rPr>
            </w:pPr>
            <w:r w:rsidRPr="00577563">
              <w:rPr>
                <w:sz w:val="20"/>
                <w:szCs w:val="20"/>
                <w:rtl/>
                <w:lang w:bidi="ar-LB"/>
              </w:rPr>
              <w:t>تحمُّل المسؤولية  بالتضامن والتكافل - صيغة بديلة (أستراليا)</w:t>
            </w:r>
          </w:p>
          <w:p w14:paraId="33316AF4" w14:textId="77777777" w:rsidR="008D64F9" w:rsidRPr="00577563" w:rsidRDefault="008D64F9" w:rsidP="00577563">
            <w:pPr>
              <w:pStyle w:val="BodyText"/>
              <w:rPr>
                <w:sz w:val="20"/>
                <w:szCs w:val="20"/>
                <w:lang w:val="en-GB"/>
              </w:rPr>
            </w:pPr>
          </w:p>
        </w:tc>
        <w:tc>
          <w:tcPr>
            <w:tcW w:w="2883" w:type="dxa"/>
          </w:tcPr>
          <w:p w14:paraId="09E0EC09" w14:textId="77777777" w:rsidR="008D64F9" w:rsidRPr="00577563" w:rsidRDefault="008D64F9" w:rsidP="00577563">
            <w:pPr>
              <w:pStyle w:val="BodyText"/>
              <w:rPr>
                <w:i/>
                <w:sz w:val="20"/>
                <w:szCs w:val="20"/>
                <w:rtl/>
                <w:lang w:bidi="ar-LB"/>
              </w:rPr>
            </w:pPr>
            <w:r w:rsidRPr="00577563">
              <w:rPr>
                <w:i/>
                <w:sz w:val="20"/>
                <w:szCs w:val="20"/>
                <w:rtl/>
                <w:lang w:bidi="ar-LB"/>
              </w:rPr>
              <w:t xml:space="preserve">يتحمل الأشخاص </w:t>
            </w:r>
            <w:r w:rsidRPr="00577563">
              <w:rPr>
                <w:rFonts w:hint="cs"/>
                <w:i/>
                <w:sz w:val="20"/>
                <w:szCs w:val="20"/>
                <w:rtl/>
                <w:lang w:bidi="ar-LB"/>
              </w:rPr>
              <w:t>التالون</w:t>
            </w:r>
            <w:r w:rsidRPr="00577563">
              <w:rPr>
                <w:i/>
                <w:sz w:val="20"/>
                <w:szCs w:val="20"/>
                <w:rtl/>
                <w:lang w:bidi="ar-LB"/>
              </w:rPr>
              <w:t>، بالتضامن والتكافل، مسؤولية دفع إتاوة حق التتبع عند إعادة البيع التجاري للمصنف الفني:</w:t>
            </w:r>
            <w:r w:rsidRPr="00577563">
              <w:rPr>
                <w:i/>
                <w:sz w:val="20"/>
                <w:szCs w:val="20"/>
                <w:lang w:val="en-AU"/>
              </w:rPr>
              <w:t xml:space="preserve"> </w:t>
            </w:r>
          </w:p>
          <w:p w14:paraId="14CBBD22" w14:textId="77777777" w:rsidR="008D64F9" w:rsidRPr="00577563" w:rsidRDefault="008D64F9" w:rsidP="00577563">
            <w:pPr>
              <w:pStyle w:val="BodyText"/>
              <w:rPr>
                <w:i/>
                <w:sz w:val="20"/>
                <w:szCs w:val="20"/>
                <w:rtl/>
                <w:lang w:bidi="ar-LB"/>
              </w:rPr>
            </w:pPr>
            <w:r w:rsidRPr="00577563">
              <w:rPr>
                <w:i/>
                <w:sz w:val="20"/>
                <w:szCs w:val="20"/>
                <w:rtl/>
                <w:lang w:bidi="ar-LB"/>
              </w:rPr>
              <w:t>(أ) البائع أو، إذا كان هناك أكثر من بائع، جميع البائعين؛</w:t>
            </w:r>
          </w:p>
          <w:p w14:paraId="67238D1A" w14:textId="77777777" w:rsidR="008D64F9" w:rsidRPr="00577563" w:rsidRDefault="008D64F9" w:rsidP="00577563">
            <w:pPr>
              <w:pStyle w:val="BodyText"/>
              <w:rPr>
                <w:i/>
                <w:sz w:val="20"/>
                <w:szCs w:val="20"/>
                <w:rtl/>
                <w:lang w:bidi="ar-LB"/>
              </w:rPr>
            </w:pPr>
            <w:r w:rsidRPr="00577563">
              <w:rPr>
                <w:i/>
                <w:sz w:val="20"/>
                <w:szCs w:val="20"/>
                <w:rtl/>
                <w:lang w:bidi="ar-LB"/>
              </w:rPr>
              <w:t>و(ب) كل شخص يعمل بصفة جهة متخصصة في سوق المصنفات الفنية وبصفة وكيل للبائع؛</w:t>
            </w:r>
            <w:r w:rsidRPr="00577563">
              <w:rPr>
                <w:i/>
                <w:sz w:val="20"/>
                <w:szCs w:val="20"/>
                <w:lang w:val="en-AU"/>
              </w:rPr>
              <w:t xml:space="preserve"> </w:t>
            </w:r>
          </w:p>
          <w:p w14:paraId="59E910C9" w14:textId="77777777" w:rsidR="008D64F9" w:rsidRPr="00577563" w:rsidRDefault="008D64F9" w:rsidP="00577563">
            <w:pPr>
              <w:pStyle w:val="BodyText"/>
              <w:rPr>
                <w:i/>
                <w:sz w:val="20"/>
                <w:szCs w:val="20"/>
                <w:rtl/>
                <w:lang w:bidi="ar-LB"/>
              </w:rPr>
            </w:pPr>
            <w:r w:rsidRPr="00577563">
              <w:rPr>
                <w:i/>
                <w:sz w:val="20"/>
                <w:szCs w:val="20"/>
                <w:rtl/>
                <w:lang w:bidi="ar-LB"/>
              </w:rPr>
              <w:t>و(ب) في حال عدم وجود مثل هذا الوكيل - كل شخص يعمل بصفة جهة متخصصة في سوق المصنفات الفنية وبصفة وكيل للمشتري؛</w:t>
            </w:r>
          </w:p>
          <w:p w14:paraId="5D35CFE6" w14:textId="77777777" w:rsidR="008D64F9" w:rsidRPr="00577563" w:rsidRDefault="008D64F9" w:rsidP="00577563">
            <w:pPr>
              <w:pStyle w:val="BodyText"/>
              <w:rPr>
                <w:sz w:val="20"/>
                <w:szCs w:val="20"/>
                <w:rtl/>
                <w:lang w:bidi="ar-LB"/>
              </w:rPr>
            </w:pPr>
            <w:r w:rsidRPr="00577563">
              <w:rPr>
                <w:i/>
                <w:sz w:val="20"/>
                <w:szCs w:val="20"/>
                <w:rtl/>
                <w:lang w:bidi="ar-LB"/>
              </w:rPr>
              <w:t>و(د) في حال عدم وجود مثل هؤلاء الوكلاء - المشتري أو، إذا كان هناك أكثر من مشترٍ، جميع المشترين</w:t>
            </w:r>
            <w:r w:rsidRPr="00577563">
              <w:rPr>
                <w:sz w:val="20"/>
                <w:szCs w:val="20"/>
                <w:rtl/>
                <w:lang w:bidi="ar-LB"/>
              </w:rPr>
              <w:t>.</w:t>
            </w:r>
            <w:r w:rsidRPr="00577563">
              <w:rPr>
                <w:sz w:val="20"/>
                <w:szCs w:val="20"/>
                <w:vertAlign w:val="superscript"/>
              </w:rPr>
              <w:footnoteReference w:id="87"/>
            </w:r>
          </w:p>
        </w:tc>
        <w:tc>
          <w:tcPr>
            <w:tcW w:w="2884" w:type="dxa"/>
          </w:tcPr>
          <w:p w14:paraId="7475A56F" w14:textId="77777777" w:rsidR="008D64F9" w:rsidRPr="00577563" w:rsidRDefault="008D64F9">
            <w:pPr>
              <w:pStyle w:val="BodyText"/>
              <w:numPr>
                <w:ilvl w:val="0"/>
                <w:numId w:val="16"/>
              </w:numPr>
              <w:ind w:left="360"/>
              <w:rPr>
                <w:sz w:val="20"/>
                <w:szCs w:val="20"/>
                <w:rtl/>
                <w:lang w:bidi="ar-LB"/>
              </w:rPr>
            </w:pPr>
            <w:r w:rsidRPr="00577563">
              <w:rPr>
                <w:sz w:val="20"/>
                <w:szCs w:val="20"/>
                <w:rtl/>
                <w:lang w:bidi="ar-LB"/>
              </w:rPr>
              <w:t>تسلسل مختلف قليلاً، يصل إلى المشتري في النهاية</w:t>
            </w:r>
          </w:p>
          <w:p w14:paraId="60588F54" w14:textId="77777777" w:rsidR="008D64F9" w:rsidRPr="00577563" w:rsidRDefault="008D64F9">
            <w:pPr>
              <w:pStyle w:val="BodyText"/>
              <w:numPr>
                <w:ilvl w:val="0"/>
                <w:numId w:val="16"/>
              </w:numPr>
              <w:ind w:left="360"/>
              <w:rPr>
                <w:sz w:val="20"/>
                <w:szCs w:val="20"/>
                <w:rtl/>
                <w:lang w:bidi="ar-LB"/>
              </w:rPr>
            </w:pPr>
            <w:r w:rsidRPr="00577563">
              <w:rPr>
                <w:sz w:val="20"/>
                <w:szCs w:val="20"/>
                <w:rtl/>
                <w:lang w:bidi="ar-LB"/>
              </w:rPr>
              <w:t>ينص على وجود عدة بائعين وعدة مشترين وعدة جهات متخصصة في سوق المصنفات الفنية</w:t>
            </w:r>
          </w:p>
        </w:tc>
      </w:tr>
      <w:tr w:rsidR="008D64F9" w:rsidRPr="00577563" w14:paraId="19DE067F" w14:textId="77777777" w:rsidTr="00101B5A">
        <w:tc>
          <w:tcPr>
            <w:tcW w:w="2883" w:type="dxa"/>
          </w:tcPr>
          <w:p w14:paraId="759FC2DC" w14:textId="77777777" w:rsidR="008D64F9" w:rsidRPr="00577563" w:rsidRDefault="008D64F9" w:rsidP="00577563">
            <w:pPr>
              <w:pStyle w:val="BodyText"/>
              <w:rPr>
                <w:sz w:val="20"/>
                <w:szCs w:val="20"/>
                <w:rtl/>
                <w:lang w:bidi="ar-LB"/>
              </w:rPr>
            </w:pPr>
            <w:r w:rsidRPr="00577563">
              <w:rPr>
                <w:sz w:val="20"/>
                <w:szCs w:val="20"/>
                <w:rtl/>
                <w:lang w:bidi="ar-LB"/>
              </w:rPr>
              <w:t>الحالات التي تقع فيها المسؤولية بالدرجة الأولى على الجهة المتخصصة في سوق المصنفات الفنية (فرنسا)</w:t>
            </w:r>
          </w:p>
        </w:tc>
        <w:tc>
          <w:tcPr>
            <w:tcW w:w="2883" w:type="dxa"/>
          </w:tcPr>
          <w:p w14:paraId="0D0373C7" w14:textId="77777777" w:rsidR="008D64F9" w:rsidRPr="00577563" w:rsidRDefault="008D64F9" w:rsidP="00577563">
            <w:pPr>
              <w:pStyle w:val="BodyText"/>
              <w:rPr>
                <w:sz w:val="20"/>
                <w:szCs w:val="20"/>
                <w:rtl/>
                <w:lang w:bidi="ar-LB"/>
              </w:rPr>
            </w:pPr>
            <w:r w:rsidRPr="00577563">
              <w:rPr>
                <w:sz w:val="20"/>
                <w:szCs w:val="20"/>
                <w:rtl/>
                <w:lang w:bidi="ar-LB"/>
              </w:rPr>
              <w:t>1 - في حالة بيع مصنف أصلي تصويري أو تشكيلي بالمزاد العلني، تكون الجهة المتخصصة في سوق المصنفات الفنية المسؤولة عن دفع إتاوة حق التتبع هي شركة البيع الإرادي/الطوعي أو البائع بالمزاد بحسب كل حالة.</w:t>
            </w:r>
          </w:p>
          <w:p w14:paraId="587D4487" w14:textId="77777777" w:rsidR="008D64F9" w:rsidRPr="00577563" w:rsidRDefault="008D64F9" w:rsidP="00577563">
            <w:pPr>
              <w:pStyle w:val="BodyText"/>
              <w:rPr>
                <w:sz w:val="20"/>
                <w:szCs w:val="20"/>
                <w:rtl/>
                <w:lang w:bidi="ar-LB"/>
              </w:rPr>
            </w:pPr>
            <w:r w:rsidRPr="00577563">
              <w:rPr>
                <w:sz w:val="20"/>
                <w:szCs w:val="20"/>
                <w:rtl/>
                <w:lang w:bidi="ar-LB"/>
              </w:rPr>
              <w:t>2.</w:t>
            </w:r>
            <w:r w:rsidRPr="00577563">
              <w:rPr>
                <w:sz w:val="20"/>
                <w:szCs w:val="20"/>
                <w:lang w:val="en-AU"/>
              </w:rPr>
              <w:t xml:space="preserve"> </w:t>
            </w:r>
            <w:r w:rsidRPr="00577563">
              <w:rPr>
                <w:sz w:val="20"/>
                <w:szCs w:val="20"/>
                <w:rtl/>
                <w:lang w:bidi="ar-LB"/>
              </w:rPr>
              <w:t>- في حالات أخرى، تكون الجهة المتخصصة في سوق المصنفات الفنية المشاركة في عملية البيع مسؤولة عن دفع إتاوة حق التتبع.</w:t>
            </w:r>
            <w:r w:rsidRPr="00577563">
              <w:rPr>
                <w:sz w:val="20"/>
                <w:szCs w:val="20"/>
                <w:lang w:val="en-AU"/>
              </w:rPr>
              <w:t xml:space="preserve"> </w:t>
            </w:r>
            <w:r w:rsidRPr="00577563">
              <w:rPr>
                <w:sz w:val="20"/>
                <w:szCs w:val="20"/>
                <w:rtl/>
                <w:lang w:bidi="ar-LB"/>
              </w:rPr>
              <w:t>إذا كانت عدة جهات متخصصة مشاركة في عملية البيع، فإن الجهة المتخصصة المسؤولة عن دفع إتاوة حق التتبع هي:</w:t>
            </w:r>
          </w:p>
          <w:p w14:paraId="58BAC177" w14:textId="77777777" w:rsidR="008D64F9" w:rsidRPr="00577563" w:rsidRDefault="008D64F9" w:rsidP="00577563">
            <w:pPr>
              <w:pStyle w:val="BodyText"/>
              <w:rPr>
                <w:sz w:val="20"/>
                <w:szCs w:val="20"/>
                <w:rtl/>
                <w:lang w:bidi="ar-LB"/>
              </w:rPr>
            </w:pPr>
            <w:r w:rsidRPr="00577563">
              <w:rPr>
                <w:sz w:val="20"/>
                <w:szCs w:val="20"/>
                <w:lang w:val="en-AU"/>
              </w:rPr>
              <w:t>1°</w:t>
            </w:r>
            <w:r w:rsidRPr="00577563">
              <w:rPr>
                <w:sz w:val="20"/>
                <w:szCs w:val="20"/>
                <w:rtl/>
                <w:lang w:bidi="ar-LB"/>
              </w:rPr>
              <w:t xml:space="preserve"> البائع إذا كان يتصرف ضمن إطار نشاطه </w:t>
            </w:r>
            <w:proofErr w:type="gramStart"/>
            <w:r w:rsidRPr="00577563">
              <w:rPr>
                <w:sz w:val="20"/>
                <w:szCs w:val="20"/>
                <w:rtl/>
                <w:lang w:bidi="ar-LB"/>
              </w:rPr>
              <w:t>المهني؛</w:t>
            </w:r>
            <w:proofErr w:type="gramEnd"/>
          </w:p>
          <w:p w14:paraId="0F9CC494" w14:textId="77777777" w:rsidR="008D64F9" w:rsidRPr="00577563" w:rsidRDefault="008D64F9" w:rsidP="00577563">
            <w:pPr>
              <w:pStyle w:val="BodyText"/>
              <w:rPr>
                <w:sz w:val="20"/>
                <w:szCs w:val="20"/>
                <w:rtl/>
                <w:lang w:bidi="ar-LB"/>
              </w:rPr>
            </w:pPr>
            <w:r w:rsidRPr="00577563">
              <w:rPr>
                <w:sz w:val="20"/>
                <w:szCs w:val="20"/>
                <w:rtl/>
                <w:lang w:bidi="ar-LB"/>
              </w:rPr>
              <w:t>2- وفي حال لم يكن ذلك ممكنا، فإن الجهة المتخصصة في سوق المصنفات الفنية، بصفتها الوسيط، هي التي تتلقى المبلغ الذي يدفعه المشتري؛</w:t>
            </w:r>
          </w:p>
          <w:p w14:paraId="0C2E2D26" w14:textId="77777777" w:rsidR="008D64F9" w:rsidRPr="00577563" w:rsidRDefault="008D64F9" w:rsidP="00577563">
            <w:pPr>
              <w:pStyle w:val="BodyText"/>
              <w:rPr>
                <w:sz w:val="20"/>
                <w:szCs w:val="20"/>
                <w:rtl/>
                <w:lang w:bidi="ar-LB"/>
              </w:rPr>
            </w:pPr>
            <w:r w:rsidRPr="00577563">
              <w:rPr>
                <w:sz w:val="20"/>
                <w:szCs w:val="20"/>
                <w:lang w:val="en-AU"/>
              </w:rPr>
              <w:lastRenderedPageBreak/>
              <w:t>3°</w:t>
            </w:r>
            <w:r w:rsidRPr="00577563">
              <w:rPr>
                <w:sz w:val="20"/>
                <w:szCs w:val="20"/>
                <w:rtl/>
                <w:lang w:bidi="ar-LB"/>
              </w:rPr>
              <w:t xml:space="preserve"> وفي حال لم يكن ذلك ممكنا، المشتري إذا كان يتصرف ضمن إطار نشاطه المهني؛</w:t>
            </w:r>
            <w:r w:rsidRPr="00577563">
              <w:rPr>
                <w:sz w:val="20"/>
                <w:szCs w:val="20"/>
                <w:vertAlign w:val="superscript"/>
                <w:lang w:val="en"/>
              </w:rPr>
              <w:footnoteReference w:id="88"/>
            </w:r>
          </w:p>
          <w:p w14:paraId="6286B3F0" w14:textId="77777777" w:rsidR="008D64F9" w:rsidRPr="00577563" w:rsidRDefault="008D64F9" w:rsidP="00577563">
            <w:pPr>
              <w:pStyle w:val="BodyText"/>
              <w:rPr>
                <w:sz w:val="20"/>
                <w:szCs w:val="20"/>
              </w:rPr>
            </w:pPr>
          </w:p>
        </w:tc>
        <w:tc>
          <w:tcPr>
            <w:tcW w:w="2884" w:type="dxa"/>
          </w:tcPr>
          <w:p w14:paraId="64B1F3AC" w14:textId="77777777" w:rsidR="008D64F9" w:rsidRPr="00577563" w:rsidRDefault="008D64F9">
            <w:pPr>
              <w:pStyle w:val="BodyText"/>
              <w:numPr>
                <w:ilvl w:val="0"/>
                <w:numId w:val="16"/>
              </w:numPr>
              <w:ind w:left="360"/>
              <w:rPr>
                <w:sz w:val="20"/>
                <w:szCs w:val="20"/>
                <w:rtl/>
                <w:lang w:bidi="ar-LB"/>
              </w:rPr>
            </w:pPr>
            <w:r w:rsidRPr="00577563">
              <w:rPr>
                <w:sz w:val="20"/>
                <w:szCs w:val="20"/>
                <w:rtl/>
                <w:lang w:bidi="ar-LB"/>
              </w:rPr>
              <w:lastRenderedPageBreak/>
              <w:t>طريقة بديلة لتحديد المسؤولية عن دفع إتاوة حق التتبع، بدءًا من الجهات المتخصصة في سوق المصنفات الفنية.</w:t>
            </w:r>
          </w:p>
        </w:tc>
      </w:tr>
    </w:tbl>
    <w:p w14:paraId="6130868E" w14:textId="77777777" w:rsidR="008D64F9" w:rsidRPr="008D64F9" w:rsidRDefault="008D64F9" w:rsidP="00534856">
      <w:pPr>
        <w:pStyle w:val="Heading2"/>
        <w:rPr>
          <w:rtl/>
        </w:rPr>
      </w:pPr>
      <w:r w:rsidRPr="008D64F9">
        <w:rPr>
          <w:rtl/>
        </w:rPr>
        <w:t>كيف تتم إدارة حق التتبع؟</w:t>
      </w:r>
    </w:p>
    <w:p w14:paraId="1DA6ECA6" w14:textId="77777777" w:rsidR="008D64F9" w:rsidRPr="008D64F9" w:rsidRDefault="008D64F9" w:rsidP="00577563">
      <w:pPr>
        <w:pStyle w:val="ONUMA"/>
        <w:rPr>
          <w:rtl/>
          <w:lang w:bidi="ar-LB"/>
        </w:rPr>
      </w:pPr>
      <w:r w:rsidRPr="008D64F9">
        <w:rPr>
          <w:rtl/>
          <w:lang w:bidi="ar-LB"/>
        </w:rPr>
        <w:t>لا يوجد توجيه محدد في هذا الشأن في المادة 14(ثالثا)، والتي تترك للمشرعين الوطنيين مجموعة من الخيارات: يمكن تأطير ذلك كحق قابل للإنفاذ من قبل المؤلف وحده، و/أو يمكن أن تقوم به منظمة إدارة جماعية إما على أساس طوعي أو إلزامي.</w:t>
      </w:r>
      <w:r w:rsidRPr="008D64F9">
        <w:rPr>
          <w:vertAlign w:val="superscript"/>
          <w:lang w:val="en-AU"/>
        </w:rPr>
        <w:footnoteReference w:id="89"/>
      </w:r>
      <w:r w:rsidRPr="008D64F9">
        <w:rPr>
          <w:lang w:val="en-AU"/>
        </w:rPr>
        <w:t xml:space="preserve"> </w:t>
      </w:r>
      <w:r w:rsidRPr="008D64F9">
        <w:rPr>
          <w:rtl/>
          <w:lang w:bidi="ar-LB"/>
        </w:rPr>
        <w:t>وقد تعتبر البلدان التي تتمتع بتاريخ طويل في مجال الإدارة الجماعية أن حق التتبع يجب أن يخضع للإدارة الجماعية الإلزامية وليس للإدارة الجماعية الاختيارية.</w:t>
      </w:r>
      <w:r w:rsidRPr="008D64F9">
        <w:rPr>
          <w:lang w:val="en-AU"/>
        </w:rPr>
        <w:t xml:space="preserve"> </w:t>
      </w:r>
      <w:r w:rsidRPr="008D64F9">
        <w:rPr>
          <w:rtl/>
          <w:lang w:bidi="ar-LB"/>
        </w:rPr>
        <w:t>وقد تكون هذه المقاربة مقنعة من منظور الكفاءة والفعالية، ولكن مجموعة الأدوات هذه لا تتخذ موقفا بشأن هذا الموضوع: يجب أن يحدد المشرعون وواضعو السياسات الوطنيون كيفية التعامل مع هذا الموضوع بأنفسهم، مع مراعاة ظروفهم القانونية والاجتماعية والثقافية الخاصة.</w:t>
      </w:r>
      <w:r w:rsidRPr="008D64F9">
        <w:rPr>
          <w:lang w:val="en-AU"/>
        </w:rPr>
        <w:t xml:space="preserve"> </w:t>
      </w:r>
      <w:r w:rsidRPr="008D64F9">
        <w:rPr>
          <w:rtl/>
          <w:lang w:bidi="ar-LB"/>
        </w:rPr>
        <w:t>ويتناول الجزء الثاني من مجموعة الأدوات هذه المسائل التشغيلية المهمة بمزيد من التفصيل.</w:t>
      </w:r>
    </w:p>
    <w:p w14:paraId="278933D1" w14:textId="77777777" w:rsidR="008D64F9" w:rsidRPr="008D64F9" w:rsidRDefault="008D64F9" w:rsidP="00577563">
      <w:pPr>
        <w:pStyle w:val="ONUMA"/>
        <w:rPr>
          <w:rtl/>
          <w:lang w:bidi="ar-LB"/>
        </w:rPr>
      </w:pPr>
      <w:r w:rsidRPr="008D64F9">
        <w:rPr>
          <w:rtl/>
          <w:lang w:bidi="ar-LB"/>
        </w:rPr>
        <w:t>إذا تم السماح بالإدارة الجماعية، سواء كانت إلزامية أو اختيارية، في أي مخطط وطني قائم أو مقترح لحق التتبع، فقد يكون من العملي النص على أنه يجب أن تقوم منظمة قائمة بتولي هذه الإدارة بدلاً من إنشاء منظمة جديدة خصيصًا لهذا الغرض</w:t>
      </w:r>
      <w:r w:rsidRPr="008D64F9">
        <w:rPr>
          <w:rFonts w:hint="cs"/>
          <w:rtl/>
          <w:lang w:bidi="ar-LB"/>
        </w:rPr>
        <w:t>.</w:t>
      </w:r>
      <w:r w:rsidRPr="008D64F9">
        <w:rPr>
          <w:rtl/>
          <w:lang w:bidi="ar-LB"/>
        </w:rPr>
        <w:t xml:space="preserve"> ولكن، من الناحية المثالية، قد تكون المقاربة الأفضل هي إنشاء منظمة إدارة جماعية جديدة مخصصة فقط لحق التتبع، إلا أنه في بعض البلدان قد لا يكون هذا الأمر قابلاً للتنفيذ وقد يكون من العملي أكثر إعطاء هذا الدور لمنظمة إدارة جماعية قائمة تعمل في مجالات ذات صلة.</w:t>
      </w:r>
    </w:p>
    <w:p w14:paraId="68209B98" w14:textId="77777777" w:rsidR="008D64F9" w:rsidRPr="008D64F9" w:rsidRDefault="008D64F9" w:rsidP="00577563">
      <w:pPr>
        <w:pStyle w:val="ONUMA"/>
        <w:rPr>
          <w:rtl/>
          <w:lang w:bidi="ar-LB"/>
        </w:rPr>
      </w:pPr>
      <w:r w:rsidRPr="008D64F9">
        <w:rPr>
          <w:rtl/>
          <w:lang w:bidi="ar-LB"/>
        </w:rPr>
        <w:t>ويمكن أيضًا منح منظمات الإدارة الجماعية صلاحيات لطلب معلومات معينة فيما يتعلق بعمليات إعادة البيع والتي لا يمكن للمؤلفين الأفراد الحصول عليها.</w:t>
      </w:r>
      <w:r w:rsidRPr="008D64F9">
        <w:rPr>
          <w:lang w:val="en-AU"/>
        </w:rPr>
        <w:t xml:space="preserve"> </w:t>
      </w:r>
      <w:r w:rsidRPr="008D64F9">
        <w:rPr>
          <w:rtl/>
          <w:lang w:bidi="ar-LB"/>
        </w:rPr>
        <w:t>ووفقا للأسلوب التشريعي، قد لا تتم معالجة هذه المسائل في التشريع الرئيسي نفسه، بل</w:t>
      </w:r>
      <w:r w:rsidRPr="008D64F9">
        <w:rPr>
          <w:rFonts w:hint="cs"/>
          <w:rtl/>
          <w:lang w:bidi="ar-LB"/>
        </w:rPr>
        <w:t xml:space="preserve"> يمكن </w:t>
      </w:r>
      <w:r w:rsidRPr="008D64F9">
        <w:rPr>
          <w:rtl/>
          <w:lang w:bidi="ar-LB"/>
        </w:rPr>
        <w:t>تركها لتحديدها في شكل من أشكال التشريعات الثانوية، مثل اللوائح أو المراسيم.</w:t>
      </w:r>
      <w:r w:rsidRPr="008D64F9">
        <w:rPr>
          <w:vertAlign w:val="superscript"/>
          <w:lang w:val="en-AU"/>
        </w:rPr>
        <w:footnoteReference w:id="90"/>
      </w:r>
      <w:r w:rsidRPr="008D64F9">
        <w:rPr>
          <w:rtl/>
          <w:lang w:bidi="ar-LB"/>
        </w:rPr>
        <w:t xml:space="preserve"> .  وسيتم التطرق إلى هذه الأمور بمزيد من التفصيل في الجزء الثاني من مجموعة الأدوات </w:t>
      </w:r>
      <w:r w:rsidRPr="008D64F9">
        <w:rPr>
          <w:rFonts w:hint="cs"/>
          <w:rtl/>
          <w:lang w:bidi="ar-LB"/>
        </w:rPr>
        <w:t xml:space="preserve">هذه </w:t>
      </w:r>
      <w:r w:rsidRPr="008D64F9">
        <w:rPr>
          <w:rtl/>
          <w:lang w:bidi="ar-LB"/>
        </w:rPr>
        <w:t>في الفقرة</w:t>
      </w:r>
      <w:r w:rsidRPr="008D64F9">
        <w:rPr>
          <w:rFonts w:hint="cs"/>
          <w:rtl/>
          <w:lang w:bidi="ar-LB"/>
        </w:rPr>
        <w:t xml:space="preserve"> </w:t>
      </w:r>
      <w:r w:rsidRPr="008D64F9">
        <w:rPr>
          <w:rtl/>
          <w:lang w:bidi="ar-LB"/>
        </w:rPr>
        <w:t>42 وما يليها والجدول 23</w:t>
      </w:r>
      <w:r w:rsidRPr="008D64F9">
        <w:rPr>
          <w:rFonts w:hint="cs"/>
          <w:rtl/>
          <w:lang w:bidi="ar-LB"/>
        </w:rPr>
        <w:t>.</w:t>
      </w:r>
    </w:p>
    <w:p w14:paraId="45FDF66D" w14:textId="77777777" w:rsidR="008D64F9" w:rsidRPr="008D64F9" w:rsidRDefault="008D64F9" w:rsidP="00577563">
      <w:pPr>
        <w:pStyle w:val="ONUMA"/>
        <w:rPr>
          <w:rtl/>
          <w:lang w:bidi="ar-LB"/>
        </w:rPr>
      </w:pPr>
      <w:r w:rsidRPr="008D64F9">
        <w:rPr>
          <w:lang w:val="en-AU"/>
        </w:rPr>
        <w:t xml:space="preserve"> </w:t>
      </w:r>
      <w:r w:rsidRPr="008D64F9">
        <w:rPr>
          <w:rtl/>
          <w:lang w:bidi="ar-LB"/>
        </w:rPr>
        <w:t xml:space="preserve">والسؤال الذي يُطرح أحيانًا في سياق الإنفاذ هو ما إذا كان الاعتراف التشريعي بحق التتبع مطلوبًا في المقام الأول، نظرًا لأنه قد تكون هناك طرق أخرى لحماية مصالح الفنانين في إعادة بيع مصنفاتهم من خلال استخدام العقود و/أو استخدام التكنولوجيا مثل الرموز غير القابلة للاستبدال </w:t>
      </w:r>
      <w:r w:rsidRPr="008D64F9">
        <w:rPr>
          <w:lang w:val="en-AU"/>
        </w:rPr>
        <w:t>NFTs</w:t>
      </w:r>
      <w:r w:rsidRPr="008D64F9">
        <w:rPr>
          <w:rtl/>
          <w:lang w:bidi="ar-LB"/>
        </w:rPr>
        <w:t xml:space="preserve"> وسلسلة الكتل </w:t>
      </w:r>
      <w:r w:rsidRPr="008D64F9">
        <w:rPr>
          <w:lang w:val="en-AU"/>
        </w:rPr>
        <w:t>Blockchain</w:t>
      </w:r>
      <w:r w:rsidRPr="008D64F9">
        <w:rPr>
          <w:rtl/>
          <w:lang w:bidi="ar-LB"/>
        </w:rPr>
        <w:t xml:space="preserve"> والعقود الذكية.</w:t>
      </w:r>
      <w:r w:rsidRPr="008D64F9">
        <w:rPr>
          <w:lang w:val="en-AU"/>
        </w:rPr>
        <w:t xml:space="preserve"> </w:t>
      </w:r>
      <w:r w:rsidRPr="008D64F9">
        <w:rPr>
          <w:rtl/>
          <w:lang w:bidi="ar-LB"/>
        </w:rPr>
        <w:t>وتقع مثل هذه المسائل خارج نطاق مجموعة الأدوات هذه، التي تتطرق بشكل رئيسي إلى المواضيع المتعلقة بتطبيق الأنظمة التشريعية ضمن إطار المادة 14(ثالثا) من اتفاقية برن.</w:t>
      </w:r>
      <w:r w:rsidRPr="008D64F9">
        <w:rPr>
          <w:lang w:val="en-AU"/>
        </w:rPr>
        <w:t xml:space="preserve"> </w:t>
      </w:r>
      <w:r w:rsidRPr="008D64F9">
        <w:rPr>
          <w:rtl/>
          <w:lang w:bidi="ar-LB"/>
        </w:rPr>
        <w:t>ولكن، تجدر الإشارة إلى وجود اهتمام كبير بمثل هذه الطرق، وخاصة في البلدان التي لم يتم  الاعتراف بحق التتبع في قوانينها،</w:t>
      </w:r>
      <w:r w:rsidRPr="008D64F9">
        <w:rPr>
          <w:vertAlign w:val="superscript"/>
          <w:lang w:val="en-AU"/>
        </w:rPr>
        <w:footnoteReference w:id="91"/>
      </w:r>
      <w:r w:rsidRPr="008D64F9">
        <w:rPr>
          <w:rtl/>
          <w:lang w:bidi="ar-LB"/>
        </w:rPr>
        <w:t xml:space="preserve"> وقد يكون من المفيد في المستقبل دمج هذه الطرق مع مخططات حق التتبع الوطنية.</w:t>
      </w:r>
      <w:r w:rsidRPr="008D64F9">
        <w:rPr>
          <w:lang w:val="en-AU"/>
        </w:rPr>
        <w:t xml:space="preserve"> </w:t>
      </w:r>
      <w:r w:rsidRPr="008D64F9">
        <w:rPr>
          <w:rtl/>
          <w:lang w:bidi="ar-LB"/>
        </w:rPr>
        <w:t>وإذا تم الاعتماد على الحلول التعاقدية</w:t>
      </w:r>
      <w:r w:rsidRPr="008D64F9">
        <w:rPr>
          <w:rFonts w:hint="cs"/>
          <w:rtl/>
          <w:lang w:bidi="ar-LB"/>
        </w:rPr>
        <w:t xml:space="preserve"> فقط</w:t>
      </w:r>
      <w:r w:rsidRPr="008D64F9">
        <w:rPr>
          <w:rtl/>
          <w:lang w:bidi="ar-LB"/>
        </w:rPr>
        <w:t>، مثل العهود التي يتعهد بها مشتري المصنف بدفع إتاوة إعادة البيع للمؤلف الأصلي، فقد تكون هناك مشاكل تتعلق بعدم إمكانية فرض ما يرد في العقد على أي طرف غير معني بالعقد سواء كان بائع أو وسيط أو مشتري...</w:t>
      </w:r>
      <w:r w:rsidRPr="008D64F9">
        <w:rPr>
          <w:lang w:val="en-AU"/>
        </w:rPr>
        <w:t xml:space="preserve"> </w:t>
      </w:r>
      <w:r w:rsidRPr="008D64F9">
        <w:rPr>
          <w:rtl/>
          <w:lang w:bidi="ar-LB"/>
        </w:rPr>
        <w:t xml:space="preserve">وقد تنشأ أيضًا مشكلات تقنية عند استخدام تكنولوجيا الرموز غير القابلة للاستبدال </w:t>
      </w:r>
      <w:r w:rsidRPr="008D64F9">
        <w:rPr>
          <w:lang w:val="en-AU"/>
        </w:rPr>
        <w:t>NFTs</w:t>
      </w:r>
      <w:r w:rsidRPr="008D64F9">
        <w:rPr>
          <w:rtl/>
          <w:lang w:bidi="ar-LB"/>
        </w:rPr>
        <w:t xml:space="preserve"> أو سلسلة الكتل </w:t>
      </w:r>
      <w:r w:rsidRPr="008D64F9">
        <w:rPr>
          <w:lang w:val="en-AU"/>
        </w:rPr>
        <w:t>Blockchain</w:t>
      </w:r>
      <w:r w:rsidRPr="008D64F9">
        <w:rPr>
          <w:vertAlign w:val="superscript"/>
          <w:lang w:val="en-AU"/>
        </w:rPr>
        <w:footnoteReference w:id="92"/>
      </w:r>
      <w:r w:rsidRPr="008D64F9">
        <w:rPr>
          <w:rtl/>
          <w:lang w:bidi="ar-LB"/>
        </w:rPr>
        <w:t xml:space="preserve"> وقد يفشل المشترون اللاحقون في دفع إتاوة حق </w:t>
      </w:r>
      <w:r w:rsidRPr="008D64F9">
        <w:rPr>
          <w:rtl/>
          <w:lang w:bidi="ar-LB"/>
        </w:rPr>
        <w:lastRenderedPageBreak/>
        <w:t>التتبع أو لا يكونون ملزمين بالقيام بذلك.</w:t>
      </w:r>
      <w:r w:rsidRPr="008D64F9">
        <w:rPr>
          <w:vertAlign w:val="superscript"/>
          <w:lang w:val="en-AU"/>
        </w:rPr>
        <w:footnoteReference w:id="93"/>
      </w:r>
      <w:r w:rsidRPr="008D64F9">
        <w:rPr>
          <w:lang w:val="en-AU"/>
        </w:rPr>
        <w:t xml:space="preserve"> </w:t>
      </w:r>
      <w:r w:rsidRPr="008D64F9">
        <w:rPr>
          <w:rtl/>
          <w:lang w:bidi="ar-LB"/>
        </w:rPr>
        <w:t>والمسألة الأساسية المرتبطة بهذه الحلول التعاقدية والتكنولوجية هي مسألة أحقية الفنان الأصلي في المطالبة بالحصول على إتاوة حق التتبع، في غياب الاعتراف القانوني الواضح بهذا الحق في المقام الأول.</w:t>
      </w:r>
      <w:r w:rsidRPr="008D64F9">
        <w:rPr>
          <w:lang w:val="en-AU"/>
        </w:rPr>
        <w:t xml:space="preserve"> </w:t>
      </w:r>
      <w:r w:rsidRPr="008D64F9">
        <w:rPr>
          <w:rtl/>
          <w:lang w:bidi="ar-LB"/>
        </w:rPr>
        <w:t>ومن الناحية المنطقية، يشير هذا الأمر إلى ضرورة الاعتراف بمثل هذا الحق في القانون الوطني، وهذه هي وظيفة الحق المنصوص عليه في المادة 14(ثالثا) من اتفاقية برن.</w:t>
      </w:r>
      <w:r w:rsidRPr="008D64F9">
        <w:rPr>
          <w:lang w:val="en-AU"/>
        </w:rPr>
        <w:t xml:space="preserve"> </w:t>
      </w:r>
      <w:r w:rsidRPr="008D64F9">
        <w:rPr>
          <w:rtl/>
          <w:lang w:bidi="ar-LB"/>
        </w:rPr>
        <w:t>وبالتالي، فإن مجموعة الأدوات هذه تهتم بشكل أساسي بتصميم مثل هذا الحق وتطبيقه في القوانين الوطنية، وليس بالحلول الأخرى التي قد توفر مكملات</w:t>
      </w:r>
      <w:r w:rsidRPr="008D64F9">
        <w:rPr>
          <w:rFonts w:hint="cs"/>
          <w:rtl/>
          <w:lang w:bidi="ar-LB"/>
        </w:rPr>
        <w:t xml:space="preserve"> </w:t>
      </w:r>
      <w:r w:rsidRPr="008D64F9">
        <w:rPr>
          <w:rtl/>
          <w:lang w:bidi="ar-LB"/>
        </w:rPr>
        <w:t>مفيدة لمخطط حق التتبع.</w:t>
      </w:r>
    </w:p>
    <w:p w14:paraId="4803445B" w14:textId="77777777" w:rsidR="008D64F9" w:rsidRPr="008D64F9" w:rsidRDefault="008D64F9" w:rsidP="00577563">
      <w:pPr>
        <w:spacing w:after="240"/>
        <w:rPr>
          <w:rFonts w:asciiTheme="minorHAnsi" w:hAnsiTheme="minorHAnsi" w:cstheme="minorHAnsi"/>
          <w:bCs/>
          <w:rtl/>
          <w:lang w:bidi="ar-LB"/>
        </w:rPr>
      </w:pPr>
      <w:r w:rsidRPr="008D64F9">
        <w:rPr>
          <w:rFonts w:asciiTheme="minorHAnsi" w:hAnsiTheme="minorHAnsi" w:cstheme="minorHAnsi"/>
          <w:bCs/>
          <w:rtl/>
          <w:lang w:bidi="ar-LB"/>
        </w:rPr>
        <w:t>الجدول 10</w:t>
      </w:r>
    </w:p>
    <w:tbl>
      <w:tblPr>
        <w:tblStyle w:val="TableGrid"/>
        <w:bidiVisual/>
        <w:tblW w:w="0" w:type="auto"/>
        <w:tblLook w:val="04A0" w:firstRow="1" w:lastRow="0" w:firstColumn="1" w:lastColumn="0" w:noHBand="0" w:noVBand="1"/>
      </w:tblPr>
      <w:tblGrid>
        <w:gridCol w:w="2689"/>
        <w:gridCol w:w="2126"/>
        <w:gridCol w:w="4195"/>
      </w:tblGrid>
      <w:tr w:rsidR="008D64F9" w:rsidRPr="00577563" w14:paraId="4F8DEA19" w14:textId="77777777" w:rsidTr="00101B5A">
        <w:tc>
          <w:tcPr>
            <w:tcW w:w="2689" w:type="dxa"/>
          </w:tcPr>
          <w:p w14:paraId="1502D650" w14:textId="77777777" w:rsidR="008D64F9" w:rsidRPr="00577563" w:rsidRDefault="008D64F9" w:rsidP="00577563">
            <w:pPr>
              <w:pStyle w:val="BodyText"/>
              <w:rPr>
                <w:b/>
                <w:bCs/>
                <w:sz w:val="20"/>
                <w:szCs w:val="20"/>
                <w:rtl/>
                <w:lang w:bidi="ar-LB"/>
              </w:rPr>
            </w:pPr>
            <w:r w:rsidRPr="00577563">
              <w:rPr>
                <w:b/>
                <w:bCs/>
                <w:sz w:val="20"/>
                <w:szCs w:val="20"/>
                <w:rtl/>
                <w:lang w:bidi="ar-LB"/>
              </w:rPr>
              <w:t>نوع الحكم</w:t>
            </w:r>
          </w:p>
        </w:tc>
        <w:tc>
          <w:tcPr>
            <w:tcW w:w="2126" w:type="dxa"/>
          </w:tcPr>
          <w:p w14:paraId="28E46DF1" w14:textId="77777777" w:rsidR="008D64F9" w:rsidRPr="00577563" w:rsidRDefault="008D64F9" w:rsidP="00577563">
            <w:pPr>
              <w:pStyle w:val="BodyText"/>
              <w:rPr>
                <w:b/>
                <w:bCs/>
                <w:sz w:val="20"/>
                <w:szCs w:val="20"/>
                <w:rtl/>
                <w:lang w:bidi="ar-LB"/>
              </w:rPr>
            </w:pPr>
            <w:r w:rsidRPr="00577563">
              <w:rPr>
                <w:b/>
                <w:bCs/>
                <w:sz w:val="20"/>
                <w:szCs w:val="20"/>
                <w:rtl/>
                <w:lang w:bidi="ar-LB"/>
              </w:rPr>
              <w:t>النص المقترح</w:t>
            </w:r>
          </w:p>
        </w:tc>
        <w:tc>
          <w:tcPr>
            <w:tcW w:w="4195" w:type="dxa"/>
          </w:tcPr>
          <w:p w14:paraId="5E5A76D6" w14:textId="77777777" w:rsidR="008D64F9" w:rsidRPr="00577563" w:rsidRDefault="008D64F9" w:rsidP="00577563">
            <w:pPr>
              <w:pStyle w:val="BodyText"/>
              <w:rPr>
                <w:b/>
                <w:bCs/>
                <w:sz w:val="20"/>
                <w:szCs w:val="20"/>
                <w:rtl/>
                <w:lang w:bidi="ar-LB"/>
              </w:rPr>
            </w:pPr>
            <w:r w:rsidRPr="00577563">
              <w:rPr>
                <w:b/>
                <w:bCs/>
                <w:sz w:val="20"/>
                <w:szCs w:val="20"/>
                <w:rtl/>
                <w:lang w:bidi="ar-LB"/>
              </w:rPr>
              <w:t>تعليقات/ملاحظات</w:t>
            </w:r>
          </w:p>
        </w:tc>
      </w:tr>
      <w:tr w:rsidR="008D64F9" w:rsidRPr="00577563" w14:paraId="50FDF27C" w14:textId="77777777" w:rsidTr="00101B5A">
        <w:tc>
          <w:tcPr>
            <w:tcW w:w="2689" w:type="dxa"/>
          </w:tcPr>
          <w:p w14:paraId="125AB2AD" w14:textId="77777777" w:rsidR="008D64F9" w:rsidRPr="00577563" w:rsidRDefault="008D64F9" w:rsidP="00577563">
            <w:pPr>
              <w:pStyle w:val="BodyText"/>
              <w:rPr>
                <w:sz w:val="20"/>
                <w:szCs w:val="20"/>
                <w:rtl/>
                <w:lang w:bidi="ar-LB"/>
              </w:rPr>
            </w:pPr>
            <w:r w:rsidRPr="00577563">
              <w:rPr>
                <w:i/>
                <w:sz w:val="20"/>
                <w:szCs w:val="20"/>
                <w:rtl/>
                <w:lang w:bidi="ar-LB"/>
              </w:rPr>
              <w:t>اتفاقية برن، المادة 14</w:t>
            </w:r>
            <w:r w:rsidRPr="00577563">
              <w:rPr>
                <w:sz w:val="20"/>
                <w:szCs w:val="20"/>
                <w:rtl/>
                <w:lang w:bidi="ar-LB"/>
              </w:rPr>
              <w:t>(ثالثا)(3)</w:t>
            </w:r>
          </w:p>
        </w:tc>
        <w:tc>
          <w:tcPr>
            <w:tcW w:w="2126" w:type="dxa"/>
          </w:tcPr>
          <w:p w14:paraId="3C855869" w14:textId="77777777" w:rsidR="008D64F9" w:rsidRPr="00577563" w:rsidRDefault="008D64F9" w:rsidP="00577563">
            <w:pPr>
              <w:pStyle w:val="BodyText"/>
              <w:rPr>
                <w:i/>
                <w:sz w:val="20"/>
                <w:szCs w:val="20"/>
                <w:rtl/>
                <w:lang w:bidi="ar-LB"/>
              </w:rPr>
            </w:pPr>
            <w:r w:rsidRPr="00577563">
              <w:rPr>
                <w:i/>
                <w:sz w:val="20"/>
                <w:szCs w:val="20"/>
                <w:rtl/>
                <w:lang w:bidi="ar-LB"/>
              </w:rPr>
              <w:t>يختص التشريع الوطني بتحديد إجراءات التحصيل [إتاوات حق التتبع] والمبالغ الواجبة.</w:t>
            </w:r>
            <w:r w:rsidRPr="00577563">
              <w:rPr>
                <w:i/>
                <w:sz w:val="20"/>
                <w:szCs w:val="20"/>
                <w:lang w:val="en-AU"/>
              </w:rPr>
              <w:t xml:space="preserve"> </w:t>
            </w:r>
          </w:p>
        </w:tc>
        <w:tc>
          <w:tcPr>
            <w:tcW w:w="4195" w:type="dxa"/>
          </w:tcPr>
          <w:p w14:paraId="629D8B82" w14:textId="77777777" w:rsidR="008D64F9" w:rsidRPr="00577563" w:rsidRDefault="008D64F9" w:rsidP="00577563">
            <w:pPr>
              <w:pStyle w:val="BodyText"/>
              <w:rPr>
                <w:sz w:val="20"/>
                <w:szCs w:val="20"/>
                <w:rtl/>
                <w:lang w:bidi="ar-LB"/>
              </w:rPr>
            </w:pPr>
            <w:r w:rsidRPr="00577563">
              <w:rPr>
                <w:sz w:val="20"/>
                <w:szCs w:val="20"/>
                <w:rtl/>
                <w:lang w:bidi="ar-LB"/>
              </w:rPr>
              <w:t>ينص الحكم على أن إجراءات التحصيل يحددها القانون الوطني</w:t>
            </w:r>
          </w:p>
        </w:tc>
      </w:tr>
      <w:tr w:rsidR="008D64F9" w:rsidRPr="00577563" w14:paraId="3CA84C9E" w14:textId="77777777" w:rsidTr="00101B5A">
        <w:tc>
          <w:tcPr>
            <w:tcW w:w="2689" w:type="dxa"/>
          </w:tcPr>
          <w:p w14:paraId="394C6D58" w14:textId="77777777" w:rsidR="008D64F9" w:rsidRPr="00577563" w:rsidRDefault="008D64F9" w:rsidP="00577563">
            <w:pPr>
              <w:pStyle w:val="BodyText"/>
              <w:rPr>
                <w:sz w:val="20"/>
                <w:szCs w:val="20"/>
                <w:rtl/>
                <w:lang w:bidi="ar-LB"/>
              </w:rPr>
            </w:pPr>
            <w:r w:rsidRPr="00577563">
              <w:rPr>
                <w:sz w:val="20"/>
                <w:szCs w:val="20"/>
                <w:rtl/>
                <w:lang w:bidi="ar-LB"/>
              </w:rPr>
              <w:t>الإدارة الجماعية: أحد الخيارات المتاحة (المفوضية الأوروبية)</w:t>
            </w:r>
            <w:r w:rsidRPr="00577563">
              <w:rPr>
                <w:sz w:val="20"/>
                <w:szCs w:val="20"/>
              </w:rPr>
              <w:t xml:space="preserve"> </w:t>
            </w:r>
          </w:p>
        </w:tc>
        <w:tc>
          <w:tcPr>
            <w:tcW w:w="2126" w:type="dxa"/>
          </w:tcPr>
          <w:p w14:paraId="440B8AD5" w14:textId="77777777" w:rsidR="008D64F9" w:rsidRPr="00577563" w:rsidRDefault="008D64F9" w:rsidP="00577563">
            <w:pPr>
              <w:pStyle w:val="BodyText"/>
              <w:rPr>
                <w:i/>
                <w:sz w:val="20"/>
                <w:szCs w:val="20"/>
                <w:rtl/>
                <w:lang w:bidi="ar-LB"/>
              </w:rPr>
            </w:pPr>
            <w:r w:rsidRPr="00577563">
              <w:rPr>
                <w:i/>
                <w:sz w:val="20"/>
                <w:szCs w:val="20"/>
                <w:rtl/>
                <w:lang w:bidi="ar-LB"/>
              </w:rPr>
              <w:t>المادة 6.</w:t>
            </w:r>
            <w:r w:rsidRPr="00577563">
              <w:rPr>
                <w:i/>
                <w:sz w:val="20"/>
                <w:szCs w:val="20"/>
              </w:rPr>
              <w:t xml:space="preserve"> </w:t>
            </w:r>
            <w:r w:rsidRPr="00577563">
              <w:rPr>
                <w:i/>
                <w:sz w:val="20"/>
                <w:szCs w:val="20"/>
                <w:rtl/>
                <w:lang w:bidi="ar-LB"/>
              </w:rPr>
              <w:t>2</w:t>
            </w:r>
          </w:p>
          <w:p w14:paraId="09D9DA42" w14:textId="77777777" w:rsidR="008D64F9" w:rsidRPr="00577563" w:rsidRDefault="008D64F9" w:rsidP="00577563">
            <w:pPr>
              <w:pStyle w:val="BodyText"/>
              <w:rPr>
                <w:i/>
                <w:sz w:val="20"/>
                <w:szCs w:val="20"/>
                <w:rtl/>
                <w:lang w:bidi="ar-LB"/>
              </w:rPr>
            </w:pPr>
            <w:r w:rsidRPr="00577563">
              <w:rPr>
                <w:i/>
                <w:sz w:val="20"/>
                <w:szCs w:val="20"/>
                <w:rtl/>
                <w:lang w:bidi="ar-LB"/>
              </w:rPr>
              <w:t>…</w:t>
            </w:r>
            <w:r w:rsidRPr="00577563">
              <w:rPr>
                <w:i/>
                <w:sz w:val="20"/>
                <w:szCs w:val="20"/>
              </w:rPr>
              <w:t xml:space="preserve"> </w:t>
            </w:r>
          </w:p>
          <w:p w14:paraId="0596D765" w14:textId="77777777" w:rsidR="008D64F9" w:rsidRPr="00577563" w:rsidRDefault="008D64F9" w:rsidP="00577563">
            <w:pPr>
              <w:pStyle w:val="BodyText"/>
              <w:rPr>
                <w:i/>
                <w:sz w:val="20"/>
                <w:szCs w:val="20"/>
                <w:rtl/>
                <w:lang w:bidi="ar-LB"/>
              </w:rPr>
            </w:pPr>
            <w:r w:rsidRPr="00577563">
              <w:rPr>
                <w:i/>
                <w:sz w:val="20"/>
                <w:szCs w:val="20"/>
                <w:rtl/>
                <w:lang w:bidi="ar-LB"/>
              </w:rPr>
              <w:t>2.</w:t>
            </w:r>
            <w:r w:rsidRPr="00577563">
              <w:rPr>
                <w:i/>
                <w:sz w:val="20"/>
                <w:szCs w:val="20"/>
                <w:lang w:val="en-AU"/>
              </w:rPr>
              <w:t xml:space="preserve"> </w:t>
            </w:r>
            <w:r w:rsidRPr="00577563">
              <w:rPr>
                <w:i/>
                <w:sz w:val="20"/>
                <w:szCs w:val="20"/>
                <w:rtl/>
                <w:lang w:bidi="ar-LB"/>
              </w:rPr>
              <w:t>يجوز للدول الأعضاء أن تنص على الإدارة الجماعية الإلزامية أو الاختيارية للإتاوات المنصوص عليها في المادة 1.</w:t>
            </w:r>
            <w:r w:rsidRPr="00577563">
              <w:rPr>
                <w:sz w:val="20"/>
                <w:szCs w:val="20"/>
                <w:vertAlign w:val="superscript"/>
                <w:lang w:val="en-AU"/>
              </w:rPr>
              <w:footnoteReference w:id="94"/>
            </w:r>
            <w:r w:rsidRPr="00577563">
              <w:rPr>
                <w:i/>
                <w:sz w:val="20"/>
                <w:szCs w:val="20"/>
                <w:lang w:val="en-AU"/>
              </w:rPr>
              <w:t xml:space="preserve"> </w:t>
            </w:r>
          </w:p>
        </w:tc>
        <w:tc>
          <w:tcPr>
            <w:tcW w:w="4195" w:type="dxa"/>
          </w:tcPr>
          <w:p w14:paraId="06D1E0C3" w14:textId="77777777" w:rsidR="008D64F9" w:rsidRPr="00577563" w:rsidRDefault="008D64F9" w:rsidP="00577563">
            <w:pPr>
              <w:pStyle w:val="BodyText"/>
              <w:rPr>
                <w:sz w:val="20"/>
                <w:szCs w:val="20"/>
                <w:rtl/>
                <w:lang w:bidi="ar-LB"/>
              </w:rPr>
            </w:pPr>
            <w:r w:rsidRPr="00577563">
              <w:rPr>
                <w:sz w:val="20"/>
                <w:szCs w:val="20"/>
                <w:rtl/>
                <w:lang w:bidi="ar-LB"/>
              </w:rPr>
              <w:t>يترك قانون الاتحاد الأوروبي للقوانين الوطنية تحديد ما إذا كانت ستعتمد الإدارة الجماعية، وإذا كان الأمر كذلك، ما إذا كان ذلك سيكون على أساس إلزامي (إجباري) أو اختياري (طوعي).</w:t>
            </w:r>
          </w:p>
        </w:tc>
      </w:tr>
      <w:tr w:rsidR="008D64F9" w:rsidRPr="00577563" w14:paraId="4192914E" w14:textId="77777777" w:rsidTr="00101B5A">
        <w:trPr>
          <w:trHeight w:val="1799"/>
        </w:trPr>
        <w:tc>
          <w:tcPr>
            <w:tcW w:w="2689" w:type="dxa"/>
          </w:tcPr>
          <w:p w14:paraId="1F901095" w14:textId="77777777" w:rsidR="008D64F9" w:rsidRPr="00577563" w:rsidRDefault="008D64F9" w:rsidP="00577563">
            <w:pPr>
              <w:pStyle w:val="BodyText"/>
              <w:rPr>
                <w:sz w:val="20"/>
                <w:szCs w:val="20"/>
                <w:rtl/>
                <w:lang w:bidi="ar-LB"/>
              </w:rPr>
            </w:pPr>
            <w:r w:rsidRPr="00577563">
              <w:rPr>
                <w:sz w:val="20"/>
                <w:szCs w:val="20"/>
                <w:rtl/>
                <w:lang w:bidi="ar-LB"/>
              </w:rPr>
              <w:t>خيارات أخرى معتمدة في القوانين الوطنية</w:t>
            </w:r>
          </w:p>
        </w:tc>
        <w:tc>
          <w:tcPr>
            <w:tcW w:w="2126" w:type="dxa"/>
          </w:tcPr>
          <w:p w14:paraId="74D8ED08" w14:textId="77777777" w:rsidR="008D64F9" w:rsidRPr="00577563" w:rsidRDefault="008D64F9" w:rsidP="00577563">
            <w:pPr>
              <w:pStyle w:val="BodyText"/>
              <w:rPr>
                <w:sz w:val="20"/>
                <w:szCs w:val="20"/>
                <w:rtl/>
                <w:lang w:bidi="ar-LB"/>
              </w:rPr>
            </w:pPr>
            <w:r w:rsidRPr="00577563">
              <w:rPr>
                <w:sz w:val="20"/>
                <w:szCs w:val="20"/>
                <w:rtl/>
                <w:lang w:bidi="ar-LB"/>
              </w:rPr>
              <w:t>يرجى الاطلاع على الجدول 19 في الجزء الثاني للحصول على أمثلة عن أحكام القوانين الوطنية التي تتناول طرق تنفيذ مخططات حق التتبع الوطنية</w:t>
            </w:r>
          </w:p>
        </w:tc>
        <w:tc>
          <w:tcPr>
            <w:tcW w:w="4195" w:type="dxa"/>
          </w:tcPr>
          <w:p w14:paraId="410A41FE" w14:textId="77777777" w:rsidR="008D64F9" w:rsidRPr="00577563" w:rsidRDefault="008D64F9" w:rsidP="00577563">
            <w:pPr>
              <w:pStyle w:val="BodyText"/>
              <w:rPr>
                <w:sz w:val="20"/>
                <w:szCs w:val="20"/>
              </w:rPr>
            </w:pPr>
          </w:p>
        </w:tc>
      </w:tr>
    </w:tbl>
    <w:p w14:paraId="5645E221" w14:textId="77777777" w:rsidR="008D64F9" w:rsidRPr="008D64F9" w:rsidRDefault="008D64F9" w:rsidP="00534856">
      <w:pPr>
        <w:pStyle w:val="Heading2"/>
        <w:rPr>
          <w:rtl/>
        </w:rPr>
      </w:pPr>
      <w:r w:rsidRPr="008D64F9">
        <w:rPr>
          <w:rtl/>
        </w:rPr>
        <w:t>مدة حق التتبع</w:t>
      </w:r>
    </w:p>
    <w:p w14:paraId="5200DF15" w14:textId="77777777" w:rsidR="008D64F9" w:rsidRPr="008D64F9" w:rsidRDefault="008D64F9" w:rsidP="00577563">
      <w:pPr>
        <w:pStyle w:val="ONUMA"/>
        <w:rPr>
          <w:rtl/>
          <w:lang w:bidi="ar-LB"/>
        </w:rPr>
      </w:pPr>
      <w:r w:rsidRPr="008D64F9">
        <w:rPr>
          <w:rtl/>
          <w:lang w:bidi="ar-LB"/>
        </w:rPr>
        <w:t>بشكل عام، ترتبط هذه المدة بمدة الحقوق الاقتصادية في المصنف الخاضع لحق التتبع، مع العلم أن المادة 14(ثالثا) من اتفاقية برن لا تحدد أي مدة محددة</w:t>
      </w:r>
      <w:r w:rsidRPr="008D64F9">
        <w:rPr>
          <w:rFonts w:hint="cs"/>
          <w:rtl/>
          <w:lang w:bidi="ar-LB"/>
        </w:rPr>
        <w:t xml:space="preserve">، </w:t>
      </w:r>
      <w:r w:rsidRPr="008D64F9">
        <w:rPr>
          <w:rtl/>
          <w:lang w:bidi="ar-LB"/>
        </w:rPr>
        <w:t>رغم أنه</w:t>
      </w:r>
      <w:r w:rsidRPr="008D64F9">
        <w:rPr>
          <w:rFonts w:hint="cs"/>
          <w:rtl/>
          <w:lang w:bidi="ar-LB"/>
        </w:rPr>
        <w:t>ا</w:t>
      </w:r>
      <w:r w:rsidRPr="008D64F9">
        <w:rPr>
          <w:rtl/>
          <w:lang w:bidi="ar-LB"/>
        </w:rPr>
        <w:t xml:space="preserve"> ت</w:t>
      </w:r>
      <w:r w:rsidRPr="008D64F9">
        <w:rPr>
          <w:rFonts w:hint="cs"/>
          <w:rtl/>
          <w:lang w:bidi="ar-LB"/>
        </w:rPr>
        <w:t xml:space="preserve">نظر </w:t>
      </w:r>
      <w:r w:rsidRPr="008D64F9">
        <w:rPr>
          <w:rtl/>
          <w:lang w:bidi="ar-LB"/>
        </w:rPr>
        <w:t xml:space="preserve">بوضوح </w:t>
      </w:r>
      <w:r w:rsidRPr="008D64F9">
        <w:rPr>
          <w:rFonts w:hint="cs"/>
          <w:rtl/>
          <w:lang w:bidi="ar-LB"/>
        </w:rPr>
        <w:t xml:space="preserve">إلى </w:t>
      </w:r>
      <w:r w:rsidRPr="008D64F9">
        <w:rPr>
          <w:rtl/>
          <w:lang w:bidi="ar-LB"/>
        </w:rPr>
        <w:t>أن حق التتبع قد ي</w:t>
      </w:r>
      <w:r w:rsidRPr="008D64F9">
        <w:rPr>
          <w:rFonts w:hint="cs"/>
          <w:rtl/>
          <w:lang w:bidi="ar-LB"/>
        </w:rPr>
        <w:t>بقى بعد</w:t>
      </w:r>
      <w:r w:rsidRPr="008D64F9">
        <w:rPr>
          <w:rtl/>
          <w:lang w:bidi="ar-LB"/>
        </w:rPr>
        <w:t xml:space="preserve"> وفاة الفنان.</w:t>
      </w:r>
      <w:r w:rsidRPr="008D64F9">
        <w:rPr>
          <w:lang w:val="en-AU"/>
        </w:rPr>
        <w:t xml:space="preserve"> </w:t>
      </w:r>
      <w:r w:rsidRPr="008D64F9">
        <w:rPr>
          <w:rtl/>
          <w:lang w:bidi="ar-LB"/>
        </w:rPr>
        <w:t xml:space="preserve">وفي الحالات التي يربط فيها القانون الوطني حق التتبع بحقوق اقتصادية أخرى، لا حاجة إلى تحديد مدة حماية محددة، اذ سيتم تطبيق مدة الحماية العامة للمصنفات الأدبية والفنية - فترة حياة المؤلف بالإضافة إلى 50 عامًا كحد أدنى في اتفاقية برن وفترة حياة المؤلف بالإضافة إلى 70 عامًا وفقا للمفوضية الأوروبية وفي بعض البلدان مثل أستراليا (ومدة أطول في بلدان أخرى).  </w:t>
      </w:r>
    </w:p>
    <w:p w14:paraId="3AA14A2B" w14:textId="77777777" w:rsidR="008D64F9" w:rsidRDefault="008D64F9" w:rsidP="00577563">
      <w:pPr>
        <w:pStyle w:val="ONUMA"/>
        <w:rPr>
          <w:lang w:bidi="ar-LB"/>
        </w:rPr>
      </w:pPr>
      <w:r w:rsidRPr="008D64F9">
        <w:rPr>
          <w:rtl/>
          <w:lang w:bidi="ar-LB"/>
        </w:rPr>
        <w:t>ومع ذلك، قد يرغب المشرعون الوطنيون في تحديد مدة الحماية لحق التتبع للحفاظ على الشفافية.</w:t>
      </w:r>
      <w:r w:rsidRPr="008D64F9">
        <w:rPr>
          <w:lang w:val="en-AU"/>
        </w:rPr>
        <w:t xml:space="preserve"> </w:t>
      </w:r>
      <w:r w:rsidRPr="008D64F9">
        <w:rPr>
          <w:rtl/>
          <w:lang w:bidi="ar-LB"/>
        </w:rPr>
        <w:t>ويمكن اعتبار المكسيك من الأمثلة البارزة في هذه الحالة، حيث تمتد المدة إلى مائة عام بعد وفاة المؤلف.</w:t>
      </w:r>
      <w:r w:rsidRPr="008D64F9">
        <w:rPr>
          <w:vertAlign w:val="superscript"/>
          <w:lang w:val="en-AU"/>
        </w:rPr>
        <w:footnoteReference w:id="95"/>
      </w:r>
      <w:r w:rsidRPr="008D64F9">
        <w:rPr>
          <w:lang w:val="en-AU"/>
        </w:rPr>
        <w:t xml:space="preserve"> </w:t>
      </w:r>
      <w:r w:rsidRPr="008D64F9">
        <w:rPr>
          <w:rtl/>
          <w:lang w:bidi="ar-LB"/>
        </w:rPr>
        <w:t>ويحتوي الجدول أدناه على أحكام نموذجية.</w:t>
      </w:r>
    </w:p>
    <w:p w14:paraId="434C7F3B" w14:textId="68B9D2D9" w:rsidR="00364BBC" w:rsidRDefault="00364BBC">
      <w:pPr>
        <w:bidi w:val="0"/>
        <w:rPr>
          <w:rFonts w:eastAsia="Times New Roman"/>
          <w:rtl/>
          <w:lang w:eastAsia="en-US" w:bidi="ar-LB"/>
        </w:rPr>
      </w:pPr>
      <w:r>
        <w:rPr>
          <w:rtl/>
          <w:lang w:bidi="ar-LB"/>
        </w:rPr>
        <w:br w:type="page"/>
      </w:r>
    </w:p>
    <w:p w14:paraId="1F7C8592" w14:textId="77777777" w:rsidR="008D64F9" w:rsidRPr="008D64F9" w:rsidRDefault="008D64F9" w:rsidP="00577563">
      <w:pPr>
        <w:spacing w:after="240"/>
        <w:rPr>
          <w:rFonts w:asciiTheme="minorHAnsi" w:hAnsiTheme="minorHAnsi" w:cstheme="minorHAnsi"/>
          <w:bCs/>
          <w:rtl/>
          <w:lang w:bidi="ar-LB"/>
        </w:rPr>
      </w:pPr>
      <w:r w:rsidRPr="008D64F9">
        <w:rPr>
          <w:rFonts w:asciiTheme="minorHAnsi" w:hAnsiTheme="minorHAnsi" w:cstheme="minorHAnsi"/>
          <w:bCs/>
          <w:rtl/>
          <w:lang w:bidi="ar-LB"/>
        </w:rPr>
        <w:lastRenderedPageBreak/>
        <w:t>الجدول 11</w:t>
      </w:r>
    </w:p>
    <w:tbl>
      <w:tblPr>
        <w:tblStyle w:val="TableGrid"/>
        <w:bidiVisual/>
        <w:tblW w:w="0" w:type="auto"/>
        <w:tblInd w:w="360" w:type="dxa"/>
        <w:tblLook w:val="04A0" w:firstRow="1" w:lastRow="0" w:firstColumn="1" w:lastColumn="0" w:noHBand="0" w:noVBand="1"/>
      </w:tblPr>
      <w:tblGrid>
        <w:gridCol w:w="2883"/>
        <w:gridCol w:w="2883"/>
        <w:gridCol w:w="2884"/>
      </w:tblGrid>
      <w:tr w:rsidR="008D64F9" w:rsidRPr="00577563" w14:paraId="18E04A26" w14:textId="77777777" w:rsidTr="00101B5A">
        <w:tc>
          <w:tcPr>
            <w:tcW w:w="2883" w:type="dxa"/>
          </w:tcPr>
          <w:p w14:paraId="7A7E2C0B" w14:textId="77777777" w:rsidR="008D64F9" w:rsidRPr="00364BBC" w:rsidRDefault="008D64F9" w:rsidP="00577563">
            <w:pPr>
              <w:pStyle w:val="BodyText"/>
              <w:rPr>
                <w:b/>
                <w:bCs/>
                <w:sz w:val="20"/>
                <w:szCs w:val="20"/>
                <w:rtl/>
                <w:lang w:bidi="ar-LB"/>
              </w:rPr>
            </w:pPr>
            <w:r w:rsidRPr="00364BBC">
              <w:rPr>
                <w:b/>
                <w:bCs/>
                <w:sz w:val="20"/>
                <w:szCs w:val="20"/>
                <w:rtl/>
                <w:lang w:bidi="ar-LB"/>
              </w:rPr>
              <w:t>نوع الحكم</w:t>
            </w:r>
          </w:p>
        </w:tc>
        <w:tc>
          <w:tcPr>
            <w:tcW w:w="2883" w:type="dxa"/>
          </w:tcPr>
          <w:p w14:paraId="556CA8B7" w14:textId="77777777" w:rsidR="008D64F9" w:rsidRPr="00364BBC" w:rsidRDefault="008D64F9" w:rsidP="00577563">
            <w:pPr>
              <w:pStyle w:val="BodyText"/>
              <w:rPr>
                <w:b/>
                <w:bCs/>
                <w:sz w:val="20"/>
                <w:szCs w:val="20"/>
                <w:rtl/>
                <w:lang w:bidi="ar-LB"/>
              </w:rPr>
            </w:pPr>
            <w:r w:rsidRPr="00364BBC">
              <w:rPr>
                <w:b/>
                <w:bCs/>
                <w:sz w:val="20"/>
                <w:szCs w:val="20"/>
                <w:rtl/>
                <w:lang w:bidi="ar-LB"/>
              </w:rPr>
              <w:t>النص المقترح</w:t>
            </w:r>
          </w:p>
        </w:tc>
        <w:tc>
          <w:tcPr>
            <w:tcW w:w="2884" w:type="dxa"/>
          </w:tcPr>
          <w:p w14:paraId="44916519" w14:textId="77777777" w:rsidR="008D64F9" w:rsidRPr="00364BBC" w:rsidRDefault="008D64F9" w:rsidP="00577563">
            <w:pPr>
              <w:pStyle w:val="BodyText"/>
              <w:rPr>
                <w:b/>
                <w:bCs/>
                <w:sz w:val="20"/>
                <w:szCs w:val="20"/>
                <w:rtl/>
                <w:lang w:bidi="ar-LB"/>
              </w:rPr>
            </w:pPr>
            <w:r w:rsidRPr="00364BBC">
              <w:rPr>
                <w:b/>
                <w:bCs/>
                <w:sz w:val="20"/>
                <w:szCs w:val="20"/>
                <w:rtl/>
                <w:lang w:bidi="ar-LB"/>
              </w:rPr>
              <w:t>تعليقات/ملاحظات</w:t>
            </w:r>
          </w:p>
        </w:tc>
      </w:tr>
      <w:tr w:rsidR="008D64F9" w:rsidRPr="00577563" w14:paraId="1491227B" w14:textId="77777777" w:rsidTr="00101B5A">
        <w:tc>
          <w:tcPr>
            <w:tcW w:w="2883" w:type="dxa"/>
          </w:tcPr>
          <w:p w14:paraId="6F895404" w14:textId="77777777" w:rsidR="008D64F9" w:rsidRPr="00577563" w:rsidRDefault="008D64F9" w:rsidP="00577563">
            <w:pPr>
              <w:pStyle w:val="BodyText"/>
              <w:rPr>
                <w:sz w:val="20"/>
                <w:szCs w:val="20"/>
                <w:rtl/>
                <w:lang w:bidi="ar-LB"/>
              </w:rPr>
            </w:pPr>
            <w:r w:rsidRPr="00577563">
              <w:rPr>
                <w:sz w:val="20"/>
                <w:szCs w:val="20"/>
                <w:rtl/>
                <w:lang w:bidi="ar-LB"/>
              </w:rPr>
              <w:t>حكم بسيط يربط بين حق التتبع والحقوق الاقتصادية (المملكة المتحدة)</w:t>
            </w:r>
          </w:p>
        </w:tc>
        <w:tc>
          <w:tcPr>
            <w:tcW w:w="2883" w:type="dxa"/>
          </w:tcPr>
          <w:p w14:paraId="026910D9" w14:textId="77777777" w:rsidR="008D64F9" w:rsidRPr="00577563" w:rsidRDefault="008D64F9" w:rsidP="00577563">
            <w:pPr>
              <w:pStyle w:val="BodyText"/>
              <w:rPr>
                <w:i/>
                <w:sz w:val="20"/>
                <w:szCs w:val="20"/>
                <w:rtl/>
                <w:lang w:bidi="ar-LB"/>
              </w:rPr>
            </w:pPr>
            <w:r w:rsidRPr="00577563">
              <w:rPr>
                <w:i/>
                <w:sz w:val="20"/>
                <w:szCs w:val="20"/>
                <w:rtl/>
                <w:lang w:bidi="ar-LB"/>
              </w:rPr>
              <w:t xml:space="preserve">يبقى حق </w:t>
            </w:r>
            <w:r w:rsidRPr="00577563">
              <w:rPr>
                <w:rFonts w:hint="cs"/>
                <w:i/>
                <w:sz w:val="20"/>
                <w:szCs w:val="20"/>
                <w:rtl/>
                <w:lang w:bidi="ar-LB"/>
              </w:rPr>
              <w:t xml:space="preserve">إعادة البيع </w:t>
            </w:r>
            <w:r w:rsidRPr="00577563">
              <w:rPr>
                <w:i/>
                <w:sz w:val="20"/>
                <w:szCs w:val="20"/>
                <w:rtl/>
                <w:lang w:bidi="ar-LB"/>
              </w:rPr>
              <w:t>ساري المفعول في أي مصنف طالما بقي حق المؤلف ساري المفعول في المصنف.</w:t>
            </w:r>
            <w:r w:rsidRPr="00577563">
              <w:rPr>
                <w:sz w:val="20"/>
                <w:szCs w:val="20"/>
                <w:vertAlign w:val="superscript"/>
                <w:lang w:val="en-GB"/>
              </w:rPr>
              <w:footnoteReference w:id="96"/>
            </w:r>
          </w:p>
        </w:tc>
        <w:tc>
          <w:tcPr>
            <w:tcW w:w="2884" w:type="dxa"/>
          </w:tcPr>
          <w:p w14:paraId="13B7FDD2" w14:textId="77777777" w:rsidR="008D64F9" w:rsidRPr="00577563" w:rsidRDefault="008D64F9" w:rsidP="00577563">
            <w:pPr>
              <w:pStyle w:val="BodyText"/>
              <w:rPr>
                <w:sz w:val="20"/>
                <w:szCs w:val="20"/>
                <w:rtl/>
                <w:lang w:bidi="ar-LB"/>
              </w:rPr>
            </w:pPr>
            <w:r w:rsidRPr="00577563">
              <w:rPr>
                <w:sz w:val="20"/>
                <w:szCs w:val="20"/>
                <w:rtl/>
                <w:lang w:bidi="ar-LB"/>
              </w:rPr>
              <w:t>يبقى حق التتبع ساري المفعول طالما بقي حق المؤلف ساري المفعول في المصنف الخاضع لحق التتبع، على سبيل المثال قد تكون هذه المدة بين 50 و100 عام</w:t>
            </w:r>
            <w:r w:rsidRPr="00577563">
              <w:rPr>
                <w:sz w:val="20"/>
                <w:szCs w:val="20"/>
                <w:vertAlign w:val="superscript"/>
                <w:lang w:val="en-AU"/>
              </w:rPr>
              <w:footnoteReference w:id="97"/>
            </w:r>
            <w:r w:rsidRPr="00577563">
              <w:rPr>
                <w:sz w:val="20"/>
                <w:szCs w:val="20"/>
                <w:rtl/>
                <w:lang w:bidi="ar-LB"/>
              </w:rPr>
              <w:t xml:space="preserve"> من بعد وفاة المؤلف، وذلك وفقاً لأحكام قوانين حق المؤلف الوطنية.</w:t>
            </w:r>
          </w:p>
        </w:tc>
      </w:tr>
      <w:tr w:rsidR="008D64F9" w:rsidRPr="00577563" w14:paraId="2C73284A" w14:textId="77777777" w:rsidTr="00101B5A">
        <w:tc>
          <w:tcPr>
            <w:tcW w:w="2883" w:type="dxa"/>
          </w:tcPr>
          <w:p w14:paraId="1EE49437" w14:textId="77777777" w:rsidR="008D64F9" w:rsidRPr="00577563" w:rsidRDefault="008D64F9" w:rsidP="00577563">
            <w:pPr>
              <w:pStyle w:val="BodyText"/>
              <w:rPr>
                <w:sz w:val="20"/>
                <w:szCs w:val="20"/>
                <w:rtl/>
                <w:lang w:bidi="ar-LB"/>
              </w:rPr>
            </w:pPr>
            <w:r w:rsidRPr="00577563">
              <w:rPr>
                <w:sz w:val="20"/>
                <w:szCs w:val="20"/>
                <w:rtl/>
                <w:lang w:bidi="ar-LB"/>
              </w:rPr>
              <w:t>حكم يحدد مدة محددة (قد تكون نفس المدة بالنسبة للحقوق الأخرى) ولكنه يتناول أيضًا حالة المصنفات التي لها عدة مؤلفين (أستراليا)</w:t>
            </w:r>
          </w:p>
        </w:tc>
        <w:tc>
          <w:tcPr>
            <w:tcW w:w="2883" w:type="dxa"/>
          </w:tcPr>
          <w:p w14:paraId="4216B90E" w14:textId="77777777" w:rsidR="008D64F9" w:rsidRPr="00364BBC" w:rsidRDefault="008D64F9" w:rsidP="00577563">
            <w:pPr>
              <w:pStyle w:val="BodyText"/>
              <w:rPr>
                <w:b/>
                <w:bCs/>
                <w:i/>
                <w:sz w:val="20"/>
                <w:szCs w:val="20"/>
                <w:rtl/>
                <w:lang w:bidi="ar-LB"/>
              </w:rPr>
            </w:pPr>
            <w:r w:rsidRPr="00364BBC">
              <w:rPr>
                <w:b/>
                <w:bCs/>
                <w:i/>
                <w:sz w:val="20"/>
                <w:szCs w:val="20"/>
                <w:rtl/>
                <w:lang w:bidi="ar-LB"/>
              </w:rPr>
              <w:t xml:space="preserve">32 مدة إتاوة </w:t>
            </w:r>
            <w:r w:rsidRPr="00364BBC">
              <w:rPr>
                <w:rFonts w:hint="cs"/>
                <w:b/>
                <w:bCs/>
                <w:i/>
                <w:sz w:val="20"/>
                <w:szCs w:val="20"/>
                <w:rtl/>
                <w:lang w:bidi="ar-LB"/>
              </w:rPr>
              <w:t xml:space="preserve">حق </w:t>
            </w:r>
            <w:r w:rsidRPr="00364BBC">
              <w:rPr>
                <w:b/>
                <w:bCs/>
                <w:i/>
                <w:sz w:val="20"/>
                <w:szCs w:val="20"/>
                <w:rtl/>
                <w:lang w:bidi="ar-LB"/>
              </w:rPr>
              <w:t>إعادة البيع</w:t>
            </w:r>
          </w:p>
          <w:p w14:paraId="7CC614F7" w14:textId="77777777" w:rsidR="008D64F9" w:rsidRPr="00577563" w:rsidRDefault="008D64F9" w:rsidP="00577563">
            <w:pPr>
              <w:pStyle w:val="BodyText"/>
              <w:rPr>
                <w:i/>
                <w:sz w:val="20"/>
                <w:szCs w:val="20"/>
                <w:rtl/>
                <w:lang w:bidi="ar-LB"/>
              </w:rPr>
            </w:pPr>
            <w:r w:rsidRPr="00577563">
              <w:rPr>
                <w:i/>
                <w:sz w:val="20"/>
                <w:szCs w:val="20"/>
                <w:rtl/>
                <w:lang w:bidi="ar-LB"/>
              </w:rPr>
              <w:t>يبقى حق التتبع ساري المفعول فيما يتعلق بالمصنف الفني الأصلي بعد انتهاء فترة 70 عامًا من بعد:</w:t>
            </w:r>
          </w:p>
          <w:p w14:paraId="561F417D" w14:textId="77777777" w:rsidR="008D64F9" w:rsidRPr="00577563" w:rsidRDefault="008D64F9" w:rsidP="00577563">
            <w:pPr>
              <w:pStyle w:val="BodyText"/>
              <w:rPr>
                <w:i/>
                <w:sz w:val="20"/>
                <w:szCs w:val="20"/>
                <w:rtl/>
                <w:lang w:bidi="ar-LB"/>
              </w:rPr>
            </w:pPr>
            <w:r w:rsidRPr="00577563">
              <w:rPr>
                <w:i/>
                <w:sz w:val="20"/>
                <w:szCs w:val="20"/>
                <w:rtl/>
                <w:lang w:bidi="ar-LB"/>
              </w:rPr>
              <w:t xml:space="preserve">(أ) - في حال وجود </w:t>
            </w:r>
            <w:r w:rsidRPr="00577563">
              <w:rPr>
                <w:rFonts w:hint="cs"/>
                <w:i/>
                <w:sz w:val="20"/>
                <w:szCs w:val="20"/>
                <w:rtl/>
                <w:lang w:bidi="ar-LB"/>
              </w:rPr>
              <w:t xml:space="preserve">فنان </w:t>
            </w:r>
            <w:r w:rsidRPr="00577563">
              <w:rPr>
                <w:i/>
                <w:sz w:val="20"/>
                <w:szCs w:val="20"/>
                <w:rtl/>
                <w:lang w:bidi="ar-LB"/>
              </w:rPr>
              <w:t>واحد للمصنف الفني - نهاية السنة التقويمية التي توفي فيها</w:t>
            </w:r>
            <w:r w:rsidRPr="00577563">
              <w:rPr>
                <w:rFonts w:hint="cs"/>
                <w:i/>
                <w:sz w:val="20"/>
                <w:szCs w:val="20"/>
                <w:rtl/>
                <w:lang w:bidi="ar-LB"/>
              </w:rPr>
              <w:t xml:space="preserve"> الفنان</w:t>
            </w:r>
            <w:r w:rsidRPr="00577563">
              <w:rPr>
                <w:i/>
                <w:sz w:val="20"/>
                <w:szCs w:val="20"/>
                <w:rtl/>
                <w:lang w:bidi="ar-LB"/>
              </w:rPr>
              <w:t>؛</w:t>
            </w:r>
          </w:p>
          <w:p w14:paraId="082038B2" w14:textId="77777777" w:rsidR="008D64F9" w:rsidRPr="00577563" w:rsidRDefault="008D64F9" w:rsidP="00577563">
            <w:pPr>
              <w:pStyle w:val="BodyText"/>
              <w:rPr>
                <w:i/>
                <w:sz w:val="20"/>
                <w:szCs w:val="20"/>
                <w:rtl/>
                <w:lang w:bidi="ar-LB"/>
              </w:rPr>
            </w:pPr>
            <w:r w:rsidRPr="00577563">
              <w:rPr>
                <w:i/>
                <w:sz w:val="20"/>
                <w:szCs w:val="20"/>
                <w:rtl/>
                <w:lang w:bidi="ar-LB"/>
              </w:rPr>
              <w:t xml:space="preserve">أو (ب) - في حال وجود أكثر من </w:t>
            </w:r>
            <w:r w:rsidRPr="00577563">
              <w:rPr>
                <w:rFonts w:hint="cs"/>
                <w:i/>
                <w:sz w:val="20"/>
                <w:szCs w:val="20"/>
                <w:rtl/>
                <w:lang w:bidi="ar-LB"/>
              </w:rPr>
              <w:t xml:space="preserve">فنان </w:t>
            </w:r>
            <w:r w:rsidRPr="00577563">
              <w:rPr>
                <w:i/>
                <w:sz w:val="20"/>
                <w:szCs w:val="20"/>
                <w:rtl/>
                <w:lang w:bidi="ar-LB"/>
              </w:rPr>
              <w:t xml:space="preserve">للمصنف الفني، عندها، فيما يتعلق بحصة حق التتبع المملوكة من قبل </w:t>
            </w:r>
            <w:r w:rsidRPr="00577563">
              <w:rPr>
                <w:rFonts w:hint="cs"/>
                <w:i/>
                <w:sz w:val="20"/>
                <w:szCs w:val="20"/>
                <w:rtl/>
                <w:lang w:bidi="ar-LB"/>
              </w:rPr>
              <w:t xml:space="preserve">فنان </w:t>
            </w:r>
            <w:r w:rsidRPr="00577563">
              <w:rPr>
                <w:i/>
                <w:sz w:val="20"/>
                <w:szCs w:val="20"/>
                <w:rtl/>
                <w:lang w:bidi="ar-LB"/>
              </w:rPr>
              <w:t xml:space="preserve">معين أو من خلال </w:t>
            </w:r>
            <w:r w:rsidRPr="00577563">
              <w:rPr>
                <w:rFonts w:hint="cs"/>
                <w:i/>
                <w:sz w:val="20"/>
                <w:szCs w:val="20"/>
                <w:rtl/>
                <w:lang w:bidi="ar-LB"/>
              </w:rPr>
              <w:t xml:space="preserve">فنان </w:t>
            </w:r>
            <w:r w:rsidRPr="00577563">
              <w:rPr>
                <w:i/>
                <w:sz w:val="20"/>
                <w:szCs w:val="20"/>
                <w:rtl/>
                <w:lang w:bidi="ar-LB"/>
              </w:rPr>
              <w:t>معين - نهاية السنة التقويمية التي يموت فيها الفنان.</w:t>
            </w:r>
            <w:r w:rsidRPr="00577563">
              <w:rPr>
                <w:sz w:val="20"/>
                <w:szCs w:val="20"/>
                <w:vertAlign w:val="superscript"/>
                <w:lang w:val="en-AU"/>
              </w:rPr>
              <w:footnoteReference w:id="98"/>
            </w:r>
          </w:p>
        </w:tc>
        <w:tc>
          <w:tcPr>
            <w:tcW w:w="2884" w:type="dxa"/>
          </w:tcPr>
          <w:p w14:paraId="572BC7CC" w14:textId="77777777" w:rsidR="008D64F9" w:rsidRPr="00577563" w:rsidRDefault="008D64F9">
            <w:pPr>
              <w:pStyle w:val="BodyText"/>
              <w:numPr>
                <w:ilvl w:val="0"/>
                <w:numId w:val="17"/>
              </w:numPr>
              <w:ind w:left="360"/>
              <w:rPr>
                <w:sz w:val="20"/>
                <w:szCs w:val="20"/>
                <w:rtl/>
                <w:lang w:bidi="ar-LB"/>
              </w:rPr>
            </w:pPr>
            <w:r w:rsidRPr="00577563">
              <w:rPr>
                <w:sz w:val="20"/>
                <w:szCs w:val="20"/>
                <w:rtl/>
                <w:lang w:bidi="ar-LB"/>
              </w:rPr>
              <w:t>يبدأ الحكم بحالة المؤلف الواحد المعتادة</w:t>
            </w:r>
          </w:p>
          <w:p w14:paraId="459CD3B9" w14:textId="77777777" w:rsidR="008D64F9" w:rsidRPr="00577563" w:rsidRDefault="008D64F9">
            <w:pPr>
              <w:pStyle w:val="BodyText"/>
              <w:numPr>
                <w:ilvl w:val="0"/>
                <w:numId w:val="17"/>
              </w:numPr>
              <w:ind w:left="360"/>
              <w:rPr>
                <w:sz w:val="20"/>
                <w:szCs w:val="20"/>
                <w:rtl/>
                <w:lang w:bidi="ar-LB"/>
              </w:rPr>
            </w:pPr>
            <w:r w:rsidRPr="00577563">
              <w:rPr>
                <w:sz w:val="20"/>
                <w:szCs w:val="20"/>
                <w:rtl/>
                <w:lang w:bidi="ar-LB"/>
              </w:rPr>
              <w:t xml:space="preserve">ثم يتطرق إلى المصنفات التي لها أكثر من </w:t>
            </w:r>
            <w:r w:rsidRPr="00577563">
              <w:rPr>
                <w:rFonts w:hint="cs"/>
                <w:sz w:val="20"/>
                <w:szCs w:val="20"/>
                <w:rtl/>
                <w:lang w:bidi="ar-LB"/>
              </w:rPr>
              <w:t>فنان</w:t>
            </w:r>
            <w:r w:rsidRPr="00577563">
              <w:rPr>
                <w:sz w:val="20"/>
                <w:szCs w:val="20"/>
                <w:rtl/>
                <w:lang w:bidi="ar-LB"/>
              </w:rPr>
              <w:t>.</w:t>
            </w:r>
            <w:r w:rsidRPr="00577563">
              <w:rPr>
                <w:sz w:val="20"/>
                <w:szCs w:val="20"/>
                <w:lang w:val="en-AU"/>
              </w:rPr>
              <w:t xml:space="preserve"> </w:t>
            </w:r>
            <w:r w:rsidRPr="00577563">
              <w:rPr>
                <w:sz w:val="20"/>
                <w:szCs w:val="20"/>
                <w:rtl/>
                <w:lang w:bidi="ar-LB"/>
              </w:rPr>
              <w:t xml:space="preserve">ولكن، تجدر الإشارة إلى أن تعبير "أكثر من </w:t>
            </w:r>
            <w:r w:rsidRPr="00577563">
              <w:rPr>
                <w:rFonts w:hint="cs"/>
                <w:sz w:val="20"/>
                <w:szCs w:val="20"/>
                <w:rtl/>
                <w:lang w:bidi="ar-LB"/>
              </w:rPr>
              <w:t>فنان</w:t>
            </w:r>
            <w:r w:rsidRPr="00577563">
              <w:rPr>
                <w:sz w:val="20"/>
                <w:szCs w:val="20"/>
                <w:rtl/>
                <w:lang w:bidi="ar-LB"/>
              </w:rPr>
              <w:t xml:space="preserve">" قد يكون أوسع من تعبير </w:t>
            </w:r>
            <w:r w:rsidRPr="00577563">
              <w:rPr>
                <w:rFonts w:hint="cs"/>
                <w:sz w:val="20"/>
                <w:szCs w:val="20"/>
                <w:rtl/>
                <w:lang w:bidi="ar-LB"/>
              </w:rPr>
              <w:t>"</w:t>
            </w:r>
            <w:r w:rsidRPr="00577563">
              <w:rPr>
                <w:sz w:val="20"/>
                <w:szCs w:val="20"/>
                <w:rtl/>
                <w:lang w:bidi="ar-LB"/>
              </w:rPr>
              <w:t>المصنفات المؤلفة بشكل مشترك</w:t>
            </w:r>
            <w:r w:rsidRPr="00577563">
              <w:rPr>
                <w:rFonts w:hint="cs"/>
                <w:sz w:val="20"/>
                <w:szCs w:val="20"/>
                <w:rtl/>
                <w:lang w:bidi="ar-LB"/>
              </w:rPr>
              <w:t>"</w:t>
            </w:r>
            <w:r w:rsidRPr="00577563">
              <w:rPr>
                <w:sz w:val="20"/>
                <w:szCs w:val="20"/>
                <w:rtl/>
                <w:lang w:bidi="ar-LB"/>
              </w:rPr>
              <w:t xml:space="preserve"> وهو ما يعني عادةً بعضًا من </w:t>
            </w:r>
            <w:r w:rsidRPr="00577563">
              <w:rPr>
                <w:rFonts w:hint="cs"/>
                <w:sz w:val="20"/>
                <w:szCs w:val="20"/>
                <w:rtl/>
                <w:lang w:bidi="ar-LB"/>
              </w:rPr>
              <w:t xml:space="preserve">التعاون </w:t>
            </w:r>
            <w:r w:rsidRPr="00577563">
              <w:rPr>
                <w:sz w:val="20"/>
                <w:szCs w:val="20"/>
                <w:rtl/>
                <w:lang w:bidi="ar-LB"/>
              </w:rPr>
              <w:t xml:space="preserve">بين </w:t>
            </w:r>
            <w:r w:rsidRPr="00577563">
              <w:rPr>
                <w:rFonts w:hint="cs"/>
                <w:sz w:val="20"/>
                <w:szCs w:val="20"/>
                <w:rtl/>
                <w:lang w:bidi="ar-LB"/>
              </w:rPr>
              <w:t>ا</w:t>
            </w:r>
            <w:r w:rsidRPr="00577563">
              <w:rPr>
                <w:sz w:val="20"/>
                <w:szCs w:val="20"/>
                <w:rtl/>
                <w:lang w:bidi="ar-LB"/>
              </w:rPr>
              <w:t>لمؤلفين</w:t>
            </w:r>
            <w:r w:rsidRPr="00577563">
              <w:rPr>
                <w:rFonts w:hint="cs"/>
                <w:sz w:val="20"/>
                <w:szCs w:val="20"/>
                <w:rtl/>
                <w:lang w:bidi="ar-LB"/>
              </w:rPr>
              <w:t xml:space="preserve">، </w:t>
            </w:r>
            <w:r w:rsidRPr="00577563">
              <w:rPr>
                <w:sz w:val="20"/>
                <w:szCs w:val="20"/>
                <w:rtl/>
                <w:lang w:bidi="ar-LB"/>
              </w:rPr>
              <w:t>ال</w:t>
            </w:r>
            <w:r w:rsidRPr="00577563">
              <w:rPr>
                <w:rFonts w:hint="cs"/>
                <w:sz w:val="20"/>
                <w:szCs w:val="20"/>
                <w:rtl/>
                <w:lang w:bidi="ar-LB"/>
              </w:rPr>
              <w:t>ذ</w:t>
            </w:r>
            <w:r w:rsidRPr="00577563">
              <w:rPr>
                <w:sz w:val="20"/>
                <w:szCs w:val="20"/>
                <w:rtl/>
                <w:lang w:bidi="ar-LB"/>
              </w:rPr>
              <w:t xml:space="preserve">ي تنص المادة 7(ثانيا) من اتفاقية برن </w:t>
            </w:r>
            <w:r w:rsidRPr="00577563">
              <w:rPr>
                <w:rFonts w:hint="cs"/>
                <w:sz w:val="20"/>
                <w:szCs w:val="20"/>
                <w:rtl/>
                <w:lang w:bidi="ar-LB"/>
              </w:rPr>
              <w:t>ع</w:t>
            </w:r>
            <w:r w:rsidRPr="00577563">
              <w:rPr>
                <w:sz w:val="20"/>
                <w:szCs w:val="20"/>
                <w:rtl/>
                <w:lang w:bidi="ar-LB"/>
              </w:rPr>
              <w:t xml:space="preserve">لى أن مدة </w:t>
            </w:r>
            <w:r w:rsidRPr="00577563">
              <w:rPr>
                <w:rFonts w:hint="cs"/>
                <w:sz w:val="20"/>
                <w:szCs w:val="20"/>
                <w:rtl/>
                <w:lang w:bidi="ar-LB"/>
              </w:rPr>
              <w:t>ال</w:t>
            </w:r>
            <w:r w:rsidRPr="00577563">
              <w:rPr>
                <w:sz w:val="20"/>
                <w:szCs w:val="20"/>
                <w:rtl/>
                <w:lang w:bidi="ar-LB"/>
              </w:rPr>
              <w:t>ح</w:t>
            </w:r>
            <w:r w:rsidRPr="00577563">
              <w:rPr>
                <w:rFonts w:hint="cs"/>
                <w:sz w:val="20"/>
                <w:szCs w:val="20"/>
                <w:rtl/>
                <w:lang w:bidi="ar-LB"/>
              </w:rPr>
              <w:t xml:space="preserve">ماية عموماً </w:t>
            </w:r>
            <w:r w:rsidRPr="00577563">
              <w:rPr>
                <w:sz w:val="20"/>
                <w:szCs w:val="20"/>
                <w:rtl/>
                <w:lang w:bidi="ar-LB"/>
              </w:rPr>
              <w:t>ي</w:t>
            </w:r>
            <w:r w:rsidRPr="00577563">
              <w:rPr>
                <w:rFonts w:hint="cs"/>
                <w:sz w:val="20"/>
                <w:szCs w:val="20"/>
                <w:rtl/>
                <w:lang w:bidi="ar-LB"/>
              </w:rPr>
              <w:t xml:space="preserve">نبغي </w:t>
            </w:r>
            <w:r w:rsidRPr="00577563">
              <w:rPr>
                <w:sz w:val="20"/>
                <w:szCs w:val="20"/>
                <w:rtl/>
                <w:lang w:bidi="ar-LB"/>
              </w:rPr>
              <w:t>أن ترتبط بوفاة آخر مؤلف على قيد الحياة</w:t>
            </w:r>
            <w:r w:rsidRPr="00577563">
              <w:rPr>
                <w:sz w:val="20"/>
                <w:szCs w:val="20"/>
                <w:vertAlign w:val="superscript"/>
                <w:rtl/>
                <w:lang w:bidi="ar-LB"/>
              </w:rPr>
              <w:footnoteReference w:id="99"/>
            </w:r>
            <w:r w:rsidRPr="00577563">
              <w:rPr>
                <w:sz w:val="20"/>
                <w:szCs w:val="20"/>
                <w:rtl/>
                <w:lang w:bidi="ar-LB"/>
              </w:rPr>
              <w:t>.</w:t>
            </w:r>
            <w:r w:rsidRPr="00577563">
              <w:rPr>
                <w:sz w:val="20"/>
                <w:szCs w:val="20"/>
                <w:lang w:val="en-AU"/>
              </w:rPr>
              <w:t xml:space="preserve"> </w:t>
            </w:r>
            <w:r w:rsidRPr="00577563">
              <w:rPr>
                <w:sz w:val="20"/>
                <w:szCs w:val="20"/>
                <w:rtl/>
                <w:lang w:bidi="ar-LB"/>
              </w:rPr>
              <w:t>ولكن النص هنا لا يعتمد هذا النهج، ويحدد أن حصة حق التتبع في حالة وجود فنانين متعددين سوف تنتهي صلاحيتها في أوقات مختلفة، وفقا لتاريخ وفاة كل فنان</w:t>
            </w:r>
            <w:r w:rsidRPr="00577563">
              <w:rPr>
                <w:rFonts w:hint="cs"/>
                <w:sz w:val="20"/>
                <w:szCs w:val="20"/>
                <w:rtl/>
                <w:lang w:bidi="ar-LB"/>
              </w:rPr>
              <w:t xml:space="preserve"> </w:t>
            </w:r>
            <w:r w:rsidRPr="00577563">
              <w:rPr>
                <w:sz w:val="20"/>
                <w:szCs w:val="20"/>
                <w:rtl/>
                <w:lang w:bidi="ar-LB"/>
              </w:rPr>
              <w:t>وقد يختلف هذا أيضًا عن مدة الحقوق الاقتصادية الأخرى في الم</w:t>
            </w:r>
            <w:r w:rsidRPr="00577563">
              <w:rPr>
                <w:rFonts w:hint="cs"/>
                <w:sz w:val="20"/>
                <w:szCs w:val="20"/>
                <w:rtl/>
                <w:lang w:bidi="ar-LB"/>
              </w:rPr>
              <w:t>صنف</w:t>
            </w:r>
            <w:r w:rsidRPr="00577563">
              <w:rPr>
                <w:sz w:val="20"/>
                <w:szCs w:val="20"/>
                <w:rtl/>
                <w:lang w:bidi="ar-LB"/>
              </w:rPr>
              <w:t>.</w:t>
            </w:r>
          </w:p>
        </w:tc>
      </w:tr>
      <w:tr w:rsidR="008D64F9" w:rsidRPr="00577563" w14:paraId="747B4B30" w14:textId="77777777" w:rsidTr="00101B5A">
        <w:tc>
          <w:tcPr>
            <w:tcW w:w="2883" w:type="dxa"/>
          </w:tcPr>
          <w:p w14:paraId="58DD6EAE" w14:textId="77777777" w:rsidR="008D64F9" w:rsidRPr="00577563" w:rsidRDefault="008D64F9" w:rsidP="00577563">
            <w:pPr>
              <w:pStyle w:val="BodyText"/>
              <w:rPr>
                <w:sz w:val="20"/>
                <w:szCs w:val="20"/>
                <w:rtl/>
                <w:lang w:bidi="ar-LB"/>
              </w:rPr>
            </w:pPr>
            <w:r w:rsidRPr="00577563">
              <w:rPr>
                <w:sz w:val="20"/>
                <w:szCs w:val="20"/>
                <w:rtl/>
                <w:lang w:bidi="ar-LB"/>
              </w:rPr>
              <w:t>حكم آخر ينص على مدة محددة (نيوزيلندا)</w:t>
            </w:r>
          </w:p>
        </w:tc>
        <w:tc>
          <w:tcPr>
            <w:tcW w:w="2883" w:type="dxa"/>
          </w:tcPr>
          <w:p w14:paraId="41EBF435" w14:textId="77777777" w:rsidR="008D64F9" w:rsidRPr="00364BBC" w:rsidRDefault="008D64F9" w:rsidP="00577563">
            <w:pPr>
              <w:pStyle w:val="BodyText"/>
              <w:rPr>
                <w:b/>
                <w:bCs/>
                <w:sz w:val="20"/>
                <w:szCs w:val="20"/>
                <w:rtl/>
                <w:lang w:bidi="ar-LB"/>
              </w:rPr>
            </w:pPr>
            <w:r w:rsidRPr="00364BBC">
              <w:rPr>
                <w:b/>
                <w:bCs/>
                <w:sz w:val="20"/>
                <w:szCs w:val="20"/>
                <w:rtl/>
                <w:lang w:bidi="ar-LB"/>
              </w:rPr>
              <w:t>15 مدة حق التتبع</w:t>
            </w:r>
          </w:p>
          <w:p w14:paraId="14047DC8" w14:textId="77777777" w:rsidR="008D64F9" w:rsidRPr="00577563" w:rsidRDefault="008D64F9" w:rsidP="00577563">
            <w:pPr>
              <w:pStyle w:val="BodyText"/>
              <w:rPr>
                <w:sz w:val="20"/>
                <w:szCs w:val="20"/>
                <w:rtl/>
                <w:lang w:bidi="ar-LB"/>
              </w:rPr>
            </w:pPr>
            <w:r w:rsidRPr="00577563">
              <w:rPr>
                <w:sz w:val="20"/>
                <w:szCs w:val="20"/>
                <w:rtl/>
                <w:lang w:bidi="ar-LB"/>
              </w:rPr>
              <w:t>(1) يحدد هذا القسم المدة التي خلالها تؤدي عملية إعادة البيع المؤهلة للمصنف الفني</w:t>
            </w:r>
          </w:p>
          <w:p w14:paraId="0B5A240C" w14:textId="77777777" w:rsidR="008D64F9" w:rsidRPr="00577563" w:rsidRDefault="008D64F9" w:rsidP="00577563">
            <w:pPr>
              <w:pStyle w:val="BodyText"/>
              <w:rPr>
                <w:sz w:val="20"/>
                <w:szCs w:val="20"/>
                <w:rtl/>
                <w:lang w:bidi="ar-LB"/>
              </w:rPr>
            </w:pPr>
            <w:r w:rsidRPr="00577563">
              <w:rPr>
                <w:sz w:val="20"/>
                <w:szCs w:val="20"/>
                <w:rtl/>
                <w:lang w:bidi="ar-LB"/>
              </w:rPr>
              <w:t>البصري الأصلي إلى إنشاء حق التتبع.</w:t>
            </w:r>
          </w:p>
          <w:p w14:paraId="1C25914A" w14:textId="77777777" w:rsidR="008D64F9" w:rsidRPr="00577563" w:rsidRDefault="008D64F9" w:rsidP="00577563">
            <w:pPr>
              <w:pStyle w:val="BodyText"/>
              <w:rPr>
                <w:sz w:val="20"/>
                <w:szCs w:val="20"/>
                <w:rtl/>
                <w:lang w:bidi="ar-LB"/>
              </w:rPr>
            </w:pPr>
            <w:r w:rsidRPr="00577563">
              <w:rPr>
                <w:sz w:val="20"/>
                <w:szCs w:val="20"/>
                <w:rtl/>
                <w:lang w:bidi="ar-LB"/>
              </w:rPr>
              <w:t>(2) تبدأ المدة عند إنشاء المصنف الفني وتنتهي عند حلول اليوم الأخير</w:t>
            </w:r>
          </w:p>
          <w:p w14:paraId="68438ECF" w14:textId="77777777" w:rsidR="008D64F9" w:rsidRPr="00577563" w:rsidRDefault="008D64F9" w:rsidP="00577563">
            <w:pPr>
              <w:pStyle w:val="BodyText"/>
              <w:rPr>
                <w:sz w:val="20"/>
                <w:szCs w:val="20"/>
                <w:rtl/>
                <w:lang w:bidi="ar-LB"/>
              </w:rPr>
            </w:pPr>
            <w:r w:rsidRPr="00577563">
              <w:rPr>
                <w:sz w:val="20"/>
                <w:szCs w:val="20"/>
                <w:rtl/>
                <w:lang w:bidi="ar-LB"/>
              </w:rPr>
              <w:t>(تاريخ انتهاء الصلاحية) من الفترة التالية:</w:t>
            </w:r>
          </w:p>
          <w:p w14:paraId="02CA8D9E" w14:textId="77777777" w:rsidR="008D64F9" w:rsidRPr="00577563" w:rsidRDefault="008D64F9" w:rsidP="00577563">
            <w:pPr>
              <w:pStyle w:val="BodyText"/>
              <w:rPr>
                <w:sz w:val="20"/>
                <w:szCs w:val="20"/>
                <w:rtl/>
                <w:lang w:bidi="ar-LB"/>
              </w:rPr>
            </w:pPr>
            <w:r w:rsidRPr="00577563">
              <w:rPr>
                <w:sz w:val="20"/>
                <w:szCs w:val="20"/>
                <w:rtl/>
                <w:lang w:bidi="ar-LB"/>
              </w:rPr>
              <w:t>(أ) إذا تم إنشاء المصنف الفني من قبل فنان واحد، فترة الخمسين عامًا بعد نهاية السنة التقويمية التي توفي فيها الفنان:</w:t>
            </w:r>
          </w:p>
          <w:p w14:paraId="2FA7A7E3" w14:textId="77777777" w:rsidR="008D64F9" w:rsidRPr="00577563" w:rsidRDefault="008D64F9" w:rsidP="00577563">
            <w:pPr>
              <w:pStyle w:val="BodyText"/>
              <w:rPr>
                <w:sz w:val="20"/>
                <w:szCs w:val="20"/>
                <w:rtl/>
                <w:lang w:bidi="ar-LB"/>
              </w:rPr>
            </w:pPr>
            <w:r w:rsidRPr="00577563">
              <w:rPr>
                <w:sz w:val="20"/>
                <w:szCs w:val="20"/>
                <w:rtl/>
                <w:lang w:bidi="ar-LB"/>
              </w:rPr>
              <w:lastRenderedPageBreak/>
              <w:t>(ب) إذا تم إنشاء المصنف الفني بشكل مشترك من قبل فنانين أو أكثر، فترة 50</w:t>
            </w:r>
            <w:r w:rsidRPr="00577563">
              <w:rPr>
                <w:sz w:val="20"/>
                <w:szCs w:val="20"/>
                <w:lang w:val="en-AU"/>
              </w:rPr>
              <w:t xml:space="preserve"> </w:t>
            </w:r>
            <w:r w:rsidRPr="00577563">
              <w:rPr>
                <w:sz w:val="20"/>
                <w:szCs w:val="20"/>
                <w:rtl/>
                <w:lang w:bidi="ar-LB"/>
              </w:rPr>
              <w:t>عامًا بعد نهاية السنة التقويمية التي توفي فيها آخر فنان.</w:t>
            </w:r>
            <w:r w:rsidRPr="00577563">
              <w:rPr>
                <w:sz w:val="20"/>
                <w:szCs w:val="20"/>
                <w:lang w:val="en-AU"/>
              </w:rPr>
              <w:t xml:space="preserve"> </w:t>
            </w:r>
          </w:p>
        </w:tc>
        <w:tc>
          <w:tcPr>
            <w:tcW w:w="2884" w:type="dxa"/>
          </w:tcPr>
          <w:p w14:paraId="4DE07FDD" w14:textId="77777777" w:rsidR="008D64F9" w:rsidRPr="00577563" w:rsidRDefault="008D64F9">
            <w:pPr>
              <w:pStyle w:val="BodyText"/>
              <w:numPr>
                <w:ilvl w:val="0"/>
                <w:numId w:val="17"/>
              </w:numPr>
              <w:ind w:left="360"/>
              <w:rPr>
                <w:sz w:val="20"/>
                <w:szCs w:val="20"/>
                <w:rtl/>
                <w:lang w:bidi="ar-LB"/>
              </w:rPr>
            </w:pPr>
            <w:r w:rsidRPr="00577563">
              <w:rPr>
                <w:sz w:val="20"/>
                <w:szCs w:val="20"/>
                <w:rtl/>
                <w:lang w:bidi="ar-LB"/>
              </w:rPr>
              <w:lastRenderedPageBreak/>
              <w:t xml:space="preserve">يطبق مدة </w:t>
            </w:r>
            <w:r w:rsidRPr="00577563">
              <w:rPr>
                <w:rFonts w:hint="cs"/>
                <w:sz w:val="20"/>
                <w:szCs w:val="20"/>
                <w:rtl/>
                <w:lang w:bidi="ar-LB"/>
              </w:rPr>
              <w:t xml:space="preserve">الحياة زائد </w:t>
            </w:r>
            <w:r w:rsidRPr="00577563">
              <w:rPr>
                <w:sz w:val="20"/>
                <w:szCs w:val="20"/>
                <w:rtl/>
                <w:lang w:bidi="ar-LB"/>
              </w:rPr>
              <w:t>50 عامًا فقط المسموح بها بموجب اتفاقية برن</w:t>
            </w:r>
          </w:p>
          <w:p w14:paraId="38962E4E" w14:textId="77777777" w:rsidR="008D64F9" w:rsidRPr="00577563" w:rsidRDefault="008D64F9">
            <w:pPr>
              <w:pStyle w:val="BodyText"/>
              <w:numPr>
                <w:ilvl w:val="0"/>
                <w:numId w:val="17"/>
              </w:numPr>
              <w:ind w:left="360"/>
              <w:rPr>
                <w:sz w:val="20"/>
                <w:szCs w:val="20"/>
                <w:rtl/>
                <w:lang w:bidi="ar-LB"/>
              </w:rPr>
            </w:pPr>
            <w:r w:rsidRPr="00577563">
              <w:rPr>
                <w:sz w:val="20"/>
                <w:szCs w:val="20"/>
                <w:rtl/>
                <w:lang w:bidi="ar-LB"/>
              </w:rPr>
              <w:t>الحكم المتعلق بعدة مؤلفين يتماشى مع المادة 7(ثانيا) من اتفاقية برن</w:t>
            </w:r>
            <w:r w:rsidRPr="00577563">
              <w:rPr>
                <w:sz w:val="20"/>
                <w:szCs w:val="20"/>
                <w:lang w:val="en-AU"/>
              </w:rPr>
              <w:t xml:space="preserve"> </w:t>
            </w:r>
          </w:p>
        </w:tc>
      </w:tr>
      <w:tr w:rsidR="008D64F9" w:rsidRPr="00577563" w14:paraId="16ED0AB8" w14:textId="77777777" w:rsidTr="00101B5A">
        <w:tc>
          <w:tcPr>
            <w:tcW w:w="2883" w:type="dxa"/>
          </w:tcPr>
          <w:p w14:paraId="39005D02" w14:textId="77777777" w:rsidR="008D64F9" w:rsidRPr="00577563" w:rsidRDefault="008D64F9" w:rsidP="00577563">
            <w:pPr>
              <w:pStyle w:val="BodyText"/>
              <w:rPr>
                <w:sz w:val="20"/>
                <w:szCs w:val="20"/>
                <w:rtl/>
                <w:lang w:bidi="ar-LB"/>
              </w:rPr>
            </w:pPr>
            <w:r w:rsidRPr="00577563">
              <w:rPr>
                <w:sz w:val="20"/>
                <w:szCs w:val="20"/>
                <w:rtl/>
                <w:lang w:bidi="ar-LB"/>
              </w:rPr>
              <w:t>مدة حق التتبع مرتبطة بمدة الحقوق الاقتصادية (البرازيل)</w:t>
            </w:r>
            <w:r w:rsidRPr="00577563">
              <w:rPr>
                <w:sz w:val="20"/>
                <w:szCs w:val="20"/>
                <w:lang w:val="en-AU"/>
              </w:rPr>
              <w:t xml:space="preserve"> </w:t>
            </w:r>
          </w:p>
        </w:tc>
        <w:tc>
          <w:tcPr>
            <w:tcW w:w="2883" w:type="dxa"/>
          </w:tcPr>
          <w:p w14:paraId="5DFCF735" w14:textId="77777777" w:rsidR="008D64F9" w:rsidRPr="00577563" w:rsidRDefault="008D64F9" w:rsidP="00577563">
            <w:pPr>
              <w:pStyle w:val="BodyText"/>
              <w:rPr>
                <w:sz w:val="20"/>
                <w:szCs w:val="20"/>
                <w:lang w:val="en-GB"/>
              </w:rPr>
            </w:pPr>
          </w:p>
          <w:p w14:paraId="4CA49228" w14:textId="77777777" w:rsidR="008D64F9" w:rsidRPr="00577563" w:rsidRDefault="008D64F9" w:rsidP="00577563">
            <w:pPr>
              <w:pStyle w:val="BodyText"/>
              <w:rPr>
                <w:sz w:val="20"/>
                <w:szCs w:val="20"/>
                <w:rtl/>
                <w:lang w:bidi="ar-LB"/>
              </w:rPr>
            </w:pPr>
            <w:r w:rsidRPr="00577563">
              <w:rPr>
                <w:sz w:val="20"/>
                <w:szCs w:val="20"/>
                <w:rtl/>
                <w:lang w:bidi="ar-LB"/>
              </w:rPr>
              <w:t>"تبقى الحقوق الاقتصادية للمؤلف محمية لمدة سبعين سنة بدءًا من أول يناير من السنة التالية لوفاته... _"</w:t>
            </w:r>
            <w:r w:rsidRPr="00577563">
              <w:rPr>
                <w:sz w:val="20"/>
                <w:szCs w:val="20"/>
                <w:vertAlign w:val="superscript"/>
                <w:lang w:val="en-GB"/>
              </w:rPr>
              <w:footnoteReference w:id="100"/>
            </w:r>
          </w:p>
          <w:p w14:paraId="6087E391" w14:textId="77777777" w:rsidR="008D64F9" w:rsidRPr="00577563" w:rsidRDefault="008D64F9" w:rsidP="00577563">
            <w:pPr>
              <w:pStyle w:val="BodyText"/>
              <w:rPr>
                <w:sz w:val="20"/>
                <w:szCs w:val="20"/>
                <w:lang w:val="en-GB"/>
              </w:rPr>
            </w:pPr>
          </w:p>
        </w:tc>
        <w:tc>
          <w:tcPr>
            <w:tcW w:w="2884" w:type="dxa"/>
          </w:tcPr>
          <w:p w14:paraId="5832261D" w14:textId="77777777" w:rsidR="008D64F9" w:rsidRPr="00577563" w:rsidRDefault="008D64F9" w:rsidP="00577563">
            <w:pPr>
              <w:pStyle w:val="BodyText"/>
              <w:rPr>
                <w:sz w:val="20"/>
                <w:szCs w:val="20"/>
                <w:lang w:val="en-AU"/>
              </w:rPr>
            </w:pPr>
          </w:p>
        </w:tc>
      </w:tr>
    </w:tbl>
    <w:p w14:paraId="1EC0E2B4" w14:textId="77777777" w:rsidR="008D64F9" w:rsidRPr="008D64F9" w:rsidRDefault="008D64F9" w:rsidP="00534856">
      <w:pPr>
        <w:pStyle w:val="Heading2"/>
        <w:rPr>
          <w:rtl/>
        </w:rPr>
      </w:pPr>
      <w:r w:rsidRPr="008D64F9">
        <w:rPr>
          <w:rtl/>
        </w:rPr>
        <w:t>خصائص أخرى لحق التتبع – التصرّف والتنازل</w:t>
      </w:r>
    </w:p>
    <w:p w14:paraId="68C5CD28" w14:textId="77777777" w:rsidR="008D64F9" w:rsidRPr="008D64F9" w:rsidRDefault="008D64F9" w:rsidP="00577563">
      <w:pPr>
        <w:pStyle w:val="ONUMA"/>
        <w:rPr>
          <w:rtl/>
          <w:lang w:bidi="ar-LB"/>
        </w:rPr>
      </w:pPr>
      <w:r w:rsidRPr="008D64F9">
        <w:rPr>
          <w:lang w:val="en-AU"/>
        </w:rPr>
        <w:t xml:space="preserve"> </w:t>
      </w:r>
      <w:r w:rsidRPr="008D64F9">
        <w:rPr>
          <w:rtl/>
          <w:lang w:bidi="ar-LB"/>
        </w:rPr>
        <w:t>بموجب المادة 14(ثالثا)(1) من اتفاقية برن، يعتبر حق التتبع "حقًا غير قابل للتصرف"، أي أنه حق للمؤلف لا يمكن بيعه أو لا يمكن للمؤلف التنازل عنه (هناك تشابه هنا مع الحقوق المعنوية).</w:t>
      </w:r>
      <w:r w:rsidRPr="008D64F9">
        <w:rPr>
          <w:lang w:val="en-AU"/>
        </w:rPr>
        <w:t xml:space="preserve"> </w:t>
      </w:r>
      <w:r w:rsidRPr="008D64F9">
        <w:rPr>
          <w:rtl/>
          <w:lang w:bidi="ar-LB"/>
        </w:rPr>
        <w:t>وتصف قوانين وطنية هذا الشرط بطرق مختلفة، على سبيل المثال باعتباره "غير قابل للتصرف ولا يمكن التنازل عنه" كما هو الحال في أوروغواي و"غير قابل للتصرف بأي شكل من الأشكال" في أستراليا</w:t>
      </w:r>
      <w:r w:rsidRPr="008D64F9">
        <w:rPr>
          <w:rFonts w:hint="cs"/>
          <w:rtl/>
          <w:lang w:bidi="ar-LB"/>
        </w:rPr>
        <w:t>.</w:t>
      </w:r>
      <w:r w:rsidRPr="008D64F9">
        <w:rPr>
          <w:rtl/>
          <w:lang w:bidi="ar-LB"/>
        </w:rPr>
        <w:t xml:space="preserve"> وتسعى بعض القوانين، مثل تلك الموجودة في المملكة المتحدة، إلى توضيح ذلك </w:t>
      </w:r>
      <w:r w:rsidRPr="008D64F9">
        <w:rPr>
          <w:rFonts w:hint="cs"/>
          <w:rtl/>
          <w:lang w:bidi="ar-LB"/>
        </w:rPr>
        <w:t xml:space="preserve">التقييد </w:t>
      </w:r>
      <w:r w:rsidRPr="008D64F9">
        <w:rPr>
          <w:rtl/>
          <w:lang w:bidi="ar-LB"/>
        </w:rPr>
        <w:t>بمزيد من التفصيل، على سبيل المثال من خلال النصّ على أن حق التتبع لا يمكن رهنه أو إخضاعه لرهن كضمانة لدين.</w:t>
      </w:r>
      <w:r w:rsidRPr="008D64F9">
        <w:rPr>
          <w:lang w:val="en-AU"/>
        </w:rPr>
        <w:t xml:space="preserve"> </w:t>
      </w:r>
      <w:r w:rsidRPr="008D64F9">
        <w:rPr>
          <w:rtl/>
          <w:lang w:bidi="ar-LB"/>
        </w:rPr>
        <w:t>وفي الوقت نفسه، لا ينبغي أن تؤثر هذه القيود على أي ترتيبات يتم إجراؤها لمنظمة إدارة جماعية لإدارة حق التتبع حيث ينص القانون الوطني على الإدارة الجماعية لهذا الحق.</w:t>
      </w:r>
      <w:r w:rsidRPr="008D64F9">
        <w:rPr>
          <w:lang w:val="en-AU"/>
        </w:rPr>
        <w:t xml:space="preserve"> </w:t>
      </w:r>
      <w:r w:rsidRPr="008D64F9">
        <w:rPr>
          <w:rtl/>
          <w:lang w:bidi="ar-LB"/>
        </w:rPr>
        <w:t>وهناك إمكانية أخرى منصوص عليها في قانون وطني واحد على الأقل وهي أنه يجوز التنازل عن حق التتبع لمنظمة خيرية أو هيئة ثقافية عامة أخرى</w:t>
      </w:r>
      <w:r w:rsidRPr="008D64F9">
        <w:rPr>
          <w:vertAlign w:val="superscript"/>
          <w:lang w:val="en-GB"/>
        </w:rPr>
        <w:footnoteReference w:id="101"/>
      </w:r>
      <w:r w:rsidRPr="008D64F9">
        <w:rPr>
          <w:rFonts w:hint="cs"/>
          <w:rtl/>
          <w:lang w:bidi="ar-LB"/>
        </w:rPr>
        <w:t xml:space="preserve">. </w:t>
      </w:r>
      <w:r w:rsidRPr="008D64F9">
        <w:rPr>
          <w:rtl/>
          <w:lang w:bidi="ar-LB"/>
        </w:rPr>
        <w:t xml:space="preserve">في حين قد تكون هناك أسباب وجيهة تتعلق بالسياسات العامة لمثل هذا الاستثناء، فمن حيث المبدأ قد يعتبر هذا الأمر بأن </w:t>
      </w:r>
      <w:r w:rsidRPr="008D64F9">
        <w:rPr>
          <w:rFonts w:hint="cs"/>
          <w:rtl/>
          <w:lang w:bidi="ar-LB"/>
        </w:rPr>
        <w:t xml:space="preserve">هذا النهج الأخير </w:t>
      </w:r>
      <w:r w:rsidRPr="008D64F9">
        <w:rPr>
          <w:rtl/>
          <w:lang w:bidi="ar-LB"/>
        </w:rPr>
        <w:t>يتعارض مع متطلبات عدم قابلية التصرف بموجب المادة 14(ثالثا)(1)</w:t>
      </w:r>
      <w:r w:rsidRPr="008D64F9">
        <w:rPr>
          <w:i/>
          <w:lang w:val="en-AU"/>
        </w:rPr>
        <w:t xml:space="preserve"> </w:t>
      </w:r>
      <w:r w:rsidRPr="008D64F9">
        <w:rPr>
          <w:rtl/>
          <w:lang w:bidi="ar-LB"/>
        </w:rPr>
        <w:t>ولم يتم نص أي حكم لمثل هذا الاستثناء في هذه المادة.</w:t>
      </w:r>
      <w:r w:rsidRPr="008D64F9">
        <w:rPr>
          <w:lang w:val="en-AU"/>
        </w:rPr>
        <w:t xml:space="preserve"> </w:t>
      </w:r>
    </w:p>
    <w:p w14:paraId="01AC5600" w14:textId="77777777" w:rsidR="008D64F9" w:rsidRPr="008D64F9" w:rsidRDefault="008D64F9" w:rsidP="00577563">
      <w:pPr>
        <w:pStyle w:val="ONUMA"/>
        <w:rPr>
          <w:lang w:val="en-AU"/>
        </w:rPr>
      </w:pPr>
      <w:r w:rsidRPr="008D64F9">
        <w:rPr>
          <w:rtl/>
          <w:lang w:bidi="ar-LB"/>
        </w:rPr>
        <w:t>وهناك مسألة مهمة أخرى وهي ما إذا كان يجوز للمؤلف التنازل مقدما عن حق التتبع، أي أنه يتخلى عنه لمعاملة معينة أو بشكل عام (وهذه المسألة لا يتم تناولها بشكل مباشر في المادة 14(ثالثا) ولكن من حيث المبدأ قد تؤدي إلى تقويض شرط عدم قابلية التصرف).</w:t>
      </w:r>
      <w:r w:rsidRPr="008D64F9">
        <w:rPr>
          <w:lang w:val="en-AU"/>
        </w:rPr>
        <w:t xml:space="preserve"> </w:t>
      </w:r>
      <w:r w:rsidRPr="008D64F9">
        <w:rPr>
          <w:rtl/>
          <w:lang w:bidi="ar-LB"/>
        </w:rPr>
        <w:t>وتتضمن العديد من القوانين الوطنية مثل هذا القيد الصريح، ومن الواضح أنه يهدف إلى حماية مصالح المؤلف.</w:t>
      </w:r>
      <w:r w:rsidRPr="008D64F9">
        <w:rPr>
          <w:rFonts w:hint="cs"/>
          <w:rtl/>
          <w:lang w:bidi="ar-LB"/>
        </w:rPr>
        <w:t xml:space="preserve"> </w:t>
      </w:r>
      <w:r w:rsidRPr="008D64F9">
        <w:rPr>
          <w:rtl/>
          <w:lang w:bidi="ar-LB"/>
        </w:rPr>
        <w:t>يسمح قانون آخر تم اعتماده مؤخرًا (نيوزيلندا) لحامل حق التتبع برفض دفع إتاوة إعادة البيع: انظر</w:t>
      </w:r>
      <w:r w:rsidRPr="008D64F9">
        <w:rPr>
          <w:rFonts w:hint="cs"/>
          <w:rtl/>
          <w:lang w:bidi="ar-LB"/>
        </w:rPr>
        <w:t>(ي)</w:t>
      </w:r>
      <w:r w:rsidRPr="008D64F9">
        <w:rPr>
          <w:rtl/>
          <w:lang w:bidi="ar-LB"/>
        </w:rPr>
        <w:t xml:space="preserve"> كذلك الجدول 12 أدناه.</w:t>
      </w:r>
    </w:p>
    <w:p w14:paraId="4B6BDEF8" w14:textId="77777777" w:rsidR="008D64F9" w:rsidRPr="008D64F9" w:rsidRDefault="008D64F9" w:rsidP="00577563">
      <w:pPr>
        <w:pStyle w:val="ONUMA"/>
        <w:rPr>
          <w:rtl/>
          <w:lang w:bidi="ar-LB"/>
        </w:rPr>
      </w:pPr>
      <w:r w:rsidRPr="008D64F9">
        <w:rPr>
          <w:rtl/>
          <w:lang w:bidi="ar-LB"/>
        </w:rPr>
        <w:t>ويحتوي الجدول 12 على بعض الأحكام النموذجية.</w:t>
      </w:r>
    </w:p>
    <w:p w14:paraId="64F223AC" w14:textId="77777777" w:rsidR="008D64F9" w:rsidRPr="008D64F9" w:rsidRDefault="008D64F9" w:rsidP="00577563">
      <w:pPr>
        <w:spacing w:after="240"/>
        <w:rPr>
          <w:rFonts w:asciiTheme="minorHAnsi" w:hAnsiTheme="minorHAnsi" w:cstheme="minorHAnsi"/>
          <w:bCs/>
          <w:rtl/>
          <w:lang w:bidi="ar-LB"/>
        </w:rPr>
      </w:pPr>
      <w:r w:rsidRPr="008D64F9">
        <w:rPr>
          <w:rFonts w:asciiTheme="minorHAnsi" w:hAnsiTheme="minorHAnsi" w:cstheme="minorHAnsi"/>
          <w:bCs/>
          <w:rtl/>
          <w:lang w:bidi="ar-LB"/>
        </w:rPr>
        <w:t>الجدول 12</w:t>
      </w:r>
    </w:p>
    <w:tbl>
      <w:tblPr>
        <w:tblStyle w:val="TableGrid"/>
        <w:bidiVisual/>
        <w:tblW w:w="0" w:type="auto"/>
        <w:tblInd w:w="360" w:type="dxa"/>
        <w:tblLook w:val="04A0" w:firstRow="1" w:lastRow="0" w:firstColumn="1" w:lastColumn="0" w:noHBand="0" w:noVBand="1"/>
      </w:tblPr>
      <w:tblGrid>
        <w:gridCol w:w="2883"/>
        <w:gridCol w:w="2883"/>
        <w:gridCol w:w="2884"/>
      </w:tblGrid>
      <w:tr w:rsidR="008D64F9" w:rsidRPr="008D64F9" w14:paraId="06D206B0" w14:textId="77777777" w:rsidTr="00101B5A">
        <w:tc>
          <w:tcPr>
            <w:tcW w:w="2883" w:type="dxa"/>
          </w:tcPr>
          <w:p w14:paraId="571DB997" w14:textId="77777777" w:rsidR="008D64F9" w:rsidRPr="00577563" w:rsidRDefault="008D64F9" w:rsidP="00577563">
            <w:pPr>
              <w:pStyle w:val="BodyText"/>
              <w:rPr>
                <w:b/>
                <w:bCs/>
                <w:sz w:val="20"/>
                <w:szCs w:val="20"/>
                <w:rtl/>
                <w:lang w:bidi="ar-LB"/>
              </w:rPr>
            </w:pPr>
            <w:r w:rsidRPr="00577563">
              <w:rPr>
                <w:b/>
                <w:bCs/>
                <w:sz w:val="20"/>
                <w:szCs w:val="20"/>
                <w:rtl/>
                <w:lang w:bidi="ar-LB"/>
              </w:rPr>
              <w:t>نوع الحكم</w:t>
            </w:r>
          </w:p>
        </w:tc>
        <w:tc>
          <w:tcPr>
            <w:tcW w:w="2883" w:type="dxa"/>
          </w:tcPr>
          <w:p w14:paraId="2A65BB4F" w14:textId="77777777" w:rsidR="008D64F9" w:rsidRPr="00577563" w:rsidRDefault="008D64F9" w:rsidP="00577563">
            <w:pPr>
              <w:pStyle w:val="BodyText"/>
              <w:rPr>
                <w:b/>
                <w:bCs/>
                <w:sz w:val="20"/>
                <w:szCs w:val="20"/>
                <w:rtl/>
                <w:lang w:bidi="ar-LB"/>
              </w:rPr>
            </w:pPr>
            <w:r w:rsidRPr="00577563">
              <w:rPr>
                <w:b/>
                <w:bCs/>
                <w:sz w:val="20"/>
                <w:szCs w:val="20"/>
                <w:rtl/>
                <w:lang w:bidi="ar-LB"/>
              </w:rPr>
              <w:t>النص المقترح</w:t>
            </w:r>
          </w:p>
        </w:tc>
        <w:tc>
          <w:tcPr>
            <w:tcW w:w="2884" w:type="dxa"/>
          </w:tcPr>
          <w:p w14:paraId="1BCF9D4B" w14:textId="77777777" w:rsidR="008D64F9" w:rsidRPr="00577563" w:rsidRDefault="008D64F9" w:rsidP="00577563">
            <w:pPr>
              <w:pStyle w:val="BodyText"/>
              <w:rPr>
                <w:b/>
                <w:bCs/>
                <w:sz w:val="20"/>
                <w:szCs w:val="20"/>
                <w:rtl/>
                <w:lang w:bidi="ar-LB"/>
              </w:rPr>
            </w:pPr>
            <w:r w:rsidRPr="00577563">
              <w:rPr>
                <w:b/>
                <w:bCs/>
                <w:sz w:val="20"/>
                <w:szCs w:val="20"/>
                <w:rtl/>
                <w:lang w:bidi="ar-LB"/>
              </w:rPr>
              <w:t>تعليقات/ملاحظات</w:t>
            </w:r>
          </w:p>
        </w:tc>
      </w:tr>
      <w:tr w:rsidR="008D64F9" w:rsidRPr="008D64F9" w14:paraId="02FD3818" w14:textId="77777777" w:rsidTr="00101B5A">
        <w:tc>
          <w:tcPr>
            <w:tcW w:w="2883" w:type="dxa"/>
          </w:tcPr>
          <w:p w14:paraId="42574981" w14:textId="77777777" w:rsidR="008D64F9" w:rsidRPr="00577563" w:rsidRDefault="008D64F9" w:rsidP="00577563">
            <w:pPr>
              <w:pStyle w:val="BodyText"/>
              <w:rPr>
                <w:sz w:val="20"/>
                <w:szCs w:val="20"/>
                <w:rtl/>
                <w:lang w:bidi="ar-LB"/>
              </w:rPr>
            </w:pPr>
            <w:r w:rsidRPr="00577563">
              <w:rPr>
                <w:sz w:val="20"/>
                <w:szCs w:val="20"/>
                <w:rtl/>
                <w:lang w:bidi="ar-LB"/>
              </w:rPr>
              <w:t>حكم بسيط يحظر الإحالة والتنازل</w:t>
            </w:r>
            <w:r w:rsidRPr="00577563">
              <w:rPr>
                <w:rFonts w:hint="cs"/>
                <w:sz w:val="20"/>
                <w:szCs w:val="20"/>
                <w:rtl/>
                <w:lang w:bidi="ar-LB"/>
              </w:rPr>
              <w:t xml:space="preserve"> (المفوضية الأوروبية)</w:t>
            </w:r>
          </w:p>
        </w:tc>
        <w:tc>
          <w:tcPr>
            <w:tcW w:w="2883" w:type="dxa"/>
          </w:tcPr>
          <w:p w14:paraId="29ABC337" w14:textId="77777777" w:rsidR="008D64F9" w:rsidRPr="00577563" w:rsidRDefault="008D64F9" w:rsidP="00577563">
            <w:pPr>
              <w:pStyle w:val="BodyText"/>
              <w:rPr>
                <w:sz w:val="20"/>
                <w:szCs w:val="20"/>
                <w:rtl/>
                <w:lang w:bidi="ar-LB"/>
              </w:rPr>
            </w:pPr>
            <w:r w:rsidRPr="00577563">
              <w:rPr>
                <w:sz w:val="20"/>
                <w:szCs w:val="20"/>
                <w:rtl/>
                <w:lang w:bidi="ar-LB"/>
              </w:rPr>
              <w:t>1.</w:t>
            </w:r>
            <w:r w:rsidRPr="00577563">
              <w:rPr>
                <w:sz w:val="20"/>
                <w:szCs w:val="20"/>
                <w:lang w:val="en-AU"/>
              </w:rPr>
              <w:t xml:space="preserve"> </w:t>
            </w:r>
            <w:r w:rsidRPr="00577563">
              <w:rPr>
                <w:sz w:val="20"/>
                <w:szCs w:val="20"/>
                <w:rtl/>
                <w:lang w:bidi="ar-LB"/>
              </w:rPr>
              <w:t>تنص الدول الأعضاء على حق التتبع لصالح مؤلف المصنف الفني الأصلي، والذي يعرف بأنه حق غير قابل للتصرف ولا يمكن التنازل عنه، حتى مقدمًا، والذي بموجبه يحق للمؤلف الحصول على إتاوات على أساس سعر البيع الذي تم الحصول عليه خلال أي عملية إعادة بيع للمصنف بعد أول نقل لملكية المصنف من قبل المؤلف.</w:t>
            </w:r>
            <w:r w:rsidRPr="00577563">
              <w:rPr>
                <w:sz w:val="20"/>
                <w:szCs w:val="20"/>
                <w:vertAlign w:val="superscript"/>
                <w:lang w:val="en-GB"/>
              </w:rPr>
              <w:footnoteReference w:id="102"/>
            </w:r>
          </w:p>
        </w:tc>
        <w:tc>
          <w:tcPr>
            <w:tcW w:w="2884" w:type="dxa"/>
          </w:tcPr>
          <w:p w14:paraId="3D6CD74B" w14:textId="77777777" w:rsidR="008D64F9" w:rsidRPr="00577563" w:rsidRDefault="008D64F9">
            <w:pPr>
              <w:pStyle w:val="BodyText"/>
              <w:numPr>
                <w:ilvl w:val="0"/>
                <w:numId w:val="17"/>
              </w:numPr>
              <w:ind w:left="360"/>
              <w:rPr>
                <w:sz w:val="20"/>
                <w:szCs w:val="20"/>
                <w:rtl/>
                <w:lang w:bidi="ar-LB"/>
              </w:rPr>
            </w:pPr>
            <w:r w:rsidRPr="00577563">
              <w:rPr>
                <w:sz w:val="20"/>
                <w:szCs w:val="20"/>
                <w:rtl/>
                <w:lang w:bidi="ar-LB"/>
              </w:rPr>
              <w:t>يحظر هذا الحكم التصرف بحق التتبع أو نقله، فضلاً عن التنازل عن ممارسة هذا الحق باستخدام عبارات واضحة.</w:t>
            </w:r>
            <w:r w:rsidRPr="00577563">
              <w:rPr>
                <w:sz w:val="20"/>
                <w:szCs w:val="20"/>
                <w:lang w:val="en-AU"/>
              </w:rPr>
              <w:t xml:space="preserve"> </w:t>
            </w:r>
          </w:p>
          <w:p w14:paraId="138C2892" w14:textId="77777777" w:rsidR="008D64F9" w:rsidRPr="00577563" w:rsidRDefault="008D64F9">
            <w:pPr>
              <w:pStyle w:val="BodyText"/>
              <w:numPr>
                <w:ilvl w:val="0"/>
                <w:numId w:val="17"/>
              </w:numPr>
              <w:ind w:left="360"/>
              <w:rPr>
                <w:sz w:val="20"/>
                <w:szCs w:val="20"/>
                <w:rtl/>
                <w:lang w:bidi="ar-LB"/>
              </w:rPr>
            </w:pPr>
            <w:r w:rsidRPr="00577563">
              <w:rPr>
                <w:sz w:val="20"/>
                <w:szCs w:val="20"/>
                <w:rtl/>
                <w:lang w:bidi="ar-LB"/>
              </w:rPr>
              <w:t>قد يكون من المفضل توضيح مصطلح "التصرف"، على سبيل المثال قد يكون من المفيد الإشارة، كما في المثال التالي، إلى أنه يشمل نقل الحقّ كهبة أو مقابل منفعة.</w:t>
            </w:r>
          </w:p>
        </w:tc>
      </w:tr>
      <w:tr w:rsidR="008D64F9" w:rsidRPr="008D64F9" w14:paraId="2499C2A1" w14:textId="77777777" w:rsidTr="00101B5A">
        <w:tc>
          <w:tcPr>
            <w:tcW w:w="2883" w:type="dxa"/>
          </w:tcPr>
          <w:p w14:paraId="475D9608" w14:textId="77777777" w:rsidR="008D64F9" w:rsidRPr="00577563" w:rsidRDefault="008D64F9" w:rsidP="00577563">
            <w:pPr>
              <w:pStyle w:val="BodyText"/>
              <w:rPr>
                <w:sz w:val="20"/>
                <w:szCs w:val="20"/>
                <w:rtl/>
                <w:lang w:bidi="ar-LB"/>
              </w:rPr>
            </w:pPr>
            <w:r w:rsidRPr="00577563">
              <w:rPr>
                <w:sz w:val="20"/>
                <w:szCs w:val="20"/>
                <w:rtl/>
                <w:lang w:bidi="ar-LB"/>
              </w:rPr>
              <w:lastRenderedPageBreak/>
              <w:t>حكم مماثل يمنع الإحالة أو التنازل</w:t>
            </w:r>
            <w:r w:rsidRPr="00577563">
              <w:rPr>
                <w:rFonts w:hint="cs"/>
                <w:sz w:val="20"/>
                <w:szCs w:val="20"/>
                <w:rtl/>
                <w:lang w:bidi="ar-LB"/>
              </w:rPr>
              <w:t xml:space="preserve"> (اليونان)</w:t>
            </w:r>
          </w:p>
        </w:tc>
        <w:tc>
          <w:tcPr>
            <w:tcW w:w="2883" w:type="dxa"/>
          </w:tcPr>
          <w:p w14:paraId="6C519C47" w14:textId="77777777" w:rsidR="008D64F9" w:rsidRPr="00577563" w:rsidDel="00EF0D3E" w:rsidRDefault="008D64F9" w:rsidP="00577563">
            <w:pPr>
              <w:pStyle w:val="BodyText"/>
              <w:rPr>
                <w:sz w:val="20"/>
                <w:szCs w:val="20"/>
                <w:rtl/>
                <w:lang w:bidi="ar-LB"/>
              </w:rPr>
            </w:pPr>
            <w:r w:rsidRPr="00577563">
              <w:rPr>
                <w:sz w:val="20"/>
                <w:szCs w:val="20"/>
                <w:rtl/>
                <w:lang w:bidi="ar-LB"/>
              </w:rPr>
              <w:t>1. يتمتع مؤلف المصنف الفني الأصلي بحق التتبع، والذي يعرف بأنه حق غير قابل للتصرف بين الأشخاص الأحياء، ولا يمكن التنازل عنه، حتى مقدمًا، والذي بموجبه يحق للمؤلف الحصول على إتاوات على أساس سعر البيع الذي تم الحصول عليه خلال أي عملية إعادة بيع للمصنف بعد أول نقل لملكية المصنف من قبل المؤلف.</w:t>
            </w:r>
            <w:r w:rsidRPr="00577563">
              <w:rPr>
                <w:sz w:val="20"/>
                <w:szCs w:val="20"/>
                <w:vertAlign w:val="superscript"/>
                <w:lang w:val="en-AU"/>
              </w:rPr>
              <w:footnoteReference w:id="103"/>
            </w:r>
          </w:p>
        </w:tc>
        <w:tc>
          <w:tcPr>
            <w:tcW w:w="2884" w:type="dxa"/>
          </w:tcPr>
          <w:p w14:paraId="11E54BCD" w14:textId="77777777" w:rsidR="008D64F9" w:rsidRPr="00577563" w:rsidRDefault="008D64F9">
            <w:pPr>
              <w:pStyle w:val="BodyText"/>
              <w:numPr>
                <w:ilvl w:val="0"/>
                <w:numId w:val="17"/>
              </w:numPr>
              <w:ind w:left="360"/>
              <w:rPr>
                <w:sz w:val="20"/>
                <w:szCs w:val="20"/>
                <w:rtl/>
                <w:lang w:bidi="ar-LB"/>
              </w:rPr>
            </w:pPr>
            <w:r w:rsidRPr="00577563">
              <w:rPr>
                <w:sz w:val="20"/>
                <w:szCs w:val="20"/>
                <w:rtl/>
                <w:lang w:bidi="ar-LB"/>
              </w:rPr>
              <w:t>يحدد أنه لا يمكن تقديم التنازل مسبقًا (حماية شديدة لحق المؤلف).</w:t>
            </w:r>
          </w:p>
        </w:tc>
      </w:tr>
      <w:tr w:rsidR="008D64F9" w:rsidRPr="008D64F9" w14:paraId="26936E7C" w14:textId="77777777" w:rsidTr="00101B5A">
        <w:tc>
          <w:tcPr>
            <w:tcW w:w="2883" w:type="dxa"/>
          </w:tcPr>
          <w:p w14:paraId="39CC5515" w14:textId="77777777" w:rsidR="008D64F9" w:rsidRPr="00577563" w:rsidRDefault="008D64F9" w:rsidP="00577563">
            <w:pPr>
              <w:pStyle w:val="BodyText"/>
              <w:rPr>
                <w:sz w:val="20"/>
                <w:szCs w:val="20"/>
                <w:rtl/>
                <w:lang w:bidi="ar-LB"/>
              </w:rPr>
            </w:pPr>
            <w:r w:rsidRPr="00577563">
              <w:rPr>
                <w:sz w:val="20"/>
                <w:szCs w:val="20"/>
                <w:rtl/>
                <w:lang w:bidi="ar-LB"/>
              </w:rPr>
              <w:t>أحكام أكثر تفصيلاً تحظر الإحالة والرهن والتنازل</w:t>
            </w:r>
            <w:r w:rsidRPr="00577563">
              <w:rPr>
                <w:rFonts w:hint="cs"/>
                <w:sz w:val="20"/>
                <w:szCs w:val="20"/>
                <w:rtl/>
                <w:lang w:bidi="ar-LB"/>
              </w:rPr>
              <w:t xml:space="preserve"> (المملكة المتحدة)</w:t>
            </w:r>
          </w:p>
        </w:tc>
        <w:tc>
          <w:tcPr>
            <w:tcW w:w="2883" w:type="dxa"/>
          </w:tcPr>
          <w:p w14:paraId="6EE8E21D" w14:textId="77777777" w:rsidR="008D64F9" w:rsidRPr="00577563" w:rsidRDefault="008D64F9" w:rsidP="00577563">
            <w:pPr>
              <w:pStyle w:val="BodyText"/>
              <w:rPr>
                <w:sz w:val="20"/>
                <w:szCs w:val="20"/>
                <w:rtl/>
                <w:lang w:bidi="ar-LB"/>
              </w:rPr>
            </w:pPr>
            <w:r w:rsidRPr="00577563">
              <w:rPr>
                <w:sz w:val="20"/>
                <w:szCs w:val="20"/>
                <w:rtl/>
                <w:lang w:bidi="ar-LB"/>
              </w:rPr>
              <w:t>7(1) حق التتبع هو حق غير قابل للإحالة.</w:t>
            </w:r>
          </w:p>
          <w:p w14:paraId="77376A6B" w14:textId="77777777" w:rsidR="008D64F9" w:rsidRPr="00577563" w:rsidRDefault="008D64F9" w:rsidP="00577563">
            <w:pPr>
              <w:pStyle w:val="BodyText"/>
              <w:rPr>
                <w:sz w:val="20"/>
                <w:szCs w:val="20"/>
                <w:rtl/>
                <w:lang w:bidi="ar-LB"/>
              </w:rPr>
            </w:pPr>
            <w:r w:rsidRPr="00577563">
              <w:rPr>
                <w:sz w:val="20"/>
                <w:szCs w:val="20"/>
                <w:rtl/>
                <w:lang w:bidi="ar-LB"/>
              </w:rPr>
              <w:t>(2) أي رهن لحق التتبع هو باطل.</w:t>
            </w:r>
          </w:p>
          <w:p w14:paraId="23FA7CB0" w14:textId="77777777" w:rsidR="008D64F9" w:rsidRPr="00577563" w:rsidRDefault="008D64F9" w:rsidP="00577563">
            <w:pPr>
              <w:pStyle w:val="BodyText"/>
              <w:rPr>
                <w:sz w:val="20"/>
                <w:szCs w:val="20"/>
                <w:rtl/>
                <w:lang w:bidi="ar-LB"/>
              </w:rPr>
            </w:pPr>
            <w:r w:rsidRPr="00577563">
              <w:rPr>
                <w:sz w:val="20"/>
                <w:szCs w:val="20"/>
                <w:rtl/>
                <w:lang w:bidi="ar-LB"/>
              </w:rPr>
              <w:t>…</w:t>
            </w:r>
          </w:p>
          <w:p w14:paraId="5B8E427A" w14:textId="77777777" w:rsidR="008D64F9" w:rsidRPr="00577563" w:rsidRDefault="008D64F9" w:rsidP="00577563">
            <w:pPr>
              <w:pStyle w:val="BodyText"/>
              <w:rPr>
                <w:sz w:val="20"/>
                <w:szCs w:val="20"/>
                <w:rtl/>
                <w:lang w:bidi="ar-LB"/>
              </w:rPr>
            </w:pPr>
            <w:r w:rsidRPr="00577563">
              <w:rPr>
                <w:sz w:val="20"/>
                <w:szCs w:val="20"/>
                <w:rtl/>
                <w:lang w:bidi="ar-LB"/>
              </w:rPr>
              <w:t>8(1) ان أي تنازل عن حق التتبع لن يكون له أي أثر.</w:t>
            </w:r>
          </w:p>
          <w:p w14:paraId="7B993AA7" w14:textId="77777777" w:rsidR="008D64F9" w:rsidRPr="00577563" w:rsidRDefault="008D64F9" w:rsidP="00577563">
            <w:pPr>
              <w:pStyle w:val="BodyText"/>
              <w:rPr>
                <w:sz w:val="20"/>
                <w:szCs w:val="20"/>
                <w:rtl/>
                <w:lang w:bidi="ar-LB"/>
              </w:rPr>
            </w:pPr>
            <w:r w:rsidRPr="00577563">
              <w:rPr>
                <w:sz w:val="20"/>
                <w:szCs w:val="20"/>
                <w:rtl/>
                <w:lang w:bidi="ar-LB"/>
              </w:rPr>
              <w:t>(2) أي اتفاقية لتقاسم إتاوات حق التتبع أو سدادها هي اتفاقية باطلة.</w:t>
            </w:r>
          </w:p>
          <w:p w14:paraId="406C0DEE" w14:textId="77777777" w:rsidR="008D64F9" w:rsidRPr="00577563" w:rsidRDefault="008D64F9" w:rsidP="00577563">
            <w:pPr>
              <w:pStyle w:val="BodyText"/>
              <w:rPr>
                <w:sz w:val="20"/>
                <w:szCs w:val="20"/>
                <w:rtl/>
                <w:lang w:bidi="ar-LB"/>
              </w:rPr>
            </w:pPr>
            <w:r w:rsidRPr="00577563">
              <w:rPr>
                <w:sz w:val="20"/>
                <w:szCs w:val="20"/>
                <w:rtl/>
                <w:lang w:bidi="ar-LB"/>
              </w:rPr>
              <w:t>(5) لا تؤثر الفقرة (2) على أي اتفاق يتم إبرامه مع منظمة إدارة جماعية لأغراض إدارة حق التتبع وفقًا للائحة رقم 14.</w:t>
            </w:r>
            <w:r w:rsidRPr="00577563">
              <w:rPr>
                <w:sz w:val="20"/>
                <w:szCs w:val="20"/>
                <w:vertAlign w:val="superscript"/>
                <w:lang w:val="en-GB"/>
              </w:rPr>
              <w:footnoteReference w:id="104"/>
            </w:r>
          </w:p>
        </w:tc>
        <w:tc>
          <w:tcPr>
            <w:tcW w:w="2884" w:type="dxa"/>
          </w:tcPr>
          <w:p w14:paraId="0C5F47A5" w14:textId="77777777" w:rsidR="008D64F9" w:rsidRPr="00577563" w:rsidRDefault="008D64F9">
            <w:pPr>
              <w:pStyle w:val="BodyText"/>
              <w:numPr>
                <w:ilvl w:val="0"/>
                <w:numId w:val="17"/>
              </w:numPr>
              <w:ind w:left="360"/>
              <w:rPr>
                <w:sz w:val="20"/>
                <w:szCs w:val="20"/>
                <w:rtl/>
                <w:lang w:bidi="ar-LB"/>
              </w:rPr>
            </w:pPr>
            <w:r w:rsidRPr="00577563">
              <w:rPr>
                <w:sz w:val="20"/>
                <w:szCs w:val="20"/>
                <w:rtl/>
                <w:lang w:bidi="ar-LB"/>
              </w:rPr>
              <w:t>يوضح أن التصرف (النقل أو الإحالة) يشمل نقل الحق كهبة</w:t>
            </w:r>
          </w:p>
          <w:p w14:paraId="3E4C32CC" w14:textId="77777777" w:rsidR="008D64F9" w:rsidRPr="00577563" w:rsidRDefault="008D64F9">
            <w:pPr>
              <w:pStyle w:val="BodyText"/>
              <w:numPr>
                <w:ilvl w:val="0"/>
                <w:numId w:val="17"/>
              </w:numPr>
              <w:ind w:left="360"/>
              <w:rPr>
                <w:sz w:val="20"/>
                <w:szCs w:val="20"/>
                <w:rtl/>
                <w:lang w:bidi="ar-LB"/>
              </w:rPr>
            </w:pPr>
            <w:r w:rsidRPr="00577563">
              <w:rPr>
                <w:sz w:val="20"/>
                <w:szCs w:val="20"/>
                <w:rtl/>
                <w:lang w:bidi="ar-LB"/>
              </w:rPr>
              <w:t>يؤكد أن الحظر المفروض على التصرف لا يسمح لصاحب حق التتبع برهن الحق كضمانة.</w:t>
            </w:r>
          </w:p>
          <w:p w14:paraId="0C459C3F" w14:textId="77777777" w:rsidR="008D64F9" w:rsidRPr="00577563" w:rsidRDefault="008D64F9">
            <w:pPr>
              <w:pStyle w:val="BodyText"/>
              <w:numPr>
                <w:ilvl w:val="0"/>
                <w:numId w:val="17"/>
              </w:numPr>
              <w:ind w:left="360"/>
              <w:rPr>
                <w:sz w:val="20"/>
                <w:szCs w:val="20"/>
                <w:rtl/>
                <w:lang w:bidi="ar-LB"/>
              </w:rPr>
            </w:pPr>
            <w:r w:rsidRPr="00577563">
              <w:rPr>
                <w:sz w:val="20"/>
                <w:szCs w:val="20"/>
                <w:rtl/>
                <w:lang w:bidi="ar-LB"/>
              </w:rPr>
              <w:t>يمنع التنازل عن حق التتبع</w:t>
            </w:r>
          </w:p>
          <w:p w14:paraId="6587D215" w14:textId="77777777" w:rsidR="008D64F9" w:rsidRPr="00577563" w:rsidRDefault="008D64F9">
            <w:pPr>
              <w:pStyle w:val="BodyText"/>
              <w:numPr>
                <w:ilvl w:val="0"/>
                <w:numId w:val="17"/>
              </w:numPr>
              <w:ind w:left="360"/>
              <w:rPr>
                <w:sz w:val="20"/>
                <w:szCs w:val="20"/>
                <w:rtl/>
                <w:lang w:bidi="ar-LB"/>
              </w:rPr>
            </w:pPr>
            <w:r w:rsidRPr="00577563">
              <w:rPr>
                <w:sz w:val="20"/>
                <w:szCs w:val="20"/>
                <w:rtl/>
                <w:lang w:bidi="ar-LB"/>
              </w:rPr>
              <w:t xml:space="preserve">يستثني أي اتفاقية لتقاسم إتاوات حق التتبع باستثناء الترتيبات المبرمة مع منظمة إدارة جماعية فيما يتعلق بإدارة الحق، على سبيل المثال رسوم الإدارة وما شابه ذلك.  </w:t>
            </w:r>
          </w:p>
        </w:tc>
      </w:tr>
      <w:tr w:rsidR="008D64F9" w:rsidRPr="008D64F9" w14:paraId="691303CE" w14:textId="77777777" w:rsidTr="00101B5A">
        <w:tc>
          <w:tcPr>
            <w:tcW w:w="2883" w:type="dxa"/>
          </w:tcPr>
          <w:p w14:paraId="01025262" w14:textId="77777777" w:rsidR="008D64F9" w:rsidRPr="00577563" w:rsidRDefault="008D64F9" w:rsidP="00577563">
            <w:pPr>
              <w:pStyle w:val="BodyText"/>
              <w:rPr>
                <w:sz w:val="20"/>
                <w:szCs w:val="20"/>
                <w:rtl/>
                <w:lang w:bidi="ar-LB"/>
              </w:rPr>
            </w:pPr>
            <w:r w:rsidRPr="00577563">
              <w:rPr>
                <w:sz w:val="20"/>
                <w:szCs w:val="20"/>
                <w:rtl/>
                <w:lang w:bidi="ar-LB"/>
              </w:rPr>
              <w:t>حكم آخر مفصل يتناول الإحالة والتنازل</w:t>
            </w:r>
            <w:r w:rsidRPr="00577563">
              <w:rPr>
                <w:rFonts w:hint="cs"/>
                <w:sz w:val="20"/>
                <w:szCs w:val="20"/>
                <w:rtl/>
                <w:lang w:bidi="ar-LB"/>
              </w:rPr>
              <w:t xml:space="preserve"> (أستراليا)</w:t>
            </w:r>
          </w:p>
        </w:tc>
        <w:tc>
          <w:tcPr>
            <w:tcW w:w="2883" w:type="dxa"/>
          </w:tcPr>
          <w:p w14:paraId="511F2A14" w14:textId="77777777" w:rsidR="008D64F9" w:rsidRPr="00364BBC" w:rsidRDefault="008D64F9" w:rsidP="00577563">
            <w:pPr>
              <w:pStyle w:val="BodyText"/>
              <w:rPr>
                <w:b/>
                <w:bCs/>
                <w:sz w:val="20"/>
                <w:szCs w:val="20"/>
                <w:rtl/>
                <w:lang w:bidi="ar-LB"/>
              </w:rPr>
            </w:pPr>
            <w:r w:rsidRPr="00364BBC">
              <w:rPr>
                <w:b/>
                <w:bCs/>
                <w:sz w:val="20"/>
                <w:szCs w:val="20"/>
                <w:rtl/>
                <w:lang w:bidi="ar-LB"/>
              </w:rPr>
              <w:t xml:space="preserve">33 حق </w:t>
            </w:r>
            <w:r w:rsidRPr="00364BBC">
              <w:rPr>
                <w:rFonts w:hint="cs"/>
                <w:b/>
                <w:bCs/>
                <w:sz w:val="20"/>
                <w:szCs w:val="20"/>
                <w:rtl/>
                <w:lang w:bidi="ar-LB"/>
              </w:rPr>
              <w:t xml:space="preserve">إتاوة </w:t>
            </w:r>
            <w:r w:rsidRPr="00364BBC">
              <w:rPr>
                <w:b/>
                <w:bCs/>
                <w:sz w:val="20"/>
                <w:szCs w:val="20"/>
                <w:rtl/>
                <w:lang w:bidi="ar-LB"/>
              </w:rPr>
              <w:t>إعادة البيع غير قابل للتصرف على الإطلاق</w:t>
            </w:r>
          </w:p>
          <w:p w14:paraId="339E2F1D" w14:textId="77777777" w:rsidR="008D64F9" w:rsidRPr="00577563" w:rsidRDefault="008D64F9" w:rsidP="00577563">
            <w:pPr>
              <w:pStyle w:val="BodyText"/>
              <w:rPr>
                <w:sz w:val="20"/>
                <w:szCs w:val="20"/>
                <w:rtl/>
                <w:lang w:bidi="ar-LB"/>
              </w:rPr>
            </w:pPr>
            <w:r w:rsidRPr="00577563">
              <w:rPr>
                <w:sz w:val="20"/>
                <w:szCs w:val="20"/>
                <w:rtl/>
                <w:lang w:bidi="ar-LB"/>
              </w:rPr>
              <w:t xml:space="preserve">حق </w:t>
            </w:r>
            <w:r w:rsidRPr="00577563">
              <w:rPr>
                <w:rFonts w:hint="cs"/>
                <w:sz w:val="20"/>
                <w:szCs w:val="20"/>
                <w:rtl/>
                <w:lang w:bidi="ar-LB"/>
              </w:rPr>
              <w:t xml:space="preserve">إتاوة </w:t>
            </w:r>
            <w:r w:rsidRPr="00577563">
              <w:rPr>
                <w:sz w:val="20"/>
                <w:szCs w:val="20"/>
                <w:rtl/>
                <w:lang w:bidi="ar-LB"/>
              </w:rPr>
              <w:t>إعادة البيع هو حق غير قابل للتصرف على الإطلاق، سواء عن طريق البيع أو الإحالة أو الرهن أو التنفيذ أو الإفلاس أو الإعسار (الخ)، أو كنتيجة لذلك.</w:t>
            </w:r>
          </w:p>
          <w:p w14:paraId="5682356A" w14:textId="77777777" w:rsidR="008D64F9" w:rsidRPr="00577563" w:rsidRDefault="008D64F9" w:rsidP="00577563">
            <w:pPr>
              <w:pStyle w:val="BodyText"/>
              <w:rPr>
                <w:sz w:val="20"/>
                <w:szCs w:val="20"/>
                <w:rtl/>
                <w:lang w:bidi="ar-LB"/>
              </w:rPr>
            </w:pPr>
            <w:r w:rsidRPr="00577563">
              <w:rPr>
                <w:sz w:val="20"/>
                <w:szCs w:val="20"/>
                <w:rtl/>
                <w:lang w:bidi="ar-LB"/>
              </w:rPr>
              <w:t>34 التنازل وما إلى ذلك.</w:t>
            </w:r>
          </w:p>
          <w:p w14:paraId="5C480118" w14:textId="77777777" w:rsidR="008D64F9" w:rsidRPr="00577563" w:rsidRDefault="008D64F9" w:rsidP="00577563">
            <w:pPr>
              <w:pStyle w:val="BodyText"/>
              <w:rPr>
                <w:sz w:val="20"/>
                <w:szCs w:val="20"/>
                <w:rtl/>
                <w:lang w:bidi="ar-LB"/>
              </w:rPr>
            </w:pPr>
            <w:r w:rsidRPr="00577563">
              <w:rPr>
                <w:rFonts w:hint="cs"/>
                <w:sz w:val="20"/>
                <w:szCs w:val="20"/>
                <w:rtl/>
                <w:lang w:bidi="ar-LB"/>
              </w:rPr>
              <w:t>(1) إ</w:t>
            </w:r>
            <w:r w:rsidRPr="00577563">
              <w:rPr>
                <w:sz w:val="20"/>
                <w:szCs w:val="20"/>
                <w:rtl/>
                <w:lang w:bidi="ar-LB"/>
              </w:rPr>
              <w:t xml:space="preserve">ن أي تنازل عن حق </w:t>
            </w:r>
            <w:r w:rsidRPr="00577563">
              <w:rPr>
                <w:rFonts w:hint="cs"/>
                <w:sz w:val="20"/>
                <w:szCs w:val="20"/>
                <w:rtl/>
                <w:lang w:bidi="ar-LB"/>
              </w:rPr>
              <w:t xml:space="preserve">إتاوة </w:t>
            </w:r>
            <w:r w:rsidRPr="00577563">
              <w:rPr>
                <w:sz w:val="20"/>
                <w:szCs w:val="20"/>
                <w:rtl/>
                <w:lang w:bidi="ar-LB"/>
              </w:rPr>
              <w:t>إعادة البيع لن يكون له أي أثر.</w:t>
            </w:r>
          </w:p>
          <w:p w14:paraId="515ECA89" w14:textId="77777777" w:rsidR="008D64F9" w:rsidRPr="00577563" w:rsidRDefault="008D64F9" w:rsidP="00577563">
            <w:pPr>
              <w:pStyle w:val="BodyText"/>
              <w:rPr>
                <w:sz w:val="20"/>
                <w:szCs w:val="20"/>
                <w:rtl/>
                <w:lang w:bidi="ar-LB"/>
              </w:rPr>
            </w:pPr>
            <w:r w:rsidRPr="00577563">
              <w:rPr>
                <w:sz w:val="20"/>
                <w:szCs w:val="20"/>
                <w:rtl/>
                <w:lang w:bidi="ar-LB"/>
              </w:rPr>
              <w:t>(</w:t>
            </w:r>
            <w:r w:rsidRPr="00577563">
              <w:rPr>
                <w:rFonts w:hint="cs"/>
                <w:sz w:val="20"/>
                <w:szCs w:val="20"/>
                <w:rtl/>
                <w:lang w:bidi="ar-LB"/>
              </w:rPr>
              <w:t>2</w:t>
            </w:r>
            <w:r w:rsidRPr="00577563">
              <w:rPr>
                <w:sz w:val="20"/>
                <w:szCs w:val="20"/>
                <w:rtl/>
                <w:lang w:bidi="ar-LB"/>
              </w:rPr>
              <w:t>) أي اتفاقية لتقاسم إتاوات حق التتبع أو سدادها، بخلاف ما هو مسموح به في هذا القانون، هي اتفاقية باطلة.</w:t>
            </w:r>
            <w:r w:rsidRPr="00577563">
              <w:rPr>
                <w:sz w:val="20"/>
                <w:szCs w:val="20"/>
                <w:vertAlign w:val="superscript"/>
                <w:lang w:val="en-AU"/>
              </w:rPr>
              <w:footnoteReference w:id="105"/>
            </w:r>
            <w:r w:rsidRPr="00577563">
              <w:rPr>
                <w:sz w:val="20"/>
                <w:szCs w:val="20"/>
                <w:lang w:val="en-AU"/>
              </w:rPr>
              <w:t xml:space="preserve"> </w:t>
            </w:r>
          </w:p>
        </w:tc>
        <w:tc>
          <w:tcPr>
            <w:tcW w:w="2884" w:type="dxa"/>
          </w:tcPr>
          <w:p w14:paraId="3C8CDB49" w14:textId="77777777" w:rsidR="008D64F9" w:rsidRPr="00577563" w:rsidRDefault="008D64F9">
            <w:pPr>
              <w:pStyle w:val="BodyText"/>
              <w:numPr>
                <w:ilvl w:val="0"/>
                <w:numId w:val="17"/>
              </w:numPr>
              <w:ind w:left="360"/>
              <w:rPr>
                <w:sz w:val="20"/>
                <w:szCs w:val="20"/>
                <w:rtl/>
                <w:lang w:bidi="ar-LB"/>
              </w:rPr>
            </w:pPr>
            <w:r w:rsidRPr="00577563">
              <w:rPr>
                <w:sz w:val="20"/>
                <w:szCs w:val="20"/>
                <w:rtl/>
                <w:lang w:bidi="ar-LB"/>
              </w:rPr>
              <w:t>حكم شبيه بالحكم السابق مع بعض التعديلات.</w:t>
            </w:r>
          </w:p>
          <w:p w14:paraId="02C5607B" w14:textId="77777777" w:rsidR="008D64F9" w:rsidRPr="00577563" w:rsidRDefault="008D64F9">
            <w:pPr>
              <w:pStyle w:val="BodyText"/>
              <w:numPr>
                <w:ilvl w:val="0"/>
                <w:numId w:val="17"/>
              </w:numPr>
              <w:ind w:left="360"/>
              <w:rPr>
                <w:sz w:val="20"/>
                <w:szCs w:val="20"/>
                <w:rtl/>
                <w:lang w:bidi="ar-LB"/>
              </w:rPr>
            </w:pPr>
            <w:r w:rsidRPr="00577563">
              <w:rPr>
                <w:sz w:val="20"/>
                <w:szCs w:val="20"/>
                <w:rtl/>
                <w:lang w:bidi="ar-LB"/>
              </w:rPr>
              <w:t>يسمح البند الفرعي (</w:t>
            </w:r>
            <w:r w:rsidRPr="00577563">
              <w:rPr>
                <w:rFonts w:hint="cs"/>
                <w:sz w:val="20"/>
                <w:szCs w:val="20"/>
                <w:rtl/>
                <w:lang w:bidi="ar-LB"/>
              </w:rPr>
              <w:t>34</w:t>
            </w:r>
            <w:r w:rsidRPr="00577563">
              <w:rPr>
                <w:sz w:val="20"/>
                <w:szCs w:val="20"/>
                <w:rtl/>
                <w:lang w:bidi="ar-LB"/>
              </w:rPr>
              <w:t>)</w:t>
            </w:r>
            <w:r w:rsidRPr="00577563">
              <w:rPr>
                <w:rFonts w:hint="cs"/>
                <w:sz w:val="20"/>
                <w:szCs w:val="20"/>
                <w:rtl/>
                <w:lang w:bidi="ar-LB"/>
              </w:rPr>
              <w:t>(2)</w:t>
            </w:r>
            <w:r w:rsidRPr="00577563">
              <w:rPr>
                <w:sz w:val="20"/>
                <w:szCs w:val="20"/>
                <w:rtl/>
                <w:lang w:bidi="ar-LB"/>
              </w:rPr>
              <w:t xml:space="preserve"> بإجراء ترتيبات مع منظمات الإدارة الجماعية لإدارة حق التتبع.</w:t>
            </w:r>
            <w:r w:rsidRPr="00577563">
              <w:rPr>
                <w:sz w:val="20"/>
                <w:szCs w:val="20"/>
                <w:lang w:val="en-AU"/>
              </w:rPr>
              <w:t xml:space="preserve"> </w:t>
            </w:r>
          </w:p>
        </w:tc>
      </w:tr>
      <w:tr w:rsidR="008D64F9" w:rsidRPr="008D64F9" w14:paraId="41A51A5B" w14:textId="77777777" w:rsidTr="00101B5A">
        <w:tc>
          <w:tcPr>
            <w:tcW w:w="2883" w:type="dxa"/>
          </w:tcPr>
          <w:p w14:paraId="1985EDBA" w14:textId="77777777" w:rsidR="008D64F9" w:rsidRPr="00577563" w:rsidRDefault="008D64F9" w:rsidP="00577563">
            <w:pPr>
              <w:pStyle w:val="BodyText"/>
              <w:rPr>
                <w:sz w:val="20"/>
                <w:szCs w:val="20"/>
                <w:rtl/>
                <w:lang w:bidi="ar-LB"/>
              </w:rPr>
            </w:pPr>
            <w:r w:rsidRPr="00577563">
              <w:rPr>
                <w:sz w:val="20"/>
                <w:szCs w:val="20"/>
                <w:rtl/>
                <w:lang w:bidi="ar-LB"/>
              </w:rPr>
              <w:t>حكم آخر يتناول الإحالة والتنازل ومسائل أخرى بعد التصرّف بالمصنف (لاتفيا)</w:t>
            </w:r>
            <w:r w:rsidRPr="00577563">
              <w:rPr>
                <w:sz w:val="20"/>
                <w:szCs w:val="20"/>
                <w:lang w:val="en-AU"/>
              </w:rPr>
              <w:t xml:space="preserve"> </w:t>
            </w:r>
          </w:p>
        </w:tc>
        <w:tc>
          <w:tcPr>
            <w:tcW w:w="2883" w:type="dxa"/>
          </w:tcPr>
          <w:p w14:paraId="41FDB4AA" w14:textId="77777777" w:rsidR="008D64F9" w:rsidRPr="00577563" w:rsidRDefault="008D64F9" w:rsidP="00577563">
            <w:pPr>
              <w:pStyle w:val="BodyText"/>
              <w:rPr>
                <w:sz w:val="20"/>
                <w:szCs w:val="20"/>
                <w:rtl/>
                <w:lang w:bidi="ar-LB"/>
              </w:rPr>
            </w:pPr>
            <w:r w:rsidRPr="00577563">
              <w:rPr>
                <w:rFonts w:hint="cs"/>
                <w:sz w:val="20"/>
                <w:szCs w:val="20"/>
                <w:rtl/>
                <w:lang w:bidi="ar-LB"/>
              </w:rPr>
              <w:t>17</w:t>
            </w:r>
            <w:r w:rsidRPr="00577563">
              <w:rPr>
                <w:sz w:val="20"/>
                <w:szCs w:val="20"/>
                <w:rtl/>
                <w:lang w:bidi="ar-LB"/>
              </w:rPr>
              <w:t>(1) يحتفظ المؤلفون بحق غير قابل للتصرف في تلقي عائدات عن المصنفات الفنية البصرية الأصلية التي تم نقل ملكيتها إلى شخص آخر.</w:t>
            </w:r>
            <w:r w:rsidRPr="00577563">
              <w:rPr>
                <w:sz w:val="20"/>
                <w:szCs w:val="20"/>
                <w:lang w:val="en-AU"/>
              </w:rPr>
              <w:t xml:space="preserve"> </w:t>
            </w:r>
            <w:r w:rsidRPr="00577563">
              <w:rPr>
                <w:sz w:val="20"/>
                <w:szCs w:val="20"/>
                <w:rtl/>
                <w:lang w:bidi="ar-LB"/>
              </w:rPr>
              <w:t>وان أي اتفاقية يتنازل بموجبها المؤلف عن حقه في تلقي العائدات في المستقبل هي اتفاقية باطلة.</w:t>
            </w:r>
            <w:r w:rsidRPr="00577563">
              <w:rPr>
                <w:sz w:val="20"/>
                <w:szCs w:val="20"/>
                <w:lang w:val="en-AU"/>
              </w:rPr>
              <w:t xml:space="preserve"> </w:t>
            </w:r>
            <w:r w:rsidRPr="00577563">
              <w:rPr>
                <w:sz w:val="20"/>
                <w:szCs w:val="20"/>
                <w:rtl/>
                <w:lang w:bidi="ar-LB"/>
              </w:rPr>
              <w:t xml:space="preserve">ويعد نقل ملكية المصنف الفني البصري </w:t>
            </w:r>
            <w:r w:rsidRPr="00577563">
              <w:rPr>
                <w:sz w:val="20"/>
                <w:szCs w:val="20"/>
                <w:rtl/>
                <w:lang w:bidi="ar-LB"/>
              </w:rPr>
              <w:lastRenderedPageBreak/>
              <w:t>الأصلي من المؤلف إلى شخص آخر، مقابل أجر أو من دون أي مقابل، التصرف الأول في هذا المصنف.</w:t>
            </w:r>
          </w:p>
          <w:p w14:paraId="3D08AB29" w14:textId="77777777" w:rsidR="008D64F9" w:rsidRPr="00577563" w:rsidRDefault="008D64F9" w:rsidP="00577563">
            <w:pPr>
              <w:pStyle w:val="BodyText"/>
              <w:rPr>
                <w:sz w:val="20"/>
                <w:szCs w:val="20"/>
                <w:rtl/>
                <w:lang w:bidi="ar-LB"/>
              </w:rPr>
            </w:pPr>
            <w:r w:rsidRPr="00577563">
              <w:rPr>
                <w:sz w:val="20"/>
                <w:szCs w:val="20"/>
                <w:rtl/>
                <w:lang w:bidi="ar-LB"/>
              </w:rPr>
              <w:t>…</w:t>
            </w:r>
          </w:p>
          <w:p w14:paraId="109B0FBA" w14:textId="77777777" w:rsidR="008D64F9" w:rsidRPr="00577563" w:rsidRDefault="008D64F9" w:rsidP="00577563">
            <w:pPr>
              <w:pStyle w:val="BodyText"/>
              <w:rPr>
                <w:sz w:val="20"/>
                <w:szCs w:val="20"/>
                <w:rtl/>
                <w:lang w:bidi="ar-LB"/>
              </w:rPr>
            </w:pPr>
            <w:r w:rsidRPr="00577563">
              <w:rPr>
                <w:sz w:val="20"/>
                <w:szCs w:val="20"/>
                <w:rtl/>
                <w:lang w:bidi="ar-LB"/>
              </w:rPr>
              <w:t>(7) يجب أن يمنح مالك المصنف الفني البصري الأصلي لمؤلف المصنف الذي تخلى عن ملكيته، إمكانية ممارسة حق استنساخ المصنف، وكذلك إمكانية عرض المصنف عندما يقيم المؤلف معرضًا خاصًا.</w:t>
            </w:r>
            <w:r w:rsidRPr="00577563">
              <w:rPr>
                <w:sz w:val="20"/>
                <w:szCs w:val="20"/>
                <w:lang w:val="en-AU"/>
              </w:rPr>
              <w:t xml:space="preserve"> </w:t>
            </w:r>
            <w:r w:rsidRPr="00577563">
              <w:rPr>
                <w:sz w:val="20"/>
                <w:szCs w:val="20"/>
                <w:rtl/>
                <w:lang w:bidi="ar-LB"/>
              </w:rPr>
              <w:t>ويتوجب على المؤلف أن يضمن الحفاظ على</w:t>
            </w:r>
            <w:r w:rsidRPr="00577563">
              <w:rPr>
                <w:sz w:val="20"/>
                <w:szCs w:val="20"/>
                <w:lang w:val="en-AU"/>
              </w:rPr>
              <w:t xml:space="preserve"> </w:t>
            </w:r>
            <w:r w:rsidRPr="00577563">
              <w:rPr>
                <w:sz w:val="20"/>
                <w:szCs w:val="20"/>
                <w:rtl/>
                <w:lang w:bidi="ar-LB"/>
              </w:rPr>
              <w:t>حالة المصنف عند نقله إلى ومن مكان المعرض، ما لم ينص العقد على خلاف ذلك.</w:t>
            </w:r>
            <w:r w:rsidRPr="00577563">
              <w:rPr>
                <w:sz w:val="20"/>
                <w:szCs w:val="20"/>
                <w:vertAlign w:val="superscript"/>
                <w:lang w:val="en-AU"/>
              </w:rPr>
              <w:footnoteReference w:id="106"/>
            </w:r>
          </w:p>
        </w:tc>
        <w:tc>
          <w:tcPr>
            <w:tcW w:w="2884" w:type="dxa"/>
          </w:tcPr>
          <w:p w14:paraId="27B6FF28" w14:textId="77777777" w:rsidR="008D64F9" w:rsidRPr="00577563" w:rsidRDefault="008D64F9">
            <w:pPr>
              <w:pStyle w:val="BodyText"/>
              <w:numPr>
                <w:ilvl w:val="0"/>
                <w:numId w:val="17"/>
              </w:numPr>
              <w:ind w:left="360"/>
              <w:rPr>
                <w:sz w:val="20"/>
                <w:szCs w:val="20"/>
                <w:rtl/>
                <w:lang w:bidi="ar-LB"/>
              </w:rPr>
            </w:pPr>
            <w:r w:rsidRPr="00577563">
              <w:rPr>
                <w:sz w:val="20"/>
                <w:szCs w:val="20"/>
                <w:rtl/>
                <w:lang w:bidi="ar-LB"/>
              </w:rPr>
              <w:lastRenderedPageBreak/>
              <w:t>حكم شبيه على ما ورد سابقا مع المزيد من التعديلات.</w:t>
            </w:r>
          </w:p>
          <w:p w14:paraId="326757EE" w14:textId="77777777" w:rsidR="008D64F9" w:rsidRPr="00577563" w:rsidRDefault="008D64F9">
            <w:pPr>
              <w:pStyle w:val="BodyText"/>
              <w:numPr>
                <w:ilvl w:val="0"/>
                <w:numId w:val="17"/>
              </w:numPr>
              <w:ind w:left="360"/>
              <w:rPr>
                <w:sz w:val="20"/>
                <w:szCs w:val="20"/>
                <w:rtl/>
                <w:lang w:bidi="ar-LB"/>
              </w:rPr>
            </w:pPr>
            <w:r w:rsidRPr="00577563">
              <w:rPr>
                <w:sz w:val="20"/>
                <w:szCs w:val="20"/>
                <w:rtl/>
                <w:lang w:bidi="ar-LB"/>
              </w:rPr>
              <w:t xml:space="preserve">تنص الفقرة (7) على أمر مثير للاهتمام يسمح للفنان بالحصول على المصنف الذي تخلى عن ملكيته لأغراض "العرض </w:t>
            </w:r>
            <w:r w:rsidRPr="00577563">
              <w:rPr>
                <w:sz w:val="20"/>
                <w:szCs w:val="20"/>
                <w:rtl/>
                <w:lang w:bidi="ar-LB"/>
              </w:rPr>
              <w:lastRenderedPageBreak/>
              <w:t xml:space="preserve">الشخصي"، ولكن، في المقابل، يجب أن يلتزم الفنان بالحفاظ على حالة المصنف خلال وجوده في حوزته.  </w:t>
            </w:r>
          </w:p>
        </w:tc>
      </w:tr>
      <w:tr w:rsidR="008D64F9" w:rsidRPr="008D64F9" w14:paraId="047DAF57" w14:textId="77777777" w:rsidTr="00101B5A">
        <w:tc>
          <w:tcPr>
            <w:tcW w:w="2883" w:type="dxa"/>
          </w:tcPr>
          <w:p w14:paraId="75F0E72D" w14:textId="77777777" w:rsidR="008D64F9" w:rsidRPr="00577563" w:rsidRDefault="008D64F9" w:rsidP="00577563">
            <w:pPr>
              <w:pStyle w:val="BodyText"/>
              <w:rPr>
                <w:sz w:val="20"/>
                <w:szCs w:val="20"/>
                <w:rtl/>
                <w:lang w:bidi="ar-LB"/>
              </w:rPr>
            </w:pPr>
            <w:r w:rsidRPr="00577563">
              <w:rPr>
                <w:sz w:val="20"/>
                <w:szCs w:val="20"/>
                <w:rtl/>
                <w:lang w:bidi="ar-LB"/>
              </w:rPr>
              <w:lastRenderedPageBreak/>
              <w:t>رفض الحصول على اتاوات حق التتبع</w:t>
            </w:r>
            <w:r w:rsidRPr="00577563">
              <w:rPr>
                <w:rFonts w:hint="cs"/>
                <w:sz w:val="20"/>
                <w:szCs w:val="20"/>
                <w:rtl/>
                <w:lang w:bidi="ar-LB"/>
              </w:rPr>
              <w:t xml:space="preserve"> (</w:t>
            </w:r>
            <w:r w:rsidRPr="00577563">
              <w:rPr>
                <w:sz w:val="20"/>
                <w:szCs w:val="20"/>
                <w:rtl/>
                <w:lang w:bidi="ar-LB"/>
              </w:rPr>
              <w:t>نيوزيلندا</w:t>
            </w:r>
            <w:r w:rsidRPr="00577563">
              <w:rPr>
                <w:rFonts w:hint="cs"/>
                <w:sz w:val="20"/>
                <w:szCs w:val="20"/>
                <w:rtl/>
                <w:lang w:bidi="ar-LB"/>
              </w:rPr>
              <w:t>)</w:t>
            </w:r>
          </w:p>
        </w:tc>
        <w:tc>
          <w:tcPr>
            <w:tcW w:w="2883" w:type="dxa"/>
          </w:tcPr>
          <w:p w14:paraId="35E1AC8C" w14:textId="77777777" w:rsidR="008D64F9" w:rsidRPr="00364BBC" w:rsidRDefault="008D64F9" w:rsidP="00577563">
            <w:pPr>
              <w:pStyle w:val="BodyText"/>
              <w:rPr>
                <w:b/>
                <w:bCs/>
                <w:sz w:val="20"/>
                <w:szCs w:val="20"/>
                <w:rtl/>
                <w:lang w:bidi="ar-LB"/>
              </w:rPr>
            </w:pPr>
            <w:r w:rsidRPr="00364BBC">
              <w:rPr>
                <w:b/>
                <w:bCs/>
                <w:sz w:val="20"/>
                <w:szCs w:val="20"/>
                <w:rtl/>
                <w:lang w:bidi="ar-LB"/>
              </w:rPr>
              <w:t>19 يجوز لصاحب الحق رفض الحصول على اتاوات حق التتبع</w:t>
            </w:r>
          </w:p>
          <w:p w14:paraId="2DA552CC" w14:textId="77777777" w:rsidR="008D64F9" w:rsidRPr="00577563" w:rsidRDefault="008D64F9" w:rsidP="00577563">
            <w:pPr>
              <w:pStyle w:val="BodyText"/>
              <w:rPr>
                <w:sz w:val="20"/>
                <w:szCs w:val="20"/>
                <w:rtl/>
                <w:lang w:bidi="ar-LB"/>
              </w:rPr>
            </w:pPr>
            <w:r w:rsidRPr="00577563">
              <w:rPr>
                <w:sz w:val="20"/>
                <w:szCs w:val="20"/>
                <w:rtl/>
                <w:lang w:bidi="ar-LB"/>
              </w:rPr>
              <w:t>(1) يجوز لصاحب الحق، وفقًا للإجراءات التي تحددها اللوائح،</w:t>
            </w:r>
          </w:p>
          <w:p w14:paraId="3A663114" w14:textId="77777777" w:rsidR="008D64F9" w:rsidRPr="00577563" w:rsidRDefault="008D64F9" w:rsidP="00577563">
            <w:pPr>
              <w:pStyle w:val="BodyText"/>
              <w:rPr>
                <w:sz w:val="20"/>
                <w:szCs w:val="20"/>
                <w:rtl/>
                <w:lang w:bidi="ar-LB"/>
              </w:rPr>
            </w:pPr>
            <w:r w:rsidRPr="00577563">
              <w:rPr>
                <w:sz w:val="20"/>
                <w:szCs w:val="20"/>
                <w:rtl/>
                <w:lang w:bidi="ar-LB"/>
              </w:rPr>
              <w:t>رفض الحصول على—</w:t>
            </w:r>
          </w:p>
          <w:p w14:paraId="7D75A55A" w14:textId="77777777" w:rsidR="008D64F9" w:rsidRPr="00577563" w:rsidRDefault="008D64F9" w:rsidP="00577563">
            <w:pPr>
              <w:pStyle w:val="BodyText"/>
              <w:rPr>
                <w:sz w:val="20"/>
                <w:szCs w:val="20"/>
                <w:rtl/>
                <w:lang w:bidi="ar-LB"/>
              </w:rPr>
            </w:pPr>
            <w:r w:rsidRPr="00577563">
              <w:rPr>
                <w:sz w:val="20"/>
                <w:szCs w:val="20"/>
                <w:rtl/>
                <w:lang w:bidi="ar-LB"/>
              </w:rPr>
              <w:t>(أ) إتاوة حق التتبع أو جزء منها:</w:t>
            </w:r>
          </w:p>
          <w:p w14:paraId="25556CC7" w14:textId="77777777" w:rsidR="008D64F9" w:rsidRPr="00577563" w:rsidRDefault="008D64F9" w:rsidP="00577563">
            <w:pPr>
              <w:pStyle w:val="BodyText"/>
              <w:rPr>
                <w:sz w:val="20"/>
                <w:szCs w:val="20"/>
                <w:rtl/>
                <w:lang w:bidi="ar-LB"/>
              </w:rPr>
            </w:pPr>
            <w:r w:rsidRPr="00577563">
              <w:rPr>
                <w:sz w:val="20"/>
                <w:szCs w:val="20"/>
                <w:rtl/>
                <w:lang w:bidi="ar-LB"/>
              </w:rPr>
              <w:t>(ب) إتاوة حق التتبع عند إعادة بيع بعض أو جميع مصنفاته الفنية البصرية في المستقبل.</w:t>
            </w:r>
          </w:p>
          <w:p w14:paraId="593AC42A" w14:textId="77777777" w:rsidR="008D64F9" w:rsidRPr="00577563" w:rsidRDefault="008D64F9" w:rsidP="00577563">
            <w:pPr>
              <w:pStyle w:val="BodyText"/>
              <w:rPr>
                <w:sz w:val="20"/>
                <w:szCs w:val="20"/>
                <w:rtl/>
                <w:lang w:bidi="ar-LB"/>
              </w:rPr>
            </w:pPr>
            <w:r w:rsidRPr="00577563">
              <w:rPr>
                <w:sz w:val="20"/>
                <w:szCs w:val="20"/>
                <w:rtl/>
                <w:lang w:bidi="ar-LB"/>
              </w:rPr>
              <w:t>(2) إذا رفض صاحب الحق استلام أي مبلغ مستحق بموجب حق التتبع، فيجب على وكالة التحصيل استخدام أو إدارة المبلغ بالطريقة المحددة في اللوائح.</w:t>
            </w:r>
          </w:p>
          <w:p w14:paraId="3E84701A" w14:textId="77777777" w:rsidR="008D64F9" w:rsidRPr="00577563" w:rsidRDefault="008D64F9" w:rsidP="00577563">
            <w:pPr>
              <w:pStyle w:val="BodyText"/>
              <w:rPr>
                <w:sz w:val="20"/>
                <w:szCs w:val="20"/>
                <w:rtl/>
                <w:lang w:bidi="ar-LB"/>
              </w:rPr>
            </w:pPr>
            <w:r w:rsidRPr="00577563">
              <w:rPr>
                <w:sz w:val="20"/>
                <w:szCs w:val="20"/>
                <w:rtl/>
                <w:lang w:bidi="ar-LB"/>
              </w:rPr>
              <w:t>(3) يجوز لصاحب الحق، وفقاً للإجراءات التي تحددها اللوائح، أن يختار الحصول على إتاوات على عمليات إعادة البيع المستقبلية لبعض أو جميع المصنفات الفنية التي قرر عدم الحصول على إتاوات منها سابقاً بموجب الفقرة الفرعية (1)(ب).</w:t>
            </w:r>
            <w:r w:rsidRPr="00577563">
              <w:rPr>
                <w:sz w:val="20"/>
                <w:szCs w:val="20"/>
                <w:vertAlign w:val="superscript"/>
                <w:lang w:val="en-GB"/>
              </w:rPr>
              <w:footnoteReference w:id="107"/>
            </w:r>
          </w:p>
        </w:tc>
        <w:tc>
          <w:tcPr>
            <w:tcW w:w="2884" w:type="dxa"/>
          </w:tcPr>
          <w:p w14:paraId="79CD5E0C" w14:textId="77777777" w:rsidR="008D64F9" w:rsidRPr="00577563" w:rsidRDefault="008D64F9">
            <w:pPr>
              <w:pStyle w:val="BodyText"/>
              <w:numPr>
                <w:ilvl w:val="0"/>
                <w:numId w:val="17"/>
              </w:numPr>
              <w:ind w:left="360"/>
              <w:rPr>
                <w:sz w:val="20"/>
                <w:szCs w:val="20"/>
                <w:rtl/>
                <w:lang w:bidi="ar-LB"/>
              </w:rPr>
            </w:pPr>
            <w:r w:rsidRPr="00577563">
              <w:rPr>
                <w:sz w:val="20"/>
                <w:szCs w:val="20"/>
                <w:rtl/>
                <w:lang w:bidi="ar-LB"/>
              </w:rPr>
              <w:t>يسمح لصاحب الحق برفض الحصول على اتاوات حق التتبع</w:t>
            </w:r>
          </w:p>
          <w:p w14:paraId="569DF2EF" w14:textId="77777777" w:rsidR="008D64F9" w:rsidRPr="00577563" w:rsidRDefault="008D64F9">
            <w:pPr>
              <w:pStyle w:val="BodyText"/>
              <w:numPr>
                <w:ilvl w:val="0"/>
                <w:numId w:val="17"/>
              </w:numPr>
              <w:ind w:left="360"/>
              <w:rPr>
                <w:sz w:val="20"/>
                <w:szCs w:val="20"/>
                <w:rtl/>
                <w:lang w:bidi="ar-LB"/>
              </w:rPr>
            </w:pPr>
            <w:r w:rsidRPr="00577563">
              <w:rPr>
                <w:sz w:val="20"/>
                <w:szCs w:val="20"/>
                <w:rtl/>
                <w:lang w:bidi="ar-LB"/>
              </w:rPr>
              <w:t>يتم بعد ذلك التعامل مع اتاوات حق التتبع من قبل منظمة الإدارة الجماعية كما هو محدد في اللوائح</w:t>
            </w:r>
            <w:r w:rsidRPr="00577563">
              <w:rPr>
                <w:rFonts w:hint="cs"/>
                <w:sz w:val="20"/>
                <w:szCs w:val="20"/>
                <w:rtl/>
                <w:lang w:bidi="ar-LB"/>
              </w:rPr>
              <w:t xml:space="preserve">، </w:t>
            </w:r>
            <w:r w:rsidRPr="00577563">
              <w:rPr>
                <w:sz w:val="20"/>
                <w:szCs w:val="20"/>
                <w:rtl/>
                <w:lang w:bidi="ar-LB"/>
              </w:rPr>
              <w:t>والتي تنص الآن على أن يتم دفع هذا المبلغ إلى صندوق ثقافي إلى جانب مدفوعات أخرى</w:t>
            </w:r>
            <w:r w:rsidRPr="00577563">
              <w:rPr>
                <w:rFonts w:hint="cs"/>
                <w:sz w:val="20"/>
                <w:szCs w:val="20"/>
                <w:rtl/>
                <w:lang w:bidi="ar-LB"/>
              </w:rPr>
              <w:t xml:space="preserve"> لإ</w:t>
            </w:r>
            <w:r w:rsidRPr="00577563">
              <w:rPr>
                <w:sz w:val="20"/>
                <w:szCs w:val="20"/>
                <w:rtl/>
                <w:lang w:bidi="ar-LB"/>
              </w:rPr>
              <w:t>تاوات حق التتبع غير المخصصة.</w:t>
            </w:r>
            <w:r w:rsidRPr="00577563">
              <w:rPr>
                <w:sz w:val="20"/>
                <w:szCs w:val="20"/>
                <w:vertAlign w:val="superscript"/>
                <w:rtl/>
                <w:lang w:bidi="ar-LB"/>
              </w:rPr>
              <w:footnoteReference w:id="108"/>
            </w:r>
          </w:p>
        </w:tc>
      </w:tr>
    </w:tbl>
    <w:p w14:paraId="29F1096E" w14:textId="77777777" w:rsidR="008D64F9" w:rsidRPr="008D64F9" w:rsidRDefault="008D64F9" w:rsidP="00534856">
      <w:pPr>
        <w:pStyle w:val="Heading2"/>
        <w:rPr>
          <w:rtl/>
        </w:rPr>
      </w:pPr>
      <w:r w:rsidRPr="008D64F9">
        <w:rPr>
          <w:rtl/>
        </w:rPr>
        <w:t>أهلية الحصول على حق التتبع والأشخاص الأجانب الذين يطالبون بالحق</w:t>
      </w:r>
      <w:r w:rsidRPr="008D64F9">
        <w:rPr>
          <w:lang w:bidi="ar-SA"/>
        </w:rPr>
        <w:t xml:space="preserve"> </w:t>
      </w:r>
    </w:p>
    <w:p w14:paraId="1F037B1C" w14:textId="77777777" w:rsidR="008D64F9" w:rsidRPr="008D64F9" w:rsidRDefault="008D64F9" w:rsidP="00577563">
      <w:pPr>
        <w:pStyle w:val="ONUMA"/>
        <w:rPr>
          <w:rtl/>
          <w:lang w:bidi="ar-LB"/>
        </w:rPr>
      </w:pPr>
      <w:r w:rsidRPr="008D64F9">
        <w:rPr>
          <w:rtl/>
          <w:lang w:bidi="ar-LB"/>
        </w:rPr>
        <w:t>ان حق التتبع هو حق اختياري بموجب اتفاقية برن ويمكن توسيع نطاقه ليشمل المؤلفين الأجانب بشرط المعاملة بالمثل، ولكن القوانين الوطنية ليست ملزمة بجعل حق التتبع خاضعا للمعاملة الوطنية أو بتوسيع نطاقه بحيث لا يقتصر فقط على المؤلفين الوطنيين.</w:t>
      </w:r>
      <w:r w:rsidRPr="008D64F9">
        <w:rPr>
          <w:lang w:val="en-AU"/>
        </w:rPr>
        <w:t xml:space="preserve"> </w:t>
      </w:r>
      <w:r w:rsidRPr="008D64F9">
        <w:rPr>
          <w:rtl/>
          <w:lang w:bidi="ar-LB"/>
        </w:rPr>
        <w:t>وقد تمنح بعض البلدان الحماية لحق التتبع بموجب تشريعات منفصلة تختلف تمام الاختلاف عن قوانين حق المؤلف الوطنية الخاصة بها</w:t>
      </w:r>
      <w:r w:rsidRPr="008D64F9">
        <w:rPr>
          <w:rFonts w:hint="cs"/>
          <w:rtl/>
          <w:lang w:bidi="ar-LB"/>
        </w:rPr>
        <w:t xml:space="preserve">، </w:t>
      </w:r>
      <w:r w:rsidRPr="008D64F9">
        <w:rPr>
          <w:rtl/>
          <w:lang w:bidi="ar-LB"/>
        </w:rPr>
        <w:t>وبالتالي التأكيد على أن الحماية للفنانين الأجانب لن تكون متاحة إلا إذا كانت هناك حماية متبادلة في بلد الفنان (ينطبق ذلك على أستراليا ونيوزيلندا،</w:t>
      </w:r>
      <w:r w:rsidRPr="008D64F9">
        <w:rPr>
          <w:rFonts w:hint="cs"/>
          <w:rtl/>
          <w:lang w:bidi="ar-LB"/>
        </w:rPr>
        <w:t xml:space="preserve"> </w:t>
      </w:r>
      <w:r w:rsidRPr="008D64F9">
        <w:rPr>
          <w:rtl/>
          <w:lang w:bidi="ar-LB"/>
        </w:rPr>
        <w:t>على سبيل المثال).</w:t>
      </w:r>
    </w:p>
    <w:p w14:paraId="228C7915" w14:textId="77777777" w:rsidR="008D64F9" w:rsidRPr="008D64F9" w:rsidRDefault="008D64F9" w:rsidP="00577563">
      <w:pPr>
        <w:pStyle w:val="ONUMA"/>
        <w:rPr>
          <w:rtl/>
          <w:lang w:bidi="ar-LB"/>
        </w:rPr>
      </w:pPr>
      <w:r w:rsidRPr="008D64F9">
        <w:rPr>
          <w:rtl/>
          <w:lang w:bidi="ar-LB"/>
        </w:rPr>
        <w:lastRenderedPageBreak/>
        <w:t>وحاليا، وفيما يتعلق بالحق في المطالبة بحق التتبع، فإن القوانين الوطنية تجعل هذا الأمر عادة خاضعًا لمؤهلات الجنسية و/أو الإقامة الدائمة في وقت إعادة البيع التجاري.</w:t>
      </w:r>
      <w:r w:rsidRPr="008D64F9">
        <w:rPr>
          <w:lang w:val="en-AU"/>
        </w:rPr>
        <w:t xml:space="preserve"> </w:t>
      </w:r>
      <w:r w:rsidRPr="008D64F9">
        <w:rPr>
          <w:rtl/>
          <w:lang w:bidi="ar-LB"/>
        </w:rPr>
        <w:t xml:space="preserve">ويمكن </w:t>
      </w:r>
      <w:r w:rsidRPr="008D64F9">
        <w:rPr>
          <w:rFonts w:hint="cs"/>
          <w:rtl/>
          <w:lang w:bidi="ar-LB"/>
        </w:rPr>
        <w:t xml:space="preserve">عندها </w:t>
      </w:r>
      <w:r w:rsidRPr="008D64F9">
        <w:rPr>
          <w:rtl/>
          <w:lang w:bidi="ar-LB"/>
        </w:rPr>
        <w:t>اتخاذ الترتيبات اللازمة لتوسيع نطاق حماية حق التتبع ليشمل مواطني البلدان التي تتمتع بأشكال حماية مشابهة إلى حد كبير وليشمل أيضا المقيمين في هذه البلدان، مع تطبيق نفس معايير الجنسية و/أو الإقامة الدائمة على النحو المسموح به بموجب المادة 14(ثالثا) من اتفاقية برن.</w:t>
      </w:r>
    </w:p>
    <w:p w14:paraId="69EA4DF9" w14:textId="77777777" w:rsidR="008D64F9" w:rsidRPr="008D64F9" w:rsidRDefault="008D64F9" w:rsidP="00577563">
      <w:pPr>
        <w:pStyle w:val="ONUMA"/>
        <w:rPr>
          <w:rtl/>
          <w:lang w:bidi="ar-LB"/>
        </w:rPr>
      </w:pPr>
      <w:r w:rsidRPr="008D64F9">
        <w:rPr>
          <w:rtl/>
          <w:lang w:bidi="ar-LB"/>
        </w:rPr>
        <w:t>وترد في الجدول 13 أدناه بعض الأحكام النموذجية المأخوذة من القوانين الوطنية والاتحاد الأوروبي، والتي تم تعديلها.</w:t>
      </w:r>
    </w:p>
    <w:p w14:paraId="0A2B4BF0" w14:textId="7DABF84A" w:rsidR="008D64F9" w:rsidRPr="008D64F9" w:rsidRDefault="00577563" w:rsidP="00577563">
      <w:pPr>
        <w:spacing w:after="240"/>
        <w:rPr>
          <w:rFonts w:asciiTheme="minorHAnsi" w:hAnsiTheme="minorHAnsi" w:cstheme="minorHAnsi"/>
          <w:bCs/>
          <w:rtl/>
          <w:lang w:bidi="ar-LB"/>
        </w:rPr>
      </w:pPr>
      <w:r w:rsidRPr="00364BBC">
        <w:rPr>
          <w:rFonts w:asciiTheme="minorHAnsi" w:hAnsiTheme="minorHAnsi" w:cstheme="minorHAnsi" w:hint="cs"/>
          <w:bCs/>
          <w:rtl/>
          <w:lang w:bidi="ar-LB"/>
        </w:rPr>
        <w:t>ا</w:t>
      </w:r>
      <w:r w:rsidR="008D64F9" w:rsidRPr="008D64F9">
        <w:rPr>
          <w:rFonts w:asciiTheme="minorHAnsi" w:hAnsiTheme="minorHAnsi" w:cstheme="minorHAnsi"/>
          <w:bCs/>
          <w:rtl/>
          <w:lang w:bidi="ar-LB"/>
        </w:rPr>
        <w:t>لجدول 13</w:t>
      </w:r>
    </w:p>
    <w:tbl>
      <w:tblPr>
        <w:tblStyle w:val="TableGrid"/>
        <w:bidiVisual/>
        <w:tblW w:w="0" w:type="auto"/>
        <w:tblInd w:w="360" w:type="dxa"/>
        <w:tblLook w:val="04A0" w:firstRow="1" w:lastRow="0" w:firstColumn="1" w:lastColumn="0" w:noHBand="0" w:noVBand="1"/>
      </w:tblPr>
      <w:tblGrid>
        <w:gridCol w:w="2470"/>
        <w:gridCol w:w="3296"/>
        <w:gridCol w:w="2884"/>
      </w:tblGrid>
      <w:tr w:rsidR="008D64F9" w:rsidRPr="009204EA" w14:paraId="36E1B90E" w14:textId="77777777" w:rsidTr="00101B5A">
        <w:tc>
          <w:tcPr>
            <w:tcW w:w="2470" w:type="dxa"/>
          </w:tcPr>
          <w:p w14:paraId="1B225F4E" w14:textId="77777777" w:rsidR="008D64F9" w:rsidRPr="009204EA" w:rsidRDefault="008D64F9" w:rsidP="009204EA">
            <w:pPr>
              <w:pStyle w:val="BodyText"/>
              <w:rPr>
                <w:b/>
                <w:bCs/>
                <w:sz w:val="20"/>
                <w:szCs w:val="20"/>
                <w:rtl/>
                <w:lang w:bidi="ar-LB"/>
              </w:rPr>
            </w:pPr>
            <w:r w:rsidRPr="009204EA">
              <w:rPr>
                <w:b/>
                <w:bCs/>
                <w:sz w:val="20"/>
                <w:szCs w:val="20"/>
                <w:rtl/>
                <w:lang w:bidi="ar-LB"/>
              </w:rPr>
              <w:t>نوع الحكم</w:t>
            </w:r>
          </w:p>
        </w:tc>
        <w:tc>
          <w:tcPr>
            <w:tcW w:w="3296" w:type="dxa"/>
          </w:tcPr>
          <w:p w14:paraId="10AEF3ED" w14:textId="77777777" w:rsidR="008D64F9" w:rsidRPr="009204EA" w:rsidRDefault="008D64F9" w:rsidP="009204EA">
            <w:pPr>
              <w:pStyle w:val="BodyText"/>
              <w:rPr>
                <w:b/>
                <w:bCs/>
                <w:sz w:val="20"/>
                <w:szCs w:val="20"/>
                <w:rtl/>
                <w:lang w:bidi="ar-LB"/>
              </w:rPr>
            </w:pPr>
            <w:r w:rsidRPr="009204EA">
              <w:rPr>
                <w:b/>
                <w:bCs/>
                <w:sz w:val="20"/>
                <w:szCs w:val="20"/>
                <w:rtl/>
                <w:lang w:bidi="ar-LB"/>
              </w:rPr>
              <w:t>النص المقترح</w:t>
            </w:r>
          </w:p>
        </w:tc>
        <w:tc>
          <w:tcPr>
            <w:tcW w:w="2884" w:type="dxa"/>
          </w:tcPr>
          <w:p w14:paraId="22D0949B" w14:textId="77777777" w:rsidR="008D64F9" w:rsidRPr="009204EA" w:rsidRDefault="008D64F9" w:rsidP="009204EA">
            <w:pPr>
              <w:pStyle w:val="BodyText"/>
              <w:rPr>
                <w:b/>
                <w:bCs/>
                <w:sz w:val="20"/>
                <w:szCs w:val="20"/>
                <w:rtl/>
                <w:lang w:bidi="ar-LB"/>
              </w:rPr>
            </w:pPr>
            <w:r w:rsidRPr="009204EA">
              <w:rPr>
                <w:b/>
                <w:bCs/>
                <w:sz w:val="20"/>
                <w:szCs w:val="20"/>
                <w:rtl/>
                <w:lang w:bidi="ar-LB"/>
              </w:rPr>
              <w:t>تعليقات/ملاحظات</w:t>
            </w:r>
          </w:p>
        </w:tc>
      </w:tr>
      <w:tr w:rsidR="008D64F9" w:rsidRPr="009204EA" w14:paraId="18EFA265" w14:textId="77777777" w:rsidTr="00101B5A">
        <w:tc>
          <w:tcPr>
            <w:tcW w:w="2470" w:type="dxa"/>
          </w:tcPr>
          <w:p w14:paraId="0C851126" w14:textId="77777777" w:rsidR="008D64F9" w:rsidRPr="009204EA" w:rsidRDefault="008D64F9" w:rsidP="009204EA">
            <w:pPr>
              <w:pStyle w:val="BodyText"/>
              <w:rPr>
                <w:sz w:val="20"/>
                <w:szCs w:val="20"/>
                <w:rtl/>
                <w:lang w:bidi="ar-LB"/>
              </w:rPr>
            </w:pPr>
            <w:r w:rsidRPr="009204EA">
              <w:rPr>
                <w:sz w:val="20"/>
                <w:szCs w:val="20"/>
                <w:rtl/>
                <w:lang w:bidi="ar-LB"/>
              </w:rPr>
              <w:t>أهلية الحصول على حق التتبع بموجب القانون الوطني (المملكة المتحدة)</w:t>
            </w:r>
          </w:p>
        </w:tc>
        <w:tc>
          <w:tcPr>
            <w:tcW w:w="3296" w:type="dxa"/>
          </w:tcPr>
          <w:p w14:paraId="67EFA815" w14:textId="6C2132DF" w:rsidR="008D64F9" w:rsidRPr="00364BBC" w:rsidRDefault="008D64F9" w:rsidP="009204EA">
            <w:pPr>
              <w:pStyle w:val="BodyText"/>
              <w:rPr>
                <w:b/>
                <w:bCs/>
                <w:sz w:val="20"/>
                <w:szCs w:val="20"/>
                <w:rtl/>
                <w:lang w:bidi="ar-LB"/>
              </w:rPr>
            </w:pPr>
            <w:r w:rsidRPr="00364BBC">
              <w:rPr>
                <w:b/>
                <w:bCs/>
                <w:sz w:val="20"/>
                <w:szCs w:val="20"/>
                <w:rtl/>
                <w:lang w:bidi="ar-LB"/>
              </w:rPr>
              <w:t>المتطلبات المتعلقة بالجنسية وما إلى ذلك.</w:t>
            </w:r>
          </w:p>
          <w:p w14:paraId="70102031" w14:textId="77777777" w:rsidR="008D64F9" w:rsidRPr="009204EA" w:rsidRDefault="008D64F9" w:rsidP="009204EA">
            <w:pPr>
              <w:pStyle w:val="BodyText"/>
              <w:rPr>
                <w:sz w:val="20"/>
                <w:szCs w:val="20"/>
                <w:rtl/>
                <w:lang w:bidi="ar-LB"/>
              </w:rPr>
            </w:pPr>
            <w:r w:rsidRPr="009204EA">
              <w:rPr>
                <w:sz w:val="20"/>
                <w:szCs w:val="20"/>
                <w:rtl/>
                <w:lang w:bidi="ar-LB"/>
              </w:rPr>
              <w:t>10.—(1) لا يجوز ممارسة حق التتبع فيما يتعلق بعملية البيع إلا من قبل الشخص الذي،</w:t>
            </w:r>
          </w:p>
          <w:p w14:paraId="35AFED97" w14:textId="77777777" w:rsidR="008D64F9" w:rsidRPr="009204EA" w:rsidRDefault="008D64F9" w:rsidP="009204EA">
            <w:pPr>
              <w:pStyle w:val="BodyText"/>
              <w:rPr>
                <w:sz w:val="20"/>
                <w:szCs w:val="20"/>
                <w:rtl/>
                <w:lang w:bidi="ar-LB"/>
              </w:rPr>
            </w:pPr>
            <w:r w:rsidRPr="009204EA">
              <w:rPr>
                <w:sz w:val="20"/>
                <w:szCs w:val="20"/>
                <w:rtl/>
                <w:lang w:bidi="ar-LB"/>
              </w:rPr>
              <w:t>في تاريخ ابرام العقد:</w:t>
            </w:r>
          </w:p>
          <w:p w14:paraId="393A8203" w14:textId="77777777" w:rsidR="008D64F9" w:rsidRPr="009204EA" w:rsidRDefault="008D64F9" w:rsidP="009204EA">
            <w:pPr>
              <w:pStyle w:val="BodyText"/>
              <w:rPr>
                <w:sz w:val="20"/>
                <w:szCs w:val="20"/>
                <w:rtl/>
                <w:lang w:bidi="ar-LB"/>
              </w:rPr>
            </w:pPr>
            <w:r w:rsidRPr="009204EA">
              <w:rPr>
                <w:sz w:val="20"/>
                <w:szCs w:val="20"/>
                <w:rtl/>
                <w:lang w:bidi="ar-LB"/>
              </w:rPr>
              <w:t>(أ) يعد فردا مؤهلا؛</w:t>
            </w:r>
            <w:r w:rsidRPr="009204EA">
              <w:rPr>
                <w:sz w:val="20"/>
                <w:szCs w:val="20"/>
              </w:rPr>
              <w:t xml:space="preserve"> </w:t>
            </w:r>
          </w:p>
          <w:p w14:paraId="149A83DC" w14:textId="77777777" w:rsidR="008D64F9" w:rsidRPr="009204EA" w:rsidRDefault="008D64F9" w:rsidP="009204EA">
            <w:pPr>
              <w:pStyle w:val="BodyText"/>
              <w:rPr>
                <w:sz w:val="20"/>
                <w:szCs w:val="20"/>
                <w:rtl/>
                <w:lang w:bidi="ar-LB"/>
              </w:rPr>
            </w:pPr>
            <w:r w:rsidRPr="009204EA">
              <w:rPr>
                <w:sz w:val="20"/>
                <w:szCs w:val="20"/>
                <w:rtl/>
                <w:lang w:bidi="ar-LB"/>
              </w:rPr>
              <w:t>….</w:t>
            </w:r>
          </w:p>
          <w:p w14:paraId="06C14F70" w14:textId="77777777" w:rsidR="008D64F9" w:rsidRPr="009204EA" w:rsidRDefault="008D64F9" w:rsidP="009204EA">
            <w:pPr>
              <w:pStyle w:val="BodyText"/>
              <w:rPr>
                <w:sz w:val="20"/>
                <w:szCs w:val="20"/>
                <w:rtl/>
                <w:lang w:bidi="ar-LB"/>
              </w:rPr>
            </w:pPr>
            <w:r w:rsidRPr="009204EA">
              <w:rPr>
                <w:sz w:val="20"/>
                <w:szCs w:val="20"/>
                <w:rtl/>
                <w:lang w:bidi="ar-LB"/>
              </w:rPr>
              <w:t>(3) الفرد المؤهل هو الشخص الطبيعي الذي ينطبق عليه ما يلي:</w:t>
            </w:r>
          </w:p>
          <w:p w14:paraId="41113E39" w14:textId="77777777" w:rsidR="008D64F9" w:rsidRPr="009204EA" w:rsidRDefault="008D64F9" w:rsidP="009204EA">
            <w:pPr>
              <w:pStyle w:val="BodyText"/>
              <w:rPr>
                <w:sz w:val="20"/>
                <w:szCs w:val="20"/>
                <w:rtl/>
                <w:lang w:bidi="ar-LB"/>
              </w:rPr>
            </w:pPr>
            <w:r w:rsidRPr="009204EA">
              <w:rPr>
                <w:sz w:val="20"/>
                <w:szCs w:val="20"/>
                <w:rtl/>
                <w:lang w:bidi="ar-LB"/>
              </w:rPr>
              <w:t>(أ) هو مواطن في إحدى دول المنطقة الاقتصادية الأوروبية؛</w:t>
            </w:r>
          </w:p>
          <w:p w14:paraId="4D8CF5EF" w14:textId="77777777" w:rsidR="008D64F9" w:rsidRPr="009204EA" w:rsidRDefault="008D64F9" w:rsidP="009204EA">
            <w:pPr>
              <w:pStyle w:val="BodyText"/>
              <w:rPr>
                <w:sz w:val="20"/>
                <w:szCs w:val="20"/>
                <w:rtl/>
                <w:lang w:bidi="ar-LB"/>
              </w:rPr>
            </w:pPr>
            <w:r w:rsidRPr="009204EA">
              <w:rPr>
                <w:sz w:val="20"/>
                <w:szCs w:val="20"/>
                <w:rtl/>
                <w:lang w:bidi="ar-LB"/>
              </w:rPr>
              <w:t>أو (ب) هو مواطن في إحدى الدول المدرجة في الجدول 2.</w:t>
            </w:r>
            <w:r w:rsidRPr="009204EA">
              <w:rPr>
                <w:sz w:val="20"/>
                <w:szCs w:val="20"/>
                <w:vertAlign w:val="superscript"/>
                <w:lang w:val="en-GB"/>
              </w:rPr>
              <w:footnoteReference w:id="109"/>
            </w:r>
            <w:r w:rsidRPr="009204EA">
              <w:rPr>
                <w:sz w:val="20"/>
                <w:szCs w:val="20"/>
                <w:rtl/>
                <w:lang w:bidi="ar-LB"/>
              </w:rPr>
              <w:t xml:space="preserve"> .</w:t>
            </w:r>
          </w:p>
        </w:tc>
        <w:tc>
          <w:tcPr>
            <w:tcW w:w="2884" w:type="dxa"/>
          </w:tcPr>
          <w:p w14:paraId="33C3BAE0" w14:textId="77777777" w:rsidR="008D64F9" w:rsidRPr="009204EA" w:rsidRDefault="008D64F9">
            <w:pPr>
              <w:pStyle w:val="BodyText"/>
              <w:numPr>
                <w:ilvl w:val="0"/>
                <w:numId w:val="17"/>
              </w:numPr>
              <w:ind w:left="360"/>
              <w:rPr>
                <w:sz w:val="20"/>
                <w:szCs w:val="20"/>
                <w:rtl/>
                <w:lang w:bidi="ar-LB"/>
              </w:rPr>
            </w:pPr>
            <w:r w:rsidRPr="009204EA">
              <w:rPr>
                <w:sz w:val="20"/>
                <w:szCs w:val="20"/>
                <w:rtl/>
                <w:lang w:bidi="ar-LB"/>
              </w:rPr>
              <w:t>تنشأ الأهلية للحصول على حق التتبع وفقا للجنسية وقت إعادة البيع (حكم واضح جدا)</w:t>
            </w:r>
          </w:p>
          <w:p w14:paraId="76E4F02C" w14:textId="77777777" w:rsidR="008D64F9" w:rsidRPr="009204EA" w:rsidRDefault="008D64F9">
            <w:pPr>
              <w:pStyle w:val="BodyText"/>
              <w:numPr>
                <w:ilvl w:val="0"/>
                <w:numId w:val="17"/>
              </w:numPr>
              <w:ind w:left="360"/>
              <w:rPr>
                <w:sz w:val="20"/>
                <w:szCs w:val="20"/>
                <w:rtl/>
                <w:lang w:bidi="ar-LB"/>
              </w:rPr>
            </w:pPr>
            <w:r w:rsidRPr="009204EA">
              <w:rPr>
                <w:sz w:val="20"/>
                <w:szCs w:val="20"/>
                <w:rtl/>
                <w:lang w:bidi="ar-LB"/>
              </w:rPr>
              <w:t>يطرح المسألة التالية: هل ينبغي أن تشمل هذه الحالات الإقامة الدائمة؟ قد يعترض البعض على ذلك لأن جنسية المؤلف ت</w:t>
            </w:r>
            <w:r w:rsidRPr="009204EA">
              <w:rPr>
                <w:rFonts w:hint="cs"/>
                <w:sz w:val="20"/>
                <w:szCs w:val="20"/>
                <w:rtl/>
                <w:lang w:bidi="ar-LB"/>
              </w:rPr>
              <w:t>ب</w:t>
            </w:r>
            <w:r w:rsidRPr="009204EA">
              <w:rPr>
                <w:sz w:val="20"/>
                <w:szCs w:val="20"/>
                <w:rtl/>
                <w:lang w:bidi="ar-LB"/>
              </w:rPr>
              <w:t>قى ثابتة بشكل عام في حين أن الإقامة الدائمة قد تتغير بشكل متكرر وقد يكون من الصعب التأكد منها في تاريخ إعادة البيع.</w:t>
            </w:r>
            <w:r w:rsidRPr="009204EA">
              <w:rPr>
                <w:sz w:val="20"/>
                <w:szCs w:val="20"/>
                <w:lang w:val="en-AU"/>
              </w:rPr>
              <w:t xml:space="preserve"> </w:t>
            </w:r>
          </w:p>
          <w:p w14:paraId="47DECF28" w14:textId="77777777" w:rsidR="008D64F9" w:rsidRPr="009204EA" w:rsidRDefault="008D64F9">
            <w:pPr>
              <w:pStyle w:val="BodyText"/>
              <w:numPr>
                <w:ilvl w:val="0"/>
                <w:numId w:val="17"/>
              </w:numPr>
              <w:ind w:left="360"/>
              <w:rPr>
                <w:sz w:val="20"/>
                <w:szCs w:val="20"/>
                <w:rtl/>
                <w:lang w:bidi="ar-LB"/>
              </w:rPr>
            </w:pPr>
            <w:r w:rsidRPr="009204EA">
              <w:rPr>
                <w:sz w:val="20"/>
                <w:szCs w:val="20"/>
                <w:rtl/>
                <w:lang w:bidi="ar-LB"/>
              </w:rPr>
              <w:t>قد يكون البديل لمتطلب الإقامة الدائمة هو "استيعاب" الأجانب كما هو الحال في فرنسا والسنغال (يرجى الاطلاع على المثال التالي).</w:t>
            </w:r>
          </w:p>
          <w:p w14:paraId="49BDFF15" w14:textId="77777777" w:rsidR="008D64F9" w:rsidRPr="009204EA" w:rsidRDefault="008D64F9">
            <w:pPr>
              <w:pStyle w:val="BodyText"/>
              <w:numPr>
                <w:ilvl w:val="0"/>
                <w:numId w:val="17"/>
              </w:numPr>
              <w:ind w:left="360"/>
              <w:rPr>
                <w:sz w:val="20"/>
                <w:szCs w:val="20"/>
                <w:rtl/>
                <w:lang w:bidi="ar-LB"/>
              </w:rPr>
            </w:pPr>
            <w:r w:rsidRPr="009204EA">
              <w:rPr>
                <w:sz w:val="20"/>
                <w:szCs w:val="20"/>
                <w:rtl/>
                <w:lang w:bidi="ar-LB"/>
              </w:rPr>
              <w:t>تنطبق متطلبات إضافية على المؤسسات ("الهيئات/المؤسسات  المؤهلة") فيما يتعلق بالخلافة عند وفاة الفنان: اللائحة 10(3)</w:t>
            </w:r>
          </w:p>
        </w:tc>
      </w:tr>
      <w:tr w:rsidR="008D64F9" w:rsidRPr="009204EA" w14:paraId="0BB21B11" w14:textId="77777777" w:rsidTr="00101B5A">
        <w:tc>
          <w:tcPr>
            <w:tcW w:w="2470" w:type="dxa"/>
          </w:tcPr>
          <w:p w14:paraId="3C35C765" w14:textId="77777777" w:rsidR="008D64F9" w:rsidRPr="009204EA" w:rsidRDefault="008D64F9" w:rsidP="009204EA">
            <w:pPr>
              <w:pStyle w:val="BodyText"/>
              <w:rPr>
                <w:sz w:val="20"/>
                <w:szCs w:val="20"/>
                <w:rtl/>
                <w:lang w:bidi="ar-LB"/>
              </w:rPr>
            </w:pPr>
            <w:r w:rsidRPr="009204EA">
              <w:rPr>
                <w:sz w:val="20"/>
                <w:szCs w:val="20"/>
                <w:rtl/>
                <w:lang w:bidi="ar-LB"/>
              </w:rPr>
              <w:t>"الاستيعاب" بدلاً من الإقامة الدائمة في حالة الأجانب (السنغال، فرنسا)</w:t>
            </w:r>
          </w:p>
        </w:tc>
        <w:tc>
          <w:tcPr>
            <w:tcW w:w="3296" w:type="dxa"/>
          </w:tcPr>
          <w:p w14:paraId="762F4B33" w14:textId="77777777" w:rsidR="008D64F9" w:rsidRPr="009204EA" w:rsidRDefault="008D64F9" w:rsidP="009204EA">
            <w:pPr>
              <w:pStyle w:val="BodyText"/>
              <w:rPr>
                <w:sz w:val="20"/>
                <w:szCs w:val="20"/>
                <w:rtl/>
                <w:lang w:bidi="ar-LB"/>
              </w:rPr>
            </w:pPr>
            <w:r w:rsidRPr="009204EA">
              <w:rPr>
                <w:sz w:val="20"/>
                <w:szCs w:val="20"/>
                <w:rtl/>
                <w:lang w:bidi="ar-LB"/>
              </w:rPr>
              <w:t>يجوز للمؤلفين الذين ليسوا من مواطني دولة ... والذين شاركوا خلال مسيرتهم الفنية في الحياة الفنية في ... وأقاموا في ... لمدة لا تقل عن خمس سنوات، حتى لو كانت غير متتالية، الاستفادة من حق التتبع، مع ورثتهم، دون أي شرط من شروط المعاملة بالمثل.</w:t>
            </w:r>
            <w:r w:rsidRPr="009204EA">
              <w:rPr>
                <w:sz w:val="20"/>
                <w:szCs w:val="20"/>
                <w:vertAlign w:val="superscript"/>
                <w:lang w:val="en"/>
              </w:rPr>
              <w:footnoteReference w:id="110"/>
            </w:r>
          </w:p>
        </w:tc>
        <w:tc>
          <w:tcPr>
            <w:tcW w:w="2884" w:type="dxa"/>
          </w:tcPr>
          <w:p w14:paraId="0F64D7BF" w14:textId="77777777" w:rsidR="008D64F9" w:rsidRPr="009204EA" w:rsidRDefault="008D64F9">
            <w:pPr>
              <w:pStyle w:val="BodyText"/>
              <w:numPr>
                <w:ilvl w:val="0"/>
                <w:numId w:val="17"/>
              </w:numPr>
              <w:ind w:left="360"/>
              <w:rPr>
                <w:sz w:val="20"/>
                <w:szCs w:val="20"/>
                <w:rtl/>
                <w:lang w:bidi="ar-LB"/>
              </w:rPr>
            </w:pPr>
            <w:r w:rsidRPr="009204EA">
              <w:rPr>
                <w:sz w:val="20"/>
                <w:szCs w:val="20"/>
                <w:rtl/>
                <w:lang w:bidi="ar-LB"/>
              </w:rPr>
              <w:t>يتطلب هذا الأمر ارتباطًا وثيقًا بالحياة الفنية في البلد الذي يقيم فيه المؤلف (لمدة خمس سنوات بالحد الأدنى)</w:t>
            </w:r>
          </w:p>
          <w:p w14:paraId="2AB56360" w14:textId="77777777" w:rsidR="008D64F9" w:rsidRPr="009204EA" w:rsidRDefault="008D64F9">
            <w:pPr>
              <w:pStyle w:val="BodyText"/>
              <w:numPr>
                <w:ilvl w:val="0"/>
                <w:numId w:val="17"/>
              </w:numPr>
              <w:ind w:left="360"/>
              <w:rPr>
                <w:sz w:val="20"/>
                <w:szCs w:val="20"/>
                <w:rtl/>
                <w:lang w:bidi="ar-LB"/>
              </w:rPr>
            </w:pPr>
            <w:r w:rsidRPr="009204EA">
              <w:rPr>
                <w:sz w:val="20"/>
                <w:szCs w:val="20"/>
                <w:rtl/>
                <w:lang w:bidi="ar-LB"/>
              </w:rPr>
              <w:t xml:space="preserve">ليس واضحا ما إذا كان هذا الارتباط والإقامة مطلوبين في وقت إعادة البيع التجاري، ولكن إذا تم استيفاء هذه المتطلبات مسبقًا، فيجب على الأرجح أن يمنح المؤلف حق التتبع حتى لو لم يعد مقيمًا؛ على سبيل المثال: فنان فرنسي مقيم منذ فترة طويلة في السنغال ولكنه يعيش الآن في فرنسا في وقت إعادة البيع.   </w:t>
            </w:r>
          </w:p>
        </w:tc>
      </w:tr>
      <w:tr w:rsidR="008D64F9" w:rsidRPr="009204EA" w14:paraId="21463D35" w14:textId="77777777" w:rsidTr="00101B5A">
        <w:trPr>
          <w:trHeight w:val="5264"/>
        </w:trPr>
        <w:tc>
          <w:tcPr>
            <w:tcW w:w="2470" w:type="dxa"/>
          </w:tcPr>
          <w:p w14:paraId="4AC50FB3" w14:textId="77777777" w:rsidR="008D64F9" w:rsidRPr="009204EA" w:rsidRDefault="008D64F9" w:rsidP="009204EA">
            <w:pPr>
              <w:pStyle w:val="BodyText"/>
              <w:rPr>
                <w:sz w:val="20"/>
                <w:szCs w:val="20"/>
                <w:rtl/>
                <w:lang w:bidi="ar-LB"/>
              </w:rPr>
            </w:pPr>
            <w:r w:rsidRPr="009204EA">
              <w:rPr>
                <w:sz w:val="20"/>
                <w:szCs w:val="20"/>
                <w:rtl/>
                <w:lang w:bidi="ar-LB"/>
              </w:rPr>
              <w:lastRenderedPageBreak/>
              <w:t>توفير حماية للأجانب الذين يأتون من دول تطبق حق التتبع (فرنسا)</w:t>
            </w:r>
          </w:p>
        </w:tc>
        <w:tc>
          <w:tcPr>
            <w:tcW w:w="3296" w:type="dxa"/>
          </w:tcPr>
          <w:p w14:paraId="04F82C88" w14:textId="77777777" w:rsidR="008D64F9" w:rsidRPr="009204EA" w:rsidRDefault="008D64F9" w:rsidP="009204EA">
            <w:pPr>
              <w:pStyle w:val="BodyText"/>
              <w:rPr>
                <w:sz w:val="20"/>
                <w:szCs w:val="20"/>
                <w:rtl/>
                <w:lang w:bidi="ar-LB"/>
              </w:rPr>
            </w:pPr>
            <w:r w:rsidRPr="009204EA">
              <w:rPr>
                <w:sz w:val="20"/>
                <w:szCs w:val="20"/>
                <w:rtl/>
                <w:lang w:bidi="ar-LB"/>
              </w:rPr>
              <w:t>المادة</w:t>
            </w:r>
            <w:r w:rsidRPr="009204EA">
              <w:rPr>
                <w:sz w:val="20"/>
                <w:szCs w:val="20"/>
                <w:lang w:val="en-AU"/>
              </w:rPr>
              <w:t xml:space="preserve"> </w:t>
            </w:r>
            <w:r w:rsidRPr="009204EA">
              <w:rPr>
                <w:sz w:val="20"/>
                <w:szCs w:val="20"/>
                <w:rtl/>
                <w:lang w:bidi="ar-LB"/>
              </w:rPr>
              <w:t>ر 122-</w:t>
            </w:r>
            <w:r w:rsidRPr="009204EA">
              <w:rPr>
                <w:rFonts w:hint="cs"/>
                <w:sz w:val="20"/>
                <w:szCs w:val="20"/>
                <w:rtl/>
                <w:lang w:bidi="ar-LB"/>
              </w:rPr>
              <w:t>4</w:t>
            </w:r>
            <w:r w:rsidRPr="009204EA">
              <w:rPr>
                <w:sz w:val="20"/>
                <w:szCs w:val="20"/>
                <w:rtl/>
                <w:lang w:bidi="ar-LB"/>
              </w:rPr>
              <w:t>.</w:t>
            </w:r>
            <w:r w:rsidRPr="009204EA">
              <w:rPr>
                <w:rFonts w:hint="cs"/>
                <w:sz w:val="20"/>
                <w:szCs w:val="20"/>
                <w:rtl/>
                <w:lang w:bidi="ar-LB"/>
              </w:rPr>
              <w:t>−</w:t>
            </w:r>
            <w:r w:rsidRPr="009204EA">
              <w:rPr>
                <w:sz w:val="20"/>
                <w:szCs w:val="20"/>
                <w:lang w:val="en-AU"/>
              </w:rPr>
              <w:t xml:space="preserve"> </w:t>
            </w:r>
          </w:p>
          <w:p w14:paraId="3FD12377" w14:textId="77777777" w:rsidR="008D64F9" w:rsidRPr="009204EA" w:rsidRDefault="008D64F9" w:rsidP="009204EA">
            <w:pPr>
              <w:pStyle w:val="BodyText"/>
              <w:rPr>
                <w:sz w:val="20"/>
                <w:szCs w:val="20"/>
                <w:rtl/>
                <w:lang w:bidi="ar-LB"/>
              </w:rPr>
            </w:pPr>
            <w:r w:rsidRPr="009204EA">
              <w:rPr>
                <w:sz w:val="20"/>
                <w:szCs w:val="20"/>
                <w:rtl/>
                <w:lang w:bidi="ar-LB"/>
              </w:rPr>
              <w:t>يتمتع المؤلفون، الذين ليسوا من مواطني دولة عضو في الجماعة الأوروبية أو دولة طرف في اتفاقية المنطقة الاقتصادية الأوروبية، ومن يخلفهم في الملكية، بموجب أحكام المادة 123-7، بحق التتبع بموجب الشروط المنصوص عليها في هذا القانون، إذا كان قانونهم الوطني ينص على هذا الحق للمؤلفين الذين هم من مواطني الدول المذكورة أعلاه ومن يخلفهم في الملكية، وللفترة التي يكونون مؤهلين خلالها لممارسة هذا الحق في بلادهم.</w:t>
            </w:r>
            <w:r w:rsidRPr="009204EA">
              <w:rPr>
                <w:sz w:val="20"/>
                <w:szCs w:val="20"/>
                <w:vertAlign w:val="superscript"/>
                <w:lang w:val="en-AU"/>
              </w:rPr>
              <w:footnoteReference w:id="111"/>
            </w:r>
          </w:p>
        </w:tc>
        <w:tc>
          <w:tcPr>
            <w:tcW w:w="2884" w:type="dxa"/>
          </w:tcPr>
          <w:p w14:paraId="554A5FB3" w14:textId="77777777" w:rsidR="008D64F9" w:rsidRPr="009204EA" w:rsidRDefault="008D64F9">
            <w:pPr>
              <w:pStyle w:val="BodyText"/>
              <w:numPr>
                <w:ilvl w:val="0"/>
                <w:numId w:val="17"/>
              </w:numPr>
              <w:ind w:left="360"/>
              <w:rPr>
                <w:sz w:val="20"/>
                <w:szCs w:val="20"/>
                <w:rtl/>
                <w:lang w:bidi="ar-LB"/>
              </w:rPr>
            </w:pPr>
            <w:r w:rsidRPr="009204EA">
              <w:rPr>
                <w:sz w:val="20"/>
                <w:szCs w:val="20"/>
                <w:rtl/>
                <w:lang w:bidi="ar-LB"/>
              </w:rPr>
              <w:t xml:space="preserve">يوفر الحماية للمؤلفين الأجانب من البلدان التي تتمتع بحماية مماثلة لحق التتبع؛ بمعنى آخر، يتم توفير الحماية على أساس المعاملة بالمثل.  </w:t>
            </w:r>
          </w:p>
        </w:tc>
      </w:tr>
      <w:tr w:rsidR="008D64F9" w:rsidRPr="009204EA" w14:paraId="5DE3ACE3" w14:textId="77777777" w:rsidTr="00101B5A">
        <w:tc>
          <w:tcPr>
            <w:tcW w:w="2470" w:type="dxa"/>
          </w:tcPr>
          <w:p w14:paraId="1EA6D24D" w14:textId="77777777" w:rsidR="008D64F9" w:rsidRPr="009204EA" w:rsidRDefault="008D64F9" w:rsidP="009204EA">
            <w:pPr>
              <w:pStyle w:val="BodyText"/>
              <w:rPr>
                <w:sz w:val="20"/>
                <w:szCs w:val="20"/>
                <w:rtl/>
                <w:lang w:bidi="ar-LB"/>
              </w:rPr>
            </w:pPr>
            <w:r w:rsidRPr="009204EA">
              <w:rPr>
                <w:sz w:val="20"/>
                <w:szCs w:val="20"/>
                <w:rtl/>
                <w:lang w:bidi="ar-LB"/>
              </w:rPr>
              <w:t>حماية المؤلفين من مواطني الدول الثالثة (المفوضية الأوروبية)</w:t>
            </w:r>
            <w:r w:rsidRPr="009204EA">
              <w:rPr>
                <w:sz w:val="20"/>
                <w:szCs w:val="20"/>
                <w:lang w:val="en-AU"/>
              </w:rPr>
              <w:t xml:space="preserve"> </w:t>
            </w:r>
          </w:p>
        </w:tc>
        <w:tc>
          <w:tcPr>
            <w:tcW w:w="3296" w:type="dxa"/>
          </w:tcPr>
          <w:p w14:paraId="00DEA8B9" w14:textId="77777777" w:rsidR="008D64F9" w:rsidRPr="00364BBC" w:rsidRDefault="008D64F9" w:rsidP="00364BBC">
            <w:pPr>
              <w:pStyle w:val="BodyText"/>
              <w:spacing w:after="0"/>
              <w:rPr>
                <w:b/>
                <w:bCs/>
                <w:sz w:val="20"/>
                <w:szCs w:val="20"/>
                <w:rtl/>
                <w:lang w:bidi="ar-LB"/>
              </w:rPr>
            </w:pPr>
            <w:r w:rsidRPr="00364BBC">
              <w:rPr>
                <w:b/>
                <w:bCs/>
                <w:sz w:val="20"/>
                <w:szCs w:val="20"/>
                <w:rtl/>
                <w:lang w:bidi="ar-LB"/>
              </w:rPr>
              <w:t>المادة 7</w:t>
            </w:r>
          </w:p>
          <w:p w14:paraId="78FB5F06" w14:textId="77777777" w:rsidR="008D64F9" w:rsidRPr="00364BBC" w:rsidRDefault="008D64F9" w:rsidP="009204EA">
            <w:pPr>
              <w:pStyle w:val="BodyText"/>
              <w:rPr>
                <w:b/>
                <w:bCs/>
                <w:sz w:val="20"/>
                <w:szCs w:val="20"/>
                <w:rtl/>
                <w:lang w:bidi="ar-LB"/>
              </w:rPr>
            </w:pPr>
            <w:r w:rsidRPr="00364BBC">
              <w:rPr>
                <w:b/>
                <w:bCs/>
                <w:sz w:val="20"/>
                <w:szCs w:val="20"/>
                <w:rtl/>
                <w:lang w:bidi="ar-LB"/>
              </w:rPr>
              <w:t>مواطنو الدول الثالثة الذين يحق لهم الحصول على إتاوات</w:t>
            </w:r>
          </w:p>
          <w:p w14:paraId="5E79749F" w14:textId="77777777" w:rsidR="008D64F9" w:rsidRPr="009204EA" w:rsidRDefault="008D64F9" w:rsidP="009204EA">
            <w:pPr>
              <w:pStyle w:val="BodyText"/>
              <w:rPr>
                <w:sz w:val="20"/>
                <w:szCs w:val="20"/>
                <w:rtl/>
                <w:lang w:bidi="ar-LB"/>
              </w:rPr>
            </w:pPr>
            <w:r w:rsidRPr="009204EA">
              <w:rPr>
                <w:sz w:val="20"/>
                <w:szCs w:val="20"/>
                <w:rtl/>
                <w:lang w:bidi="ar-LB"/>
              </w:rPr>
              <w:t>1.</w:t>
            </w:r>
            <w:r w:rsidRPr="009204EA">
              <w:rPr>
                <w:sz w:val="20"/>
                <w:szCs w:val="20"/>
              </w:rPr>
              <w:t xml:space="preserve"> </w:t>
            </w:r>
            <w:r w:rsidRPr="009204EA">
              <w:rPr>
                <w:sz w:val="20"/>
                <w:szCs w:val="20"/>
                <w:rtl/>
                <w:lang w:bidi="ar-LB"/>
              </w:rPr>
              <w:t>تنص الدول الأعضاء بموجب المادة 8(2) على أن المؤلفين الذين هم من مواطني الدول الثالثة ومن يخلفهم في الملكية، يتمتعون بحق التتبع وفقًا لهذا التوجيه</w:t>
            </w:r>
          </w:p>
          <w:p w14:paraId="747BDE7C" w14:textId="77777777" w:rsidR="008D64F9" w:rsidRPr="009204EA" w:rsidRDefault="008D64F9" w:rsidP="009204EA">
            <w:pPr>
              <w:pStyle w:val="BodyText"/>
              <w:rPr>
                <w:sz w:val="20"/>
                <w:szCs w:val="20"/>
                <w:rtl/>
                <w:lang w:bidi="ar-LB"/>
              </w:rPr>
            </w:pPr>
            <w:r w:rsidRPr="009204EA">
              <w:rPr>
                <w:sz w:val="20"/>
                <w:szCs w:val="20"/>
                <w:rtl/>
                <w:lang w:bidi="ar-LB"/>
              </w:rPr>
              <w:t>وتشريع الدولة العضو المعنية فقط إذا كان التشريع في البلد الذي يكون المؤلف أو من يخلفه في الملكية مواطناً فيه يسمح بحماية حق التتبع في ذلك البلد للمؤلفين من الدول الأعضاء ومن يخلفهم في الملكية.</w:t>
            </w:r>
          </w:p>
          <w:p w14:paraId="4F133C5F" w14:textId="77777777" w:rsidR="008D64F9" w:rsidRPr="009204EA" w:rsidRDefault="008D64F9" w:rsidP="009204EA">
            <w:pPr>
              <w:pStyle w:val="BodyText"/>
              <w:rPr>
                <w:sz w:val="20"/>
                <w:szCs w:val="20"/>
                <w:rtl/>
                <w:lang w:bidi="ar-LB"/>
              </w:rPr>
            </w:pPr>
            <w:r w:rsidRPr="009204EA">
              <w:rPr>
                <w:sz w:val="20"/>
                <w:szCs w:val="20"/>
                <w:rtl/>
                <w:lang w:bidi="ar-LB"/>
              </w:rPr>
              <w:t>2.</w:t>
            </w:r>
            <w:r w:rsidRPr="009204EA">
              <w:rPr>
                <w:sz w:val="20"/>
                <w:szCs w:val="20"/>
              </w:rPr>
              <w:t xml:space="preserve"> </w:t>
            </w:r>
            <w:r w:rsidRPr="009204EA">
              <w:rPr>
                <w:sz w:val="20"/>
                <w:szCs w:val="20"/>
                <w:rtl/>
                <w:lang w:bidi="ar-LB"/>
              </w:rPr>
              <w:t>على أساس المعلومات المقدمة من الدول الأعضاء، يجب أن تنشر المفوضية في أقرب وقت ممكن قائمة إرشادية بالدول الثالثة التي تستوفي الشرط المنصوص عليه في الفقرة 1.</w:t>
            </w:r>
            <w:r w:rsidRPr="009204EA">
              <w:rPr>
                <w:sz w:val="20"/>
                <w:szCs w:val="20"/>
              </w:rPr>
              <w:t xml:space="preserve"> </w:t>
            </w:r>
            <w:r w:rsidRPr="009204EA">
              <w:rPr>
                <w:sz w:val="20"/>
                <w:szCs w:val="20"/>
                <w:rtl/>
                <w:lang w:bidi="ar-LB"/>
              </w:rPr>
              <w:t>يجب تحديث هذه القائمة بشكل منتظم.</w:t>
            </w:r>
          </w:p>
          <w:p w14:paraId="2FFFF622" w14:textId="77777777" w:rsidR="008D64F9" w:rsidRPr="009204EA" w:rsidRDefault="008D64F9" w:rsidP="009204EA">
            <w:pPr>
              <w:pStyle w:val="BodyText"/>
              <w:rPr>
                <w:sz w:val="20"/>
                <w:szCs w:val="20"/>
                <w:rtl/>
                <w:lang w:bidi="ar-LB"/>
              </w:rPr>
            </w:pPr>
            <w:r w:rsidRPr="009204EA">
              <w:rPr>
                <w:sz w:val="20"/>
                <w:szCs w:val="20"/>
                <w:rtl/>
                <w:lang w:bidi="ar-LB"/>
              </w:rPr>
              <w:t>3.</w:t>
            </w:r>
            <w:r w:rsidRPr="009204EA">
              <w:rPr>
                <w:sz w:val="20"/>
                <w:szCs w:val="20"/>
              </w:rPr>
              <w:t xml:space="preserve"> </w:t>
            </w:r>
            <w:r w:rsidRPr="009204EA">
              <w:rPr>
                <w:sz w:val="20"/>
                <w:szCs w:val="20"/>
                <w:rtl/>
                <w:lang w:bidi="ar-LB"/>
              </w:rPr>
              <w:t>يجوز لأي دولة عضو أن تعامل المؤلفين الذين ليسوا من مواطني دولة عضو ولكن لديهم محل إقامة معتاد في تلك الدولة العضو بنفس الطريقة التي تعامل بها مواطنيها لغرض حماية حق التتبع.</w:t>
            </w:r>
            <w:r w:rsidRPr="009204EA">
              <w:rPr>
                <w:sz w:val="20"/>
                <w:szCs w:val="20"/>
                <w:vertAlign w:val="superscript"/>
                <w:lang w:val="en-GB"/>
              </w:rPr>
              <w:footnoteReference w:id="112"/>
            </w:r>
          </w:p>
          <w:p w14:paraId="0992463B" w14:textId="77777777" w:rsidR="008D64F9" w:rsidRPr="009204EA" w:rsidRDefault="008D64F9" w:rsidP="009204EA">
            <w:pPr>
              <w:pStyle w:val="BodyText"/>
              <w:rPr>
                <w:sz w:val="20"/>
                <w:szCs w:val="20"/>
                <w:lang w:val="en-GB"/>
              </w:rPr>
            </w:pPr>
          </w:p>
        </w:tc>
        <w:tc>
          <w:tcPr>
            <w:tcW w:w="2884" w:type="dxa"/>
          </w:tcPr>
          <w:p w14:paraId="4B9CEAAC" w14:textId="77777777" w:rsidR="008D64F9" w:rsidRPr="009204EA" w:rsidRDefault="008D64F9">
            <w:pPr>
              <w:pStyle w:val="BodyText"/>
              <w:numPr>
                <w:ilvl w:val="0"/>
                <w:numId w:val="17"/>
              </w:numPr>
              <w:ind w:left="360"/>
              <w:rPr>
                <w:sz w:val="20"/>
                <w:szCs w:val="20"/>
                <w:rtl/>
                <w:lang w:bidi="ar-LB"/>
              </w:rPr>
            </w:pPr>
            <w:r w:rsidRPr="009204EA">
              <w:rPr>
                <w:sz w:val="20"/>
                <w:szCs w:val="20"/>
                <w:rtl/>
                <w:lang w:bidi="ar-LB"/>
              </w:rPr>
              <w:t>ينص على توسيع نطاق الحماية على أساس المعاملة بالمثل.</w:t>
            </w:r>
          </w:p>
        </w:tc>
      </w:tr>
      <w:tr w:rsidR="008D64F9" w:rsidRPr="009204EA" w14:paraId="6DA3D8BF" w14:textId="77777777" w:rsidTr="00101B5A">
        <w:tc>
          <w:tcPr>
            <w:tcW w:w="2470" w:type="dxa"/>
          </w:tcPr>
          <w:p w14:paraId="026C6998" w14:textId="77777777" w:rsidR="008D64F9" w:rsidRPr="009204EA" w:rsidRDefault="008D64F9" w:rsidP="009204EA">
            <w:pPr>
              <w:pStyle w:val="BodyText"/>
              <w:rPr>
                <w:sz w:val="20"/>
                <w:szCs w:val="20"/>
                <w:rtl/>
                <w:lang w:bidi="ar-LB"/>
              </w:rPr>
            </w:pPr>
            <w:r w:rsidRPr="009204EA">
              <w:rPr>
                <w:rFonts w:hint="cs"/>
                <w:sz w:val="20"/>
                <w:szCs w:val="20"/>
                <w:rtl/>
                <w:lang w:bidi="ar-LB"/>
              </w:rPr>
              <w:t>أ</w:t>
            </w:r>
            <w:r w:rsidRPr="009204EA">
              <w:rPr>
                <w:sz w:val="20"/>
                <w:szCs w:val="20"/>
                <w:rtl/>
                <w:lang w:bidi="ar-LB"/>
              </w:rPr>
              <w:t>حك</w:t>
            </w:r>
            <w:r w:rsidRPr="009204EA">
              <w:rPr>
                <w:rFonts w:hint="cs"/>
                <w:sz w:val="20"/>
                <w:szCs w:val="20"/>
                <w:rtl/>
                <w:lang w:bidi="ar-LB"/>
              </w:rPr>
              <w:t>ا</w:t>
            </w:r>
            <w:r w:rsidRPr="009204EA">
              <w:rPr>
                <w:sz w:val="20"/>
                <w:szCs w:val="20"/>
                <w:rtl/>
                <w:lang w:bidi="ar-LB"/>
              </w:rPr>
              <w:t>م أكثر تفصيلاً</w:t>
            </w:r>
            <w:r w:rsidRPr="009204EA">
              <w:rPr>
                <w:rFonts w:hint="cs"/>
                <w:sz w:val="20"/>
                <w:szCs w:val="20"/>
                <w:rtl/>
                <w:lang w:bidi="ar-LB"/>
              </w:rPr>
              <w:t xml:space="preserve"> ت</w:t>
            </w:r>
            <w:r w:rsidRPr="009204EA">
              <w:rPr>
                <w:sz w:val="20"/>
                <w:szCs w:val="20"/>
                <w:rtl/>
                <w:lang w:bidi="ar-LB"/>
              </w:rPr>
              <w:t xml:space="preserve">تناول المصنفات التي أنشأها مؤلفون </w:t>
            </w:r>
            <w:r w:rsidRPr="009204EA">
              <w:rPr>
                <w:sz w:val="20"/>
                <w:szCs w:val="20"/>
                <w:rtl/>
                <w:lang w:bidi="ar-LB"/>
              </w:rPr>
              <w:lastRenderedPageBreak/>
              <w:t>فرديون ومتعددون بالإضافة إلى المؤلفين الأجانب</w:t>
            </w:r>
          </w:p>
        </w:tc>
        <w:tc>
          <w:tcPr>
            <w:tcW w:w="3296" w:type="dxa"/>
          </w:tcPr>
          <w:p w14:paraId="141B99A1" w14:textId="77777777" w:rsidR="008D64F9" w:rsidRPr="00364BBC" w:rsidRDefault="008D64F9" w:rsidP="009204EA">
            <w:pPr>
              <w:pStyle w:val="BodyText"/>
              <w:rPr>
                <w:b/>
                <w:bCs/>
                <w:sz w:val="20"/>
                <w:szCs w:val="20"/>
                <w:rtl/>
                <w:lang w:bidi="ar-LB"/>
              </w:rPr>
            </w:pPr>
            <w:r w:rsidRPr="00364BBC">
              <w:rPr>
                <w:b/>
                <w:bCs/>
                <w:sz w:val="20"/>
                <w:szCs w:val="20"/>
                <w:rtl/>
                <w:lang w:bidi="ar-LB"/>
              </w:rPr>
              <w:lastRenderedPageBreak/>
              <w:t>12 من يملك حق التتبع؟</w:t>
            </w:r>
          </w:p>
          <w:p w14:paraId="01E16BD1" w14:textId="77777777" w:rsidR="008D64F9" w:rsidRPr="009204EA" w:rsidRDefault="008D64F9" w:rsidP="009204EA">
            <w:pPr>
              <w:pStyle w:val="BodyText"/>
              <w:rPr>
                <w:i/>
                <w:sz w:val="20"/>
                <w:szCs w:val="20"/>
                <w:rtl/>
                <w:lang w:bidi="ar-LB"/>
              </w:rPr>
            </w:pPr>
            <w:r w:rsidRPr="009204EA">
              <w:rPr>
                <w:i/>
                <w:sz w:val="20"/>
                <w:szCs w:val="20"/>
                <w:rtl/>
                <w:lang w:bidi="ar-LB"/>
              </w:rPr>
              <w:lastRenderedPageBreak/>
              <w:t>مصنف فني تم إنشاؤه من قبل فنان واحد ما زال على قيد الحياة</w:t>
            </w:r>
          </w:p>
          <w:p w14:paraId="3FF1EF7E" w14:textId="77777777" w:rsidR="008D64F9" w:rsidRPr="009204EA" w:rsidRDefault="008D64F9" w:rsidP="009204EA">
            <w:pPr>
              <w:pStyle w:val="BodyText"/>
              <w:rPr>
                <w:sz w:val="20"/>
                <w:szCs w:val="20"/>
                <w:rtl/>
                <w:lang w:bidi="ar-LB"/>
              </w:rPr>
            </w:pPr>
            <w:r w:rsidRPr="009204EA">
              <w:rPr>
                <w:sz w:val="20"/>
                <w:szCs w:val="20"/>
                <w:rtl/>
                <w:lang w:bidi="ar-LB"/>
              </w:rPr>
              <w:t>(1) إذا تم إنشاء مصنف فني من قبل فنان واحد تم تحديده وما زال على قيد الحياة في وقت إعادة البيع التجاري للمصنف الفني، فإن حق التتبع عند إعادة البيع التجاري يعود إلى الفنان، شرط أن يستوفي متطلب الإقامة في وقت إعادة البيع التجاري.</w:t>
            </w:r>
          </w:p>
          <w:p w14:paraId="3F7D81F4" w14:textId="77777777" w:rsidR="008D64F9" w:rsidRPr="009204EA" w:rsidRDefault="008D64F9" w:rsidP="009204EA">
            <w:pPr>
              <w:pStyle w:val="BodyText"/>
              <w:rPr>
                <w:sz w:val="20"/>
                <w:szCs w:val="20"/>
                <w:rtl/>
                <w:lang w:bidi="ar-LB"/>
              </w:rPr>
            </w:pPr>
            <w:r w:rsidRPr="009204EA">
              <w:rPr>
                <w:sz w:val="20"/>
                <w:szCs w:val="20"/>
                <w:rtl/>
                <w:lang w:bidi="ar-LB"/>
              </w:rPr>
              <w:t>…</w:t>
            </w:r>
          </w:p>
          <w:p w14:paraId="4CEF3B91" w14:textId="77777777" w:rsidR="008D64F9" w:rsidRPr="009204EA" w:rsidRDefault="008D64F9" w:rsidP="009204EA">
            <w:pPr>
              <w:pStyle w:val="BodyText"/>
              <w:rPr>
                <w:sz w:val="20"/>
                <w:szCs w:val="20"/>
                <w:rtl/>
                <w:lang w:bidi="ar-LB"/>
              </w:rPr>
            </w:pPr>
            <w:r w:rsidRPr="009204EA">
              <w:rPr>
                <w:i/>
                <w:sz w:val="20"/>
                <w:szCs w:val="20"/>
                <w:rtl/>
                <w:lang w:bidi="ar-LB"/>
              </w:rPr>
              <w:t>مصنف فني تم إنشاؤه من قبل أكثر من فنان</w:t>
            </w:r>
          </w:p>
          <w:p w14:paraId="10CCFFEC" w14:textId="77777777" w:rsidR="008D64F9" w:rsidRPr="009204EA" w:rsidRDefault="008D64F9" w:rsidP="009204EA">
            <w:pPr>
              <w:pStyle w:val="BodyText"/>
              <w:rPr>
                <w:sz w:val="20"/>
                <w:szCs w:val="20"/>
                <w:rtl/>
                <w:lang w:bidi="ar-LB"/>
              </w:rPr>
            </w:pPr>
            <w:r w:rsidRPr="009204EA">
              <w:rPr>
                <w:sz w:val="20"/>
                <w:szCs w:val="20"/>
                <w:rtl/>
                <w:lang w:bidi="ar-LB"/>
              </w:rPr>
              <w:t>(3) إذا تم إنشاء مصنف فني من قبل أكثر من فنان، فإن ملكية حق التتبع</w:t>
            </w:r>
          </w:p>
          <w:p w14:paraId="2382B6D6" w14:textId="77777777" w:rsidR="008D64F9" w:rsidRPr="009204EA" w:rsidRDefault="008D64F9" w:rsidP="009204EA">
            <w:pPr>
              <w:pStyle w:val="BodyText"/>
              <w:rPr>
                <w:sz w:val="20"/>
                <w:szCs w:val="20"/>
                <w:rtl/>
                <w:lang w:bidi="ar-LB"/>
              </w:rPr>
            </w:pPr>
            <w:r w:rsidRPr="009204EA">
              <w:rPr>
                <w:sz w:val="20"/>
                <w:szCs w:val="20"/>
                <w:rtl/>
                <w:lang w:bidi="ar-LB"/>
              </w:rPr>
              <w:t>عند إعادة البيع التجاري للمصنف الفني تعود إلى:</w:t>
            </w:r>
          </w:p>
          <w:p w14:paraId="68ACE8C3" w14:textId="77777777" w:rsidR="008D64F9" w:rsidRPr="009204EA" w:rsidRDefault="008D64F9" w:rsidP="009204EA">
            <w:pPr>
              <w:pStyle w:val="BodyText"/>
              <w:rPr>
                <w:sz w:val="20"/>
                <w:szCs w:val="20"/>
                <w:rtl/>
                <w:lang w:bidi="ar-LB"/>
              </w:rPr>
            </w:pPr>
            <w:r w:rsidRPr="009204EA">
              <w:rPr>
                <w:sz w:val="20"/>
                <w:szCs w:val="20"/>
                <w:rtl/>
                <w:lang w:bidi="ar-LB"/>
              </w:rPr>
              <w:t>(أ) - بالنسبة لكل فنان ما زال على قيد الحياة في وقت إعادة البيع التجاري - الفنان، شرط أن يكون تم تحديده ويستوفي متطلب الإقامة في ذلك الوقت؛</w:t>
            </w:r>
          </w:p>
          <w:p w14:paraId="4C6A6372" w14:textId="77777777" w:rsidR="008D64F9" w:rsidRPr="009204EA" w:rsidRDefault="008D64F9" w:rsidP="009204EA">
            <w:pPr>
              <w:pStyle w:val="BodyText"/>
              <w:rPr>
                <w:sz w:val="20"/>
                <w:szCs w:val="20"/>
                <w:rtl/>
                <w:lang w:bidi="ar-LB"/>
              </w:rPr>
            </w:pPr>
            <w:r w:rsidRPr="009204EA">
              <w:rPr>
                <w:sz w:val="20"/>
                <w:szCs w:val="20"/>
                <w:rtl/>
                <w:lang w:bidi="ar-LB"/>
              </w:rPr>
              <w:t>(ب) - بالنسبة لكل فنان تم تحديده ولكنه لم يعد على قيد الحياة في وقت إعادة البيع التجاري، والذي استوفى متطلب الإقامة مباشرة قبل وفاته، ويخلفه شخص واحد فقط في ملكية الحق -هذا الكيان (أي خليفة الفنان)، شرط أن يستوفي متطلب الإقامة في وقت إعادة البيع التجاري ومتطلب الخلافة؛</w:t>
            </w:r>
            <w:r w:rsidRPr="009204EA">
              <w:rPr>
                <w:sz w:val="20"/>
                <w:szCs w:val="20"/>
              </w:rPr>
              <w:t xml:space="preserve"> </w:t>
            </w:r>
          </w:p>
          <w:p w14:paraId="2875E7C1" w14:textId="77777777" w:rsidR="008D64F9" w:rsidRPr="009204EA" w:rsidRDefault="008D64F9" w:rsidP="009204EA">
            <w:pPr>
              <w:pStyle w:val="BodyText"/>
              <w:rPr>
                <w:sz w:val="20"/>
                <w:szCs w:val="20"/>
                <w:rtl/>
                <w:lang w:bidi="ar-LB"/>
              </w:rPr>
            </w:pPr>
            <w:r w:rsidRPr="009204EA">
              <w:rPr>
                <w:sz w:val="20"/>
                <w:szCs w:val="20"/>
                <w:rtl/>
                <w:lang w:bidi="ar-LB"/>
              </w:rPr>
              <w:t>و(ج) - بالنسبة لكل فنان تم تحديده ولكنه لم يعد على قيد الحياة في وقت إعادة البيع التجاري، والذي استوفى متطلب الإقامة مباشرة قبل وفاته، ويخلفه أكثر من شخص في ملكية الحق - كل كيان من هذه الكيانات، شرط أن يستوفي متطلب الإقامة في وقت إعادة البيع التجاري ومتطلب الخلافة؛</w:t>
            </w:r>
          </w:p>
          <w:p w14:paraId="4E489AB3" w14:textId="77777777" w:rsidR="008D64F9" w:rsidRPr="009204EA" w:rsidRDefault="008D64F9" w:rsidP="009204EA">
            <w:pPr>
              <w:pStyle w:val="BodyText"/>
              <w:rPr>
                <w:i/>
                <w:sz w:val="20"/>
                <w:szCs w:val="20"/>
                <w:rtl/>
                <w:lang w:bidi="ar-LB"/>
              </w:rPr>
            </w:pPr>
            <w:r w:rsidRPr="009204EA">
              <w:rPr>
                <w:i/>
                <w:sz w:val="20"/>
                <w:szCs w:val="20"/>
                <w:rtl/>
                <w:lang w:bidi="ar-LB"/>
              </w:rPr>
              <w:t>الخلفاء اللاحقون في الملكية</w:t>
            </w:r>
          </w:p>
          <w:p w14:paraId="526398B9" w14:textId="77777777" w:rsidR="008D64F9" w:rsidRPr="009204EA" w:rsidRDefault="008D64F9" w:rsidP="009204EA">
            <w:pPr>
              <w:pStyle w:val="BodyText"/>
              <w:rPr>
                <w:sz w:val="20"/>
                <w:szCs w:val="20"/>
                <w:rtl/>
                <w:lang w:bidi="ar-LB"/>
              </w:rPr>
            </w:pPr>
            <w:r w:rsidRPr="009204EA">
              <w:rPr>
                <w:sz w:val="20"/>
                <w:szCs w:val="20"/>
                <w:rtl/>
                <w:lang w:bidi="ar-LB"/>
              </w:rPr>
              <w:t>(4) بالنسبة لكل كيان يمتلك مصلحة في حق التتبع عند إعادة البيع التجاري للمصنف الفني بموجب الفقرة الفرعية (2) أو (3)، أو بموجب حكم سابق لهاتين الفقرتين الفرعيتين، ولكن هذا الكيان قد مات في وقت إعادة البيع التجاري التالية للمصنف الفني، تعود ملكية حق التتبع عند إعادة البيع التجاري التالية للمصنف الفني إلى:</w:t>
            </w:r>
          </w:p>
          <w:p w14:paraId="51E6C6ED" w14:textId="77777777" w:rsidR="008D64F9" w:rsidRPr="009204EA" w:rsidRDefault="008D64F9" w:rsidP="009204EA">
            <w:pPr>
              <w:pStyle w:val="BodyText"/>
              <w:rPr>
                <w:sz w:val="20"/>
                <w:szCs w:val="20"/>
                <w:rtl/>
                <w:lang w:bidi="ar-LB"/>
              </w:rPr>
            </w:pPr>
            <w:r w:rsidRPr="009204EA">
              <w:rPr>
                <w:sz w:val="20"/>
                <w:szCs w:val="20"/>
                <w:rtl/>
                <w:lang w:bidi="ar-LB"/>
              </w:rPr>
              <w:t>(أ) - في حال وجود شخص واحد فقط يخلفه في ملكية الحق - هذا الكيان (أي خليفة خليفة الفنان)، شرط أن يستوفي متطلب الإقامة في وقت إعادة البيع التجاري التالي ومتطلب الخلافة؛</w:t>
            </w:r>
          </w:p>
          <w:p w14:paraId="1D6A4426" w14:textId="77777777" w:rsidR="008D64F9" w:rsidRPr="009204EA" w:rsidRDefault="008D64F9" w:rsidP="009204EA">
            <w:pPr>
              <w:pStyle w:val="BodyText"/>
              <w:rPr>
                <w:sz w:val="20"/>
                <w:szCs w:val="20"/>
                <w:rtl/>
                <w:lang w:bidi="ar-LB"/>
              </w:rPr>
            </w:pPr>
            <w:r w:rsidRPr="009204EA">
              <w:rPr>
                <w:sz w:val="20"/>
                <w:szCs w:val="20"/>
                <w:rtl/>
                <w:lang w:bidi="ar-LB"/>
              </w:rPr>
              <w:lastRenderedPageBreak/>
              <w:t>(ب) - في حال وجود من شخص يخلفه في ملكية الحق -</w:t>
            </w:r>
          </w:p>
          <w:p w14:paraId="10C51550" w14:textId="77777777" w:rsidR="008D64F9" w:rsidRPr="009204EA" w:rsidRDefault="008D64F9" w:rsidP="009204EA">
            <w:pPr>
              <w:pStyle w:val="BodyText"/>
              <w:rPr>
                <w:sz w:val="20"/>
                <w:szCs w:val="20"/>
                <w:rtl/>
                <w:lang w:bidi="ar-LB"/>
              </w:rPr>
            </w:pPr>
            <w:r w:rsidRPr="009204EA">
              <w:rPr>
                <w:sz w:val="20"/>
                <w:szCs w:val="20"/>
                <w:rtl/>
                <w:lang w:bidi="ar-LB"/>
              </w:rPr>
              <w:t>كل كل كيان من هذه الكيانات يستوفي متطلب الإقامة في وقت إعادة البيع التجاري التالي ومتطلب الخلافة.</w:t>
            </w:r>
          </w:p>
          <w:p w14:paraId="73CF57AE" w14:textId="77777777" w:rsidR="008D64F9" w:rsidRPr="009204EA" w:rsidRDefault="008D64F9" w:rsidP="009204EA">
            <w:pPr>
              <w:pStyle w:val="BodyText"/>
              <w:rPr>
                <w:sz w:val="20"/>
                <w:szCs w:val="20"/>
                <w:rtl/>
                <w:lang w:bidi="ar-LB"/>
              </w:rPr>
            </w:pPr>
            <w:r w:rsidRPr="009204EA">
              <w:rPr>
                <w:sz w:val="20"/>
                <w:szCs w:val="20"/>
                <w:rtl/>
                <w:lang w:bidi="ar-LB"/>
              </w:rPr>
              <w:t>……</w:t>
            </w:r>
          </w:p>
          <w:p w14:paraId="7463A232" w14:textId="77777777" w:rsidR="008D64F9" w:rsidRPr="009204EA" w:rsidRDefault="008D64F9" w:rsidP="009204EA">
            <w:pPr>
              <w:pStyle w:val="BodyText"/>
              <w:rPr>
                <w:sz w:val="20"/>
                <w:szCs w:val="20"/>
                <w:rtl/>
                <w:lang w:bidi="ar-LB"/>
              </w:rPr>
            </w:pPr>
            <w:r w:rsidRPr="009204EA">
              <w:rPr>
                <w:sz w:val="20"/>
                <w:szCs w:val="20"/>
                <w:rtl/>
                <w:lang w:bidi="ar-LB"/>
              </w:rPr>
              <w:t>14 متطلب الإقامة</w:t>
            </w:r>
          </w:p>
          <w:p w14:paraId="2D525F43" w14:textId="77777777" w:rsidR="008D64F9" w:rsidRPr="009204EA" w:rsidRDefault="008D64F9" w:rsidP="009204EA">
            <w:pPr>
              <w:pStyle w:val="BodyText"/>
              <w:rPr>
                <w:sz w:val="20"/>
                <w:szCs w:val="20"/>
                <w:rtl/>
                <w:lang w:bidi="ar-LB"/>
              </w:rPr>
            </w:pPr>
            <w:r w:rsidRPr="009204EA">
              <w:rPr>
                <w:sz w:val="20"/>
                <w:szCs w:val="20"/>
                <w:rtl/>
                <w:lang w:bidi="ar-LB"/>
              </w:rPr>
              <w:t>(1) يفي الفرد بمتطلب الإقامة في وقت معين إذا كان الفرد في ذلك الوقت:</w:t>
            </w:r>
          </w:p>
          <w:p w14:paraId="4C1D53FF" w14:textId="77777777" w:rsidR="008D64F9" w:rsidRPr="009204EA" w:rsidRDefault="008D64F9" w:rsidP="009204EA">
            <w:pPr>
              <w:pStyle w:val="BodyText"/>
              <w:rPr>
                <w:sz w:val="20"/>
                <w:szCs w:val="20"/>
                <w:rtl/>
                <w:lang w:bidi="ar-LB"/>
              </w:rPr>
            </w:pPr>
            <w:r w:rsidRPr="009204EA">
              <w:rPr>
                <w:sz w:val="20"/>
                <w:szCs w:val="20"/>
                <w:rtl/>
                <w:lang w:bidi="ar-LB"/>
              </w:rPr>
              <w:t>(أ) مواطن أسترالي؛</w:t>
            </w:r>
          </w:p>
          <w:p w14:paraId="1C2C427E" w14:textId="77777777" w:rsidR="008D64F9" w:rsidRPr="009204EA" w:rsidRDefault="008D64F9" w:rsidP="009204EA">
            <w:pPr>
              <w:pStyle w:val="BodyText"/>
              <w:rPr>
                <w:sz w:val="20"/>
                <w:szCs w:val="20"/>
                <w:rtl/>
                <w:lang w:bidi="ar-LB"/>
              </w:rPr>
            </w:pPr>
            <w:r w:rsidRPr="009204EA">
              <w:rPr>
                <w:sz w:val="20"/>
                <w:szCs w:val="20"/>
                <w:rtl/>
                <w:lang w:bidi="ar-LB"/>
              </w:rPr>
              <w:t>أو (ب) مقيم دائم في أستراليا؛</w:t>
            </w:r>
          </w:p>
          <w:p w14:paraId="68FFA1FB" w14:textId="77777777" w:rsidR="008D64F9" w:rsidRPr="009204EA" w:rsidRDefault="008D64F9" w:rsidP="009204EA">
            <w:pPr>
              <w:pStyle w:val="BodyText"/>
              <w:rPr>
                <w:sz w:val="20"/>
                <w:szCs w:val="20"/>
                <w:rtl/>
                <w:lang w:bidi="ar-LB"/>
              </w:rPr>
            </w:pPr>
            <w:r w:rsidRPr="009204EA">
              <w:rPr>
                <w:sz w:val="20"/>
                <w:szCs w:val="20"/>
                <w:rtl/>
                <w:lang w:bidi="ar-LB"/>
              </w:rPr>
              <w:t>أو (ج) مواطن بلد من البلدان التي يتم التعامل معها بالمثل.</w:t>
            </w:r>
          </w:p>
          <w:p w14:paraId="31F5FB97" w14:textId="77777777" w:rsidR="008D64F9" w:rsidRPr="009204EA" w:rsidRDefault="008D64F9" w:rsidP="009204EA">
            <w:pPr>
              <w:pStyle w:val="BodyText"/>
              <w:rPr>
                <w:sz w:val="20"/>
                <w:szCs w:val="20"/>
                <w:rtl/>
                <w:lang w:bidi="ar-LB"/>
              </w:rPr>
            </w:pPr>
            <w:r w:rsidRPr="009204EA">
              <w:rPr>
                <w:sz w:val="20"/>
                <w:szCs w:val="20"/>
                <w:rtl/>
                <w:lang w:bidi="ar-LB"/>
              </w:rPr>
              <w:t>(2) تستوفي أي شركة متطلب الإقامة في وقت معين إذا:</w:t>
            </w:r>
          </w:p>
          <w:p w14:paraId="44C1AECA" w14:textId="77777777" w:rsidR="008D64F9" w:rsidRPr="009204EA" w:rsidRDefault="008D64F9" w:rsidP="009204EA">
            <w:pPr>
              <w:pStyle w:val="BodyText"/>
              <w:rPr>
                <w:sz w:val="20"/>
                <w:szCs w:val="20"/>
                <w:rtl/>
                <w:lang w:bidi="ar-LB"/>
              </w:rPr>
            </w:pPr>
            <w:r w:rsidRPr="009204EA">
              <w:rPr>
                <w:sz w:val="20"/>
                <w:szCs w:val="20"/>
                <w:rtl/>
                <w:lang w:bidi="ar-LB"/>
              </w:rPr>
              <w:t>(أ) تم تأسيسها بموجب قانون الشركات لعام 2001، أو بموجب</w:t>
            </w:r>
          </w:p>
          <w:p w14:paraId="555B5A8A" w14:textId="77777777" w:rsidR="008D64F9" w:rsidRPr="009204EA" w:rsidRDefault="008D64F9" w:rsidP="009204EA">
            <w:pPr>
              <w:pStyle w:val="BodyText"/>
              <w:rPr>
                <w:sz w:val="20"/>
                <w:szCs w:val="20"/>
                <w:rtl/>
                <w:lang w:bidi="ar-LB"/>
              </w:rPr>
            </w:pPr>
            <w:r w:rsidRPr="009204EA">
              <w:rPr>
                <w:sz w:val="20"/>
                <w:szCs w:val="20"/>
                <w:rtl/>
                <w:lang w:bidi="ar-LB"/>
              </w:rPr>
              <w:t>قانون دولة  تعد من الدول التي يتم التعامل معها بالمثل؛</w:t>
            </w:r>
          </w:p>
          <w:p w14:paraId="2CAD5433" w14:textId="77777777" w:rsidR="008D64F9" w:rsidRPr="009204EA" w:rsidRDefault="008D64F9" w:rsidP="009204EA">
            <w:pPr>
              <w:pStyle w:val="BodyText"/>
              <w:rPr>
                <w:sz w:val="20"/>
                <w:szCs w:val="20"/>
                <w:rtl/>
                <w:lang w:bidi="ar-LB"/>
              </w:rPr>
            </w:pPr>
            <w:r w:rsidRPr="009204EA">
              <w:rPr>
                <w:sz w:val="20"/>
                <w:szCs w:val="20"/>
                <w:rtl/>
                <w:lang w:bidi="ar-LB"/>
              </w:rPr>
              <w:t>أو (ب) تقوم الشركة بإدارة مشاريع في أستراليا في ذلك الوقت أو في دولة تعد من الدول التي يتم التعامل معها بالمثل.</w:t>
            </w:r>
          </w:p>
          <w:p w14:paraId="1083E9DE" w14:textId="77777777" w:rsidR="008D64F9" w:rsidRPr="009204EA" w:rsidRDefault="008D64F9" w:rsidP="009204EA">
            <w:pPr>
              <w:pStyle w:val="BodyText"/>
              <w:rPr>
                <w:sz w:val="20"/>
                <w:szCs w:val="20"/>
                <w:rtl/>
                <w:lang w:bidi="ar-LB"/>
              </w:rPr>
            </w:pPr>
            <w:r w:rsidRPr="009204EA">
              <w:rPr>
                <w:sz w:val="20"/>
                <w:szCs w:val="20"/>
                <w:rtl/>
                <w:lang w:bidi="ar-LB"/>
              </w:rPr>
              <w:t>(3) تستوفي أي هيئة لم يتم تأسيسها كشركة قانونية بمتطلب الإقامة في</w:t>
            </w:r>
            <w:r w:rsidRPr="009204EA">
              <w:rPr>
                <w:sz w:val="20"/>
                <w:szCs w:val="20"/>
                <w:lang w:val="en-AU"/>
              </w:rPr>
              <w:t xml:space="preserve"> </w:t>
            </w:r>
            <w:r w:rsidRPr="009204EA">
              <w:rPr>
                <w:sz w:val="20"/>
                <w:szCs w:val="20"/>
                <w:rtl/>
                <w:lang w:bidi="ar-LB"/>
              </w:rPr>
              <w:t>وقت معين إذا كانت تدير مشاريع في أستراليا في ذلك الوقت أو في دولة تعد من الدول التي يتم التعامل معها بالمثل.</w:t>
            </w:r>
            <w:r w:rsidRPr="009204EA">
              <w:rPr>
                <w:sz w:val="20"/>
                <w:szCs w:val="20"/>
                <w:vertAlign w:val="superscript"/>
                <w:lang w:val="en-GB"/>
              </w:rPr>
              <w:footnoteReference w:id="113"/>
            </w:r>
          </w:p>
          <w:p w14:paraId="2FAFAC1C" w14:textId="77777777" w:rsidR="008D64F9" w:rsidRPr="009204EA" w:rsidRDefault="008D64F9" w:rsidP="009204EA">
            <w:pPr>
              <w:pStyle w:val="BodyText"/>
              <w:rPr>
                <w:sz w:val="20"/>
                <w:szCs w:val="20"/>
                <w:rtl/>
                <w:lang w:bidi="ar-LB"/>
              </w:rPr>
            </w:pPr>
            <w:r w:rsidRPr="009204EA">
              <w:rPr>
                <w:sz w:val="20"/>
                <w:szCs w:val="20"/>
                <w:rtl/>
                <w:lang w:bidi="ar-LB"/>
              </w:rPr>
              <w:t>…</w:t>
            </w:r>
          </w:p>
          <w:p w14:paraId="016A8C70" w14:textId="77777777" w:rsidR="008D64F9" w:rsidRPr="009204EA" w:rsidRDefault="008D64F9" w:rsidP="009204EA">
            <w:pPr>
              <w:pStyle w:val="BodyText"/>
              <w:rPr>
                <w:sz w:val="20"/>
                <w:szCs w:val="20"/>
                <w:rtl/>
                <w:lang w:bidi="ar-LB"/>
              </w:rPr>
            </w:pPr>
            <w:r w:rsidRPr="009204EA">
              <w:rPr>
                <w:sz w:val="20"/>
                <w:szCs w:val="20"/>
                <w:rtl/>
                <w:lang w:bidi="ar-LB"/>
              </w:rPr>
              <w:t>53 اللوائح</w:t>
            </w:r>
          </w:p>
          <w:p w14:paraId="6F9A4521" w14:textId="77777777" w:rsidR="008D64F9" w:rsidRPr="009204EA" w:rsidRDefault="008D64F9" w:rsidP="009204EA">
            <w:pPr>
              <w:pStyle w:val="BodyText"/>
              <w:rPr>
                <w:sz w:val="20"/>
                <w:szCs w:val="20"/>
                <w:rtl/>
                <w:lang w:bidi="ar-LB"/>
              </w:rPr>
            </w:pPr>
            <w:r w:rsidRPr="009204EA">
              <w:rPr>
                <w:sz w:val="20"/>
                <w:szCs w:val="20"/>
                <w:rtl/>
                <w:lang w:bidi="ar-LB"/>
              </w:rPr>
              <w:t>يجوز للحاكم العام إصدار لوائح تنظم المسائل:</w:t>
            </w:r>
          </w:p>
          <w:p w14:paraId="0C5AF5C8" w14:textId="77777777" w:rsidR="008D64F9" w:rsidRPr="009204EA" w:rsidRDefault="008D64F9" w:rsidP="009204EA">
            <w:pPr>
              <w:pStyle w:val="BodyText"/>
              <w:rPr>
                <w:sz w:val="20"/>
                <w:szCs w:val="20"/>
                <w:rtl/>
                <w:lang w:bidi="ar-LB"/>
              </w:rPr>
            </w:pPr>
            <w:r w:rsidRPr="009204EA">
              <w:rPr>
                <w:sz w:val="20"/>
                <w:szCs w:val="20"/>
                <w:rtl/>
                <w:lang w:bidi="ar-LB"/>
              </w:rPr>
              <w:t>(أ) المنصوص عليها في هذا القانون أو المسموح بها بموجب هذا القانون؛</w:t>
            </w:r>
          </w:p>
          <w:p w14:paraId="1893C32A" w14:textId="77777777" w:rsidR="008D64F9" w:rsidRPr="009204EA" w:rsidRDefault="008D64F9" w:rsidP="009204EA">
            <w:pPr>
              <w:pStyle w:val="BodyText"/>
              <w:rPr>
                <w:sz w:val="20"/>
                <w:szCs w:val="20"/>
                <w:rtl/>
                <w:lang w:bidi="ar-LB"/>
              </w:rPr>
            </w:pPr>
            <w:r w:rsidRPr="009204EA">
              <w:rPr>
                <w:sz w:val="20"/>
                <w:szCs w:val="20"/>
                <w:rtl/>
                <w:lang w:bidi="ar-LB"/>
              </w:rPr>
              <w:t>أو (ب) الضرورية أو الملائمة التي يجب النص عليها وتحديدها لتطبيق هذا القانون أو إنفاذه.</w:t>
            </w:r>
          </w:p>
          <w:p w14:paraId="77B2DD00" w14:textId="77777777" w:rsidR="008D64F9" w:rsidRPr="009204EA" w:rsidRDefault="008D64F9" w:rsidP="009204EA">
            <w:pPr>
              <w:pStyle w:val="BodyText"/>
              <w:rPr>
                <w:sz w:val="20"/>
                <w:szCs w:val="20"/>
                <w:lang w:val="en-GB"/>
              </w:rPr>
            </w:pPr>
          </w:p>
          <w:p w14:paraId="23D5326D" w14:textId="77777777" w:rsidR="008D64F9" w:rsidRPr="009204EA" w:rsidRDefault="008D64F9" w:rsidP="009204EA">
            <w:pPr>
              <w:pStyle w:val="BodyText"/>
              <w:rPr>
                <w:sz w:val="20"/>
                <w:szCs w:val="20"/>
                <w:rtl/>
                <w:lang w:bidi="ar-LB"/>
              </w:rPr>
            </w:pPr>
            <w:r w:rsidRPr="009204EA">
              <w:rPr>
                <w:sz w:val="20"/>
                <w:szCs w:val="20"/>
                <w:rtl/>
                <w:lang w:bidi="ar-LB"/>
              </w:rPr>
              <w:lastRenderedPageBreak/>
              <w:t>اللائحة 6أ:</w:t>
            </w:r>
          </w:p>
          <w:p w14:paraId="44FC48F4" w14:textId="77777777" w:rsidR="008D64F9" w:rsidRPr="009204EA" w:rsidRDefault="008D64F9" w:rsidP="009204EA">
            <w:pPr>
              <w:pStyle w:val="BodyText"/>
              <w:rPr>
                <w:sz w:val="20"/>
                <w:szCs w:val="20"/>
                <w:lang w:val="en-GB"/>
              </w:rPr>
            </w:pPr>
          </w:p>
          <w:p w14:paraId="1D878BD0" w14:textId="77777777" w:rsidR="008D64F9" w:rsidRPr="009204EA" w:rsidRDefault="008D64F9" w:rsidP="009204EA">
            <w:pPr>
              <w:pStyle w:val="BodyText"/>
              <w:rPr>
                <w:sz w:val="20"/>
                <w:szCs w:val="20"/>
                <w:rtl/>
                <w:lang w:bidi="ar-LB"/>
              </w:rPr>
            </w:pPr>
            <w:r w:rsidRPr="009204EA">
              <w:rPr>
                <w:sz w:val="20"/>
                <w:szCs w:val="20"/>
                <w:rtl/>
                <w:lang w:bidi="ar-LB"/>
              </w:rPr>
              <w:t>متطلب الإقامة--الأفراد</w:t>
            </w:r>
            <w:bookmarkStart w:id="5" w:name="subsection"/>
            <w:bookmarkEnd w:id="5"/>
          </w:p>
          <w:p w14:paraId="740B75DD" w14:textId="77777777" w:rsidR="008D64F9" w:rsidRPr="009204EA" w:rsidRDefault="008D64F9" w:rsidP="009204EA">
            <w:pPr>
              <w:pStyle w:val="BodyText"/>
              <w:rPr>
                <w:sz w:val="20"/>
                <w:szCs w:val="20"/>
                <w:rtl/>
                <w:lang w:bidi="ar-LB"/>
              </w:rPr>
            </w:pPr>
            <w:r w:rsidRPr="009204EA">
              <w:rPr>
                <w:sz w:val="20"/>
                <w:szCs w:val="20"/>
                <w:rtl/>
                <w:lang w:bidi="ar-LB"/>
              </w:rPr>
              <w:t>لأغراض الفقرة   14(1)(ج) من القانون، يتم تحديد البلدان التالية كدول يتم التعامل معها بالمثل: </w:t>
            </w:r>
          </w:p>
          <w:p w14:paraId="76B58E2D" w14:textId="77777777" w:rsidR="008D64F9" w:rsidRPr="009204EA" w:rsidRDefault="008D64F9" w:rsidP="009204EA">
            <w:pPr>
              <w:pStyle w:val="BodyText"/>
              <w:rPr>
                <w:sz w:val="20"/>
                <w:szCs w:val="20"/>
                <w:lang w:val="en-AU"/>
              </w:rPr>
            </w:pPr>
          </w:p>
          <w:p w14:paraId="2E1C4DF5" w14:textId="77777777" w:rsidR="008D64F9" w:rsidRPr="009204EA" w:rsidRDefault="008D64F9" w:rsidP="009204EA">
            <w:pPr>
              <w:pStyle w:val="BodyText"/>
              <w:rPr>
                <w:sz w:val="20"/>
                <w:szCs w:val="20"/>
                <w:rtl/>
                <w:lang w:bidi="ar-LB"/>
              </w:rPr>
            </w:pPr>
            <w:bookmarkStart w:id="6" w:name="paragraph"/>
            <w:r w:rsidRPr="009204EA">
              <w:rPr>
                <w:sz w:val="20"/>
                <w:szCs w:val="20"/>
                <w:rtl/>
                <w:lang w:bidi="ar-LB"/>
              </w:rPr>
              <w:t>  (أ)    النمسا؛ </w:t>
            </w:r>
          </w:p>
          <w:p w14:paraId="0EE7825A" w14:textId="77777777" w:rsidR="008D64F9" w:rsidRPr="009204EA" w:rsidRDefault="008D64F9" w:rsidP="009204EA">
            <w:pPr>
              <w:pStyle w:val="BodyText"/>
              <w:rPr>
                <w:sz w:val="20"/>
                <w:szCs w:val="20"/>
                <w:rtl/>
                <w:lang w:bidi="ar-LB"/>
              </w:rPr>
            </w:pPr>
            <w:r w:rsidRPr="009204EA">
              <w:rPr>
                <w:sz w:val="20"/>
                <w:szCs w:val="20"/>
                <w:rtl/>
                <w:lang w:bidi="ar-LB"/>
              </w:rPr>
              <w:t>  (ب)    بلجيكا؛ </w:t>
            </w:r>
          </w:p>
          <w:p w14:paraId="62808212" w14:textId="77777777" w:rsidR="008D64F9" w:rsidRPr="009204EA" w:rsidRDefault="008D64F9" w:rsidP="009204EA">
            <w:pPr>
              <w:pStyle w:val="BodyText"/>
              <w:rPr>
                <w:sz w:val="20"/>
                <w:szCs w:val="20"/>
                <w:rtl/>
                <w:lang w:bidi="ar-LB"/>
              </w:rPr>
            </w:pPr>
            <w:r w:rsidRPr="009204EA">
              <w:rPr>
                <w:sz w:val="20"/>
                <w:szCs w:val="20"/>
                <w:rtl/>
                <w:lang w:bidi="ar-LB"/>
              </w:rPr>
              <w:t>  (ج)    الجمهورية التشيكية؛ </w:t>
            </w:r>
          </w:p>
          <w:p w14:paraId="770AE266" w14:textId="77777777" w:rsidR="008D64F9" w:rsidRPr="009204EA" w:rsidRDefault="008D64F9" w:rsidP="009204EA">
            <w:pPr>
              <w:pStyle w:val="BodyText"/>
              <w:rPr>
                <w:sz w:val="20"/>
                <w:szCs w:val="20"/>
                <w:rtl/>
                <w:lang w:bidi="ar-LB"/>
              </w:rPr>
            </w:pPr>
            <w:r w:rsidRPr="009204EA">
              <w:rPr>
                <w:sz w:val="20"/>
                <w:szCs w:val="20"/>
                <w:rtl/>
                <w:lang w:bidi="ar-LB"/>
              </w:rPr>
              <w:t>  (د)    الدنمارك؛ </w:t>
            </w:r>
          </w:p>
          <w:p w14:paraId="779C588A" w14:textId="77777777" w:rsidR="008D64F9" w:rsidRPr="009204EA" w:rsidRDefault="008D64F9" w:rsidP="009204EA">
            <w:pPr>
              <w:pStyle w:val="BodyText"/>
              <w:rPr>
                <w:sz w:val="20"/>
                <w:szCs w:val="20"/>
                <w:rtl/>
                <w:lang w:bidi="ar-LB"/>
              </w:rPr>
            </w:pPr>
            <w:r w:rsidRPr="009204EA">
              <w:rPr>
                <w:sz w:val="20"/>
                <w:szCs w:val="20"/>
                <w:rtl/>
                <w:lang w:bidi="ar-LB"/>
              </w:rPr>
              <w:t>  (ه)    فنلندا؛ </w:t>
            </w:r>
          </w:p>
          <w:p w14:paraId="43FD9F24" w14:textId="77777777" w:rsidR="008D64F9" w:rsidRPr="009204EA" w:rsidRDefault="008D64F9" w:rsidP="009204EA">
            <w:pPr>
              <w:pStyle w:val="BodyText"/>
              <w:rPr>
                <w:sz w:val="20"/>
                <w:szCs w:val="20"/>
                <w:rtl/>
                <w:lang w:bidi="ar-LB"/>
              </w:rPr>
            </w:pPr>
            <w:r w:rsidRPr="009204EA">
              <w:rPr>
                <w:sz w:val="20"/>
                <w:szCs w:val="20"/>
                <w:rtl/>
                <w:lang w:bidi="ar-LB"/>
              </w:rPr>
              <w:t>  (و)    فرنسا؛ </w:t>
            </w:r>
          </w:p>
          <w:p w14:paraId="73CF0F67" w14:textId="77777777" w:rsidR="008D64F9" w:rsidRPr="009204EA" w:rsidRDefault="008D64F9" w:rsidP="009204EA">
            <w:pPr>
              <w:pStyle w:val="BodyText"/>
              <w:rPr>
                <w:sz w:val="20"/>
                <w:szCs w:val="20"/>
                <w:rtl/>
                <w:lang w:bidi="ar-LB"/>
              </w:rPr>
            </w:pPr>
            <w:r w:rsidRPr="009204EA">
              <w:rPr>
                <w:sz w:val="20"/>
                <w:szCs w:val="20"/>
                <w:rtl/>
                <w:lang w:bidi="ar-LB"/>
              </w:rPr>
              <w:t>  (ز)    ألمانيا؛ </w:t>
            </w:r>
          </w:p>
          <w:p w14:paraId="698ECEC3" w14:textId="77777777" w:rsidR="008D64F9" w:rsidRPr="009204EA" w:rsidRDefault="008D64F9" w:rsidP="009204EA">
            <w:pPr>
              <w:pStyle w:val="BodyText"/>
              <w:rPr>
                <w:sz w:val="20"/>
                <w:szCs w:val="20"/>
                <w:rtl/>
                <w:lang w:bidi="ar-LB"/>
              </w:rPr>
            </w:pPr>
            <w:r w:rsidRPr="009204EA">
              <w:rPr>
                <w:sz w:val="20"/>
                <w:szCs w:val="20"/>
                <w:rtl/>
                <w:lang w:bidi="ar-LB"/>
              </w:rPr>
              <w:t>  (ح)    هنغاريا؛ </w:t>
            </w:r>
          </w:p>
          <w:p w14:paraId="269F01DB" w14:textId="77777777" w:rsidR="008D64F9" w:rsidRPr="009204EA" w:rsidRDefault="008D64F9" w:rsidP="009204EA">
            <w:pPr>
              <w:pStyle w:val="BodyText"/>
              <w:rPr>
                <w:sz w:val="20"/>
                <w:szCs w:val="20"/>
                <w:rtl/>
                <w:lang w:bidi="ar-LB"/>
              </w:rPr>
            </w:pPr>
            <w:r w:rsidRPr="009204EA">
              <w:rPr>
                <w:sz w:val="20"/>
                <w:szCs w:val="20"/>
                <w:rtl/>
                <w:lang w:bidi="ar-LB"/>
              </w:rPr>
              <w:t>  (ط)    أيرلندا؛ </w:t>
            </w:r>
          </w:p>
          <w:p w14:paraId="3D17016E" w14:textId="77777777" w:rsidR="008D64F9" w:rsidRPr="009204EA" w:rsidRDefault="008D64F9" w:rsidP="009204EA">
            <w:pPr>
              <w:pStyle w:val="BodyText"/>
              <w:rPr>
                <w:sz w:val="20"/>
                <w:szCs w:val="20"/>
                <w:rtl/>
                <w:lang w:bidi="ar-LB"/>
              </w:rPr>
            </w:pPr>
            <w:r w:rsidRPr="009204EA">
              <w:rPr>
                <w:sz w:val="20"/>
                <w:szCs w:val="20"/>
                <w:rtl/>
                <w:lang w:bidi="ar-LB"/>
              </w:rPr>
              <w:t>  (ي)    إيطاليا؛ </w:t>
            </w:r>
          </w:p>
          <w:p w14:paraId="369EAEC1" w14:textId="77777777" w:rsidR="008D64F9" w:rsidRPr="009204EA" w:rsidRDefault="008D64F9" w:rsidP="009204EA">
            <w:pPr>
              <w:pStyle w:val="BodyText"/>
              <w:rPr>
                <w:sz w:val="20"/>
                <w:szCs w:val="20"/>
                <w:rtl/>
                <w:lang w:bidi="ar-LB"/>
              </w:rPr>
            </w:pPr>
            <w:r w:rsidRPr="009204EA">
              <w:rPr>
                <w:sz w:val="20"/>
                <w:szCs w:val="20"/>
                <w:rtl/>
                <w:lang w:bidi="ar-LB"/>
              </w:rPr>
              <w:t>  (ك)    لاتفيا؛ </w:t>
            </w:r>
          </w:p>
          <w:p w14:paraId="00A2FB22" w14:textId="77777777" w:rsidR="008D64F9" w:rsidRPr="009204EA" w:rsidRDefault="008D64F9" w:rsidP="009204EA">
            <w:pPr>
              <w:pStyle w:val="BodyText"/>
              <w:rPr>
                <w:sz w:val="20"/>
                <w:szCs w:val="20"/>
                <w:rtl/>
                <w:lang w:bidi="ar-LB"/>
              </w:rPr>
            </w:pPr>
            <w:r w:rsidRPr="009204EA">
              <w:rPr>
                <w:sz w:val="20"/>
                <w:szCs w:val="20"/>
                <w:rtl/>
                <w:lang w:bidi="ar-LB"/>
              </w:rPr>
              <w:t>  (ل)    هولندا؛ </w:t>
            </w:r>
          </w:p>
          <w:p w14:paraId="0788F2BD" w14:textId="77777777" w:rsidR="008D64F9" w:rsidRPr="009204EA" w:rsidRDefault="008D64F9" w:rsidP="009204EA">
            <w:pPr>
              <w:pStyle w:val="BodyText"/>
              <w:rPr>
                <w:sz w:val="20"/>
                <w:szCs w:val="20"/>
                <w:rtl/>
                <w:lang w:bidi="ar-LB"/>
              </w:rPr>
            </w:pPr>
            <w:r w:rsidRPr="009204EA">
              <w:rPr>
                <w:sz w:val="20"/>
                <w:szCs w:val="20"/>
                <w:rtl/>
                <w:lang w:bidi="ar-LB"/>
              </w:rPr>
              <w:t>  (م)    النرويج؛ </w:t>
            </w:r>
          </w:p>
          <w:p w14:paraId="2BD4F6A8" w14:textId="77777777" w:rsidR="008D64F9" w:rsidRPr="009204EA" w:rsidRDefault="008D64F9" w:rsidP="009204EA">
            <w:pPr>
              <w:pStyle w:val="BodyText"/>
              <w:rPr>
                <w:sz w:val="20"/>
                <w:szCs w:val="20"/>
                <w:rtl/>
                <w:lang w:bidi="ar-LB"/>
              </w:rPr>
            </w:pPr>
            <w:r w:rsidRPr="009204EA">
              <w:rPr>
                <w:sz w:val="20"/>
                <w:szCs w:val="20"/>
                <w:rtl/>
                <w:lang w:bidi="ar-LB"/>
              </w:rPr>
              <w:t>  (ن)    البرتغال؛ </w:t>
            </w:r>
          </w:p>
          <w:p w14:paraId="240760A4" w14:textId="77777777" w:rsidR="008D64F9" w:rsidRPr="009204EA" w:rsidRDefault="008D64F9" w:rsidP="009204EA">
            <w:pPr>
              <w:pStyle w:val="BodyText"/>
              <w:rPr>
                <w:sz w:val="20"/>
                <w:szCs w:val="20"/>
                <w:rtl/>
                <w:lang w:bidi="ar-LB"/>
              </w:rPr>
            </w:pPr>
            <w:r w:rsidRPr="009204EA">
              <w:rPr>
                <w:sz w:val="20"/>
                <w:szCs w:val="20"/>
                <w:rtl/>
                <w:lang w:bidi="ar-LB"/>
              </w:rPr>
              <w:t>  (س)    إسبانيا؛ </w:t>
            </w:r>
          </w:p>
          <w:p w14:paraId="4A1327FD" w14:textId="77777777" w:rsidR="008D64F9" w:rsidRPr="009204EA" w:rsidRDefault="008D64F9" w:rsidP="009204EA">
            <w:pPr>
              <w:pStyle w:val="BodyText"/>
              <w:rPr>
                <w:sz w:val="20"/>
                <w:szCs w:val="20"/>
                <w:rtl/>
                <w:lang w:bidi="ar-LB"/>
              </w:rPr>
            </w:pPr>
            <w:r w:rsidRPr="009204EA">
              <w:rPr>
                <w:sz w:val="20"/>
                <w:szCs w:val="20"/>
                <w:rtl/>
                <w:lang w:bidi="ar-LB"/>
              </w:rPr>
              <w:t>  (ع)    السويد؛ </w:t>
            </w:r>
          </w:p>
          <w:bookmarkEnd w:id="6"/>
          <w:p w14:paraId="5BF20424" w14:textId="77777777" w:rsidR="008D64F9" w:rsidRPr="009204EA" w:rsidRDefault="008D64F9" w:rsidP="009204EA">
            <w:pPr>
              <w:pStyle w:val="BodyText"/>
              <w:rPr>
                <w:sz w:val="20"/>
                <w:szCs w:val="20"/>
                <w:rtl/>
                <w:lang w:bidi="ar-LB"/>
              </w:rPr>
            </w:pPr>
            <w:r w:rsidRPr="009204EA">
              <w:rPr>
                <w:sz w:val="20"/>
                <w:szCs w:val="20"/>
                <w:rtl/>
                <w:lang w:bidi="ar-LB"/>
              </w:rPr>
              <w:t>  (ف)    المملكة المتحدة؛</w:t>
            </w:r>
            <w:r w:rsidRPr="009204EA">
              <w:rPr>
                <w:sz w:val="20"/>
                <w:szCs w:val="20"/>
                <w:vertAlign w:val="superscript"/>
                <w:lang w:val="en-AU"/>
              </w:rPr>
              <w:footnoteReference w:id="114"/>
            </w:r>
          </w:p>
          <w:p w14:paraId="6E95B889" w14:textId="77777777" w:rsidR="008D64F9" w:rsidRPr="009204EA" w:rsidRDefault="008D64F9" w:rsidP="009204EA">
            <w:pPr>
              <w:pStyle w:val="BodyText"/>
              <w:rPr>
                <w:sz w:val="20"/>
                <w:szCs w:val="20"/>
                <w:lang w:val="en-GB"/>
              </w:rPr>
            </w:pPr>
          </w:p>
        </w:tc>
        <w:tc>
          <w:tcPr>
            <w:tcW w:w="2884" w:type="dxa"/>
          </w:tcPr>
          <w:p w14:paraId="00D54959" w14:textId="77777777" w:rsidR="008D64F9" w:rsidRPr="009204EA" w:rsidRDefault="008D64F9">
            <w:pPr>
              <w:pStyle w:val="BodyText"/>
              <w:numPr>
                <w:ilvl w:val="0"/>
                <w:numId w:val="17"/>
              </w:numPr>
              <w:ind w:left="360"/>
              <w:rPr>
                <w:sz w:val="20"/>
                <w:szCs w:val="20"/>
                <w:rtl/>
                <w:lang w:bidi="ar-LB"/>
              </w:rPr>
            </w:pPr>
            <w:r w:rsidRPr="009204EA">
              <w:rPr>
                <w:sz w:val="20"/>
                <w:szCs w:val="20"/>
                <w:rtl/>
                <w:lang w:bidi="ar-LB"/>
              </w:rPr>
              <w:lastRenderedPageBreak/>
              <w:t>يتناول المؤلفين الفرديين والمتعددين (الفقرتان (1) و(2))</w:t>
            </w:r>
            <w:r w:rsidRPr="009204EA">
              <w:rPr>
                <w:sz w:val="20"/>
                <w:szCs w:val="20"/>
                <w:lang w:val="en-AU"/>
              </w:rPr>
              <w:t xml:space="preserve"> </w:t>
            </w:r>
          </w:p>
          <w:p w14:paraId="116B8C43" w14:textId="77777777" w:rsidR="008D64F9" w:rsidRPr="009204EA" w:rsidRDefault="008D64F9">
            <w:pPr>
              <w:pStyle w:val="BodyText"/>
              <w:numPr>
                <w:ilvl w:val="0"/>
                <w:numId w:val="17"/>
              </w:numPr>
              <w:ind w:left="360"/>
              <w:rPr>
                <w:sz w:val="20"/>
                <w:szCs w:val="20"/>
                <w:rtl/>
                <w:lang w:bidi="ar-LB"/>
              </w:rPr>
            </w:pPr>
            <w:r w:rsidRPr="009204EA">
              <w:rPr>
                <w:sz w:val="20"/>
                <w:szCs w:val="20"/>
                <w:rtl/>
                <w:lang w:bidi="ar-LB"/>
              </w:rPr>
              <w:lastRenderedPageBreak/>
              <w:t>يترك الباب مفتوحا أمام خيار توسيع نطاق وضع "الشخص المؤهل" ليشمل المقيمين الدائمين (يرجى الاطلاع على الاعتراضات على هذا الأمر أعلاه)</w:t>
            </w:r>
          </w:p>
          <w:p w14:paraId="65F0B144" w14:textId="77777777" w:rsidR="008D64F9" w:rsidRPr="009204EA" w:rsidRDefault="008D64F9" w:rsidP="009204EA">
            <w:pPr>
              <w:pStyle w:val="BodyText"/>
              <w:rPr>
                <w:sz w:val="20"/>
                <w:szCs w:val="20"/>
              </w:rPr>
            </w:pPr>
          </w:p>
          <w:p w14:paraId="5DCD7B9E" w14:textId="77777777" w:rsidR="008D64F9" w:rsidRPr="009204EA" w:rsidRDefault="008D64F9" w:rsidP="009204EA">
            <w:pPr>
              <w:pStyle w:val="BodyText"/>
              <w:rPr>
                <w:sz w:val="20"/>
                <w:szCs w:val="20"/>
              </w:rPr>
            </w:pPr>
          </w:p>
          <w:p w14:paraId="2F0C52F0" w14:textId="77777777" w:rsidR="008D64F9" w:rsidRPr="009204EA" w:rsidRDefault="008D64F9" w:rsidP="009204EA">
            <w:pPr>
              <w:pStyle w:val="BodyText"/>
              <w:rPr>
                <w:sz w:val="20"/>
                <w:szCs w:val="20"/>
              </w:rPr>
            </w:pPr>
          </w:p>
          <w:p w14:paraId="06D6824E" w14:textId="77777777" w:rsidR="008D64F9" w:rsidRPr="009204EA" w:rsidRDefault="008D64F9" w:rsidP="009204EA">
            <w:pPr>
              <w:pStyle w:val="BodyText"/>
              <w:rPr>
                <w:sz w:val="20"/>
                <w:szCs w:val="20"/>
              </w:rPr>
            </w:pPr>
          </w:p>
          <w:p w14:paraId="6E5197E4" w14:textId="77777777" w:rsidR="008D64F9" w:rsidRPr="009204EA" w:rsidRDefault="008D64F9" w:rsidP="009204EA">
            <w:pPr>
              <w:pStyle w:val="BodyText"/>
              <w:rPr>
                <w:sz w:val="20"/>
                <w:szCs w:val="20"/>
              </w:rPr>
            </w:pPr>
          </w:p>
          <w:p w14:paraId="4B3CF073" w14:textId="77777777" w:rsidR="008D64F9" w:rsidRPr="009204EA" w:rsidRDefault="008D64F9" w:rsidP="009204EA">
            <w:pPr>
              <w:pStyle w:val="BodyText"/>
              <w:rPr>
                <w:sz w:val="20"/>
                <w:szCs w:val="20"/>
              </w:rPr>
            </w:pPr>
          </w:p>
          <w:p w14:paraId="7BE157E5" w14:textId="77777777" w:rsidR="008D64F9" w:rsidRPr="009204EA" w:rsidRDefault="008D64F9" w:rsidP="009204EA">
            <w:pPr>
              <w:pStyle w:val="BodyText"/>
              <w:rPr>
                <w:sz w:val="20"/>
                <w:szCs w:val="20"/>
              </w:rPr>
            </w:pPr>
          </w:p>
          <w:p w14:paraId="0EF5F085" w14:textId="77777777" w:rsidR="008D64F9" w:rsidRPr="009204EA" w:rsidRDefault="008D64F9" w:rsidP="009204EA">
            <w:pPr>
              <w:pStyle w:val="BodyText"/>
              <w:rPr>
                <w:sz w:val="20"/>
                <w:szCs w:val="20"/>
              </w:rPr>
            </w:pPr>
          </w:p>
          <w:p w14:paraId="0C18C967" w14:textId="77777777" w:rsidR="008D64F9" w:rsidRPr="009204EA" w:rsidRDefault="008D64F9" w:rsidP="009204EA">
            <w:pPr>
              <w:pStyle w:val="BodyText"/>
              <w:rPr>
                <w:sz w:val="20"/>
                <w:szCs w:val="20"/>
              </w:rPr>
            </w:pPr>
          </w:p>
          <w:p w14:paraId="2DF338E7" w14:textId="77777777" w:rsidR="008D64F9" w:rsidRPr="009204EA" w:rsidRDefault="008D64F9" w:rsidP="009204EA">
            <w:pPr>
              <w:pStyle w:val="BodyText"/>
              <w:rPr>
                <w:sz w:val="20"/>
                <w:szCs w:val="20"/>
              </w:rPr>
            </w:pPr>
          </w:p>
          <w:p w14:paraId="66DAD081" w14:textId="77777777" w:rsidR="008D64F9" w:rsidRPr="009204EA" w:rsidRDefault="008D64F9" w:rsidP="009204EA">
            <w:pPr>
              <w:pStyle w:val="BodyText"/>
              <w:rPr>
                <w:sz w:val="20"/>
                <w:szCs w:val="20"/>
              </w:rPr>
            </w:pPr>
          </w:p>
          <w:p w14:paraId="737DD5DA" w14:textId="77777777" w:rsidR="008D64F9" w:rsidRPr="009204EA" w:rsidRDefault="008D64F9" w:rsidP="009204EA">
            <w:pPr>
              <w:pStyle w:val="BodyText"/>
              <w:rPr>
                <w:sz w:val="20"/>
                <w:szCs w:val="20"/>
              </w:rPr>
            </w:pPr>
          </w:p>
          <w:p w14:paraId="3D82091A" w14:textId="77777777" w:rsidR="008D64F9" w:rsidRPr="009204EA" w:rsidRDefault="008D64F9" w:rsidP="009204EA">
            <w:pPr>
              <w:pStyle w:val="BodyText"/>
              <w:rPr>
                <w:sz w:val="20"/>
                <w:szCs w:val="20"/>
              </w:rPr>
            </w:pPr>
          </w:p>
          <w:p w14:paraId="40A3FC7E" w14:textId="77777777" w:rsidR="008D64F9" w:rsidRPr="009204EA" w:rsidRDefault="008D64F9" w:rsidP="009204EA">
            <w:pPr>
              <w:pStyle w:val="BodyText"/>
              <w:rPr>
                <w:sz w:val="20"/>
                <w:szCs w:val="20"/>
              </w:rPr>
            </w:pPr>
          </w:p>
          <w:p w14:paraId="6E1A43A4" w14:textId="77777777" w:rsidR="008D64F9" w:rsidRPr="009204EA" w:rsidRDefault="008D64F9" w:rsidP="009204EA">
            <w:pPr>
              <w:pStyle w:val="BodyText"/>
              <w:rPr>
                <w:sz w:val="20"/>
                <w:szCs w:val="20"/>
              </w:rPr>
            </w:pPr>
          </w:p>
          <w:p w14:paraId="00A1CA91" w14:textId="77777777" w:rsidR="008D64F9" w:rsidRPr="009204EA" w:rsidRDefault="008D64F9">
            <w:pPr>
              <w:pStyle w:val="BodyText"/>
              <w:numPr>
                <w:ilvl w:val="0"/>
                <w:numId w:val="17"/>
              </w:numPr>
              <w:ind w:left="360"/>
              <w:rPr>
                <w:sz w:val="20"/>
                <w:szCs w:val="20"/>
                <w:rtl/>
                <w:lang w:bidi="ar-LB"/>
              </w:rPr>
            </w:pPr>
            <w:r w:rsidRPr="009204EA">
              <w:rPr>
                <w:sz w:val="20"/>
                <w:szCs w:val="20"/>
                <w:rtl/>
                <w:lang w:bidi="ar-LB"/>
              </w:rPr>
              <w:t>ينص على الاعتراف بمواطني دولة من "الدول التي يتم التعامل معها بالمثل" [والمقيمين الدائمين في هذه الدولة] (يرجى الاطلاع على البند التالي)</w:t>
            </w:r>
            <w:r w:rsidRPr="009204EA">
              <w:rPr>
                <w:sz w:val="20"/>
                <w:szCs w:val="20"/>
                <w:lang w:val="en-AU"/>
              </w:rPr>
              <w:t xml:space="preserve"> </w:t>
            </w:r>
          </w:p>
          <w:p w14:paraId="59E4C403" w14:textId="77777777" w:rsidR="008D64F9" w:rsidRPr="009204EA" w:rsidRDefault="008D64F9">
            <w:pPr>
              <w:pStyle w:val="BodyText"/>
              <w:numPr>
                <w:ilvl w:val="0"/>
                <w:numId w:val="17"/>
              </w:numPr>
              <w:ind w:left="360"/>
              <w:rPr>
                <w:sz w:val="20"/>
                <w:szCs w:val="20"/>
                <w:rtl/>
                <w:lang w:bidi="ar-LB"/>
              </w:rPr>
            </w:pPr>
            <w:r w:rsidRPr="009204EA">
              <w:rPr>
                <w:sz w:val="20"/>
                <w:szCs w:val="20"/>
                <w:rtl/>
                <w:lang w:bidi="ar-LB"/>
              </w:rPr>
              <w:t>ينطبق على الخلفاء في الملكية (الفقرة (4))، الذين يجب عليهم أيضًا استيفاء نفس متطلبات الجنسية [أو الإقامة الدائمة]</w:t>
            </w:r>
            <w:r w:rsidRPr="009204EA">
              <w:rPr>
                <w:sz w:val="20"/>
                <w:szCs w:val="20"/>
                <w:lang w:val="en-AU"/>
              </w:rPr>
              <w:t xml:space="preserve"> </w:t>
            </w:r>
          </w:p>
          <w:p w14:paraId="38408ECB" w14:textId="77777777" w:rsidR="008D64F9" w:rsidRPr="009204EA" w:rsidRDefault="008D64F9" w:rsidP="009204EA">
            <w:pPr>
              <w:pStyle w:val="BodyText"/>
              <w:rPr>
                <w:sz w:val="20"/>
                <w:szCs w:val="20"/>
              </w:rPr>
            </w:pPr>
          </w:p>
          <w:p w14:paraId="1FB2CFAC" w14:textId="77777777" w:rsidR="008D64F9" w:rsidRPr="009204EA" w:rsidRDefault="008D64F9">
            <w:pPr>
              <w:pStyle w:val="BodyText"/>
              <w:numPr>
                <w:ilvl w:val="0"/>
                <w:numId w:val="17"/>
              </w:numPr>
              <w:ind w:left="360"/>
              <w:rPr>
                <w:sz w:val="20"/>
                <w:szCs w:val="20"/>
                <w:rtl/>
                <w:lang w:bidi="ar-LB"/>
              </w:rPr>
            </w:pPr>
            <w:r w:rsidRPr="009204EA">
              <w:rPr>
                <w:sz w:val="20"/>
                <w:szCs w:val="20"/>
                <w:rtl/>
                <w:lang w:bidi="ar-LB"/>
              </w:rPr>
              <w:t>يقر بأن الخليفة في الملكية قد يكون شركة، ولكن يلاحظ أن فئات الشركات التي قد يتم شملها هنا قد تقتصر على المؤسسات الخيرية أو المؤسسات العامة الأخرى (يرجى الاطلاع على الجدول 14 أدناه).</w:t>
            </w:r>
            <w:r w:rsidRPr="009204EA">
              <w:rPr>
                <w:sz w:val="20"/>
                <w:szCs w:val="20"/>
                <w:lang w:val="en-AU"/>
              </w:rPr>
              <w:t xml:space="preserve"> </w:t>
            </w:r>
          </w:p>
          <w:p w14:paraId="29D5CFBB" w14:textId="77777777" w:rsidR="008D64F9" w:rsidRPr="009204EA" w:rsidRDefault="008D64F9" w:rsidP="009204EA">
            <w:pPr>
              <w:pStyle w:val="BodyText"/>
              <w:rPr>
                <w:sz w:val="20"/>
                <w:szCs w:val="20"/>
                <w:lang w:val="en-AU"/>
              </w:rPr>
            </w:pPr>
          </w:p>
          <w:p w14:paraId="0A8EEF09" w14:textId="77777777" w:rsidR="008D64F9" w:rsidRPr="009204EA" w:rsidRDefault="008D64F9">
            <w:pPr>
              <w:pStyle w:val="BodyText"/>
              <w:numPr>
                <w:ilvl w:val="0"/>
                <w:numId w:val="17"/>
              </w:numPr>
              <w:ind w:left="360"/>
              <w:rPr>
                <w:sz w:val="20"/>
                <w:szCs w:val="20"/>
                <w:rtl/>
                <w:lang w:bidi="ar-LB"/>
              </w:rPr>
            </w:pPr>
            <w:r w:rsidRPr="009204EA">
              <w:rPr>
                <w:sz w:val="20"/>
                <w:szCs w:val="20"/>
                <w:rtl/>
                <w:lang w:bidi="ar-LB"/>
              </w:rPr>
              <w:lastRenderedPageBreak/>
              <w:t>بموجب سلطة إصدار اللوائح في التشريع الرئيسي، يجوز إصدار لوائح تحدد دولًا معينة باعتبارها "دولًا يتم التعامل معها بالمثل" - من الناحية العملية، هذه الدول هي جميع الدول الأعضاء في الاتحاد الأوروبية بالإضافة إلى المملكة المتحدة، وهي عضو سابق في الاتحاد الأوروبي.</w:t>
            </w:r>
          </w:p>
          <w:p w14:paraId="2874E54B" w14:textId="77777777" w:rsidR="008D64F9" w:rsidRPr="009204EA" w:rsidRDefault="008D64F9" w:rsidP="009204EA">
            <w:pPr>
              <w:pStyle w:val="BodyText"/>
              <w:rPr>
                <w:sz w:val="20"/>
                <w:szCs w:val="20"/>
                <w:lang w:val="en-AU"/>
              </w:rPr>
            </w:pPr>
          </w:p>
          <w:p w14:paraId="278D2A7E" w14:textId="77777777" w:rsidR="008D64F9" w:rsidRPr="009204EA" w:rsidRDefault="008D64F9">
            <w:pPr>
              <w:pStyle w:val="BodyText"/>
              <w:numPr>
                <w:ilvl w:val="0"/>
                <w:numId w:val="17"/>
              </w:numPr>
              <w:ind w:left="360"/>
              <w:rPr>
                <w:sz w:val="20"/>
                <w:szCs w:val="20"/>
                <w:rtl/>
                <w:lang w:bidi="ar-LB"/>
              </w:rPr>
            </w:pPr>
            <w:r w:rsidRPr="009204EA">
              <w:rPr>
                <w:sz w:val="20"/>
                <w:szCs w:val="20"/>
                <w:rtl/>
                <w:lang w:bidi="ar-LB"/>
              </w:rPr>
              <w:t>لم يتم اصدار هذه اللوائح إلا بعد مرور أكثر من عقد من الزمن على إنشاء مخطط حق التتبع الأسترالي</w:t>
            </w:r>
            <w:r w:rsidRPr="009204EA">
              <w:rPr>
                <w:rFonts w:hint="cs"/>
                <w:sz w:val="20"/>
                <w:szCs w:val="20"/>
                <w:rtl/>
                <w:lang w:bidi="ar-LB"/>
              </w:rPr>
              <w:t xml:space="preserve">، </w:t>
            </w:r>
            <w:r w:rsidRPr="009204EA">
              <w:rPr>
                <w:sz w:val="20"/>
                <w:szCs w:val="20"/>
                <w:rtl/>
                <w:lang w:bidi="ar-LB"/>
              </w:rPr>
              <w:t>وت</w:t>
            </w:r>
            <w:r w:rsidRPr="009204EA">
              <w:rPr>
                <w:rFonts w:hint="cs"/>
                <w:sz w:val="20"/>
                <w:szCs w:val="20"/>
                <w:rtl/>
                <w:lang w:bidi="ar-LB"/>
              </w:rPr>
              <w:t>ش</w:t>
            </w:r>
            <w:r w:rsidRPr="009204EA">
              <w:rPr>
                <w:sz w:val="20"/>
                <w:szCs w:val="20"/>
                <w:rtl/>
                <w:lang w:bidi="ar-LB"/>
              </w:rPr>
              <w:t>م</w:t>
            </w:r>
            <w:r w:rsidRPr="009204EA">
              <w:rPr>
                <w:rFonts w:hint="cs"/>
                <w:sz w:val="20"/>
                <w:szCs w:val="20"/>
                <w:rtl/>
                <w:lang w:bidi="ar-LB"/>
              </w:rPr>
              <w:t>ل</w:t>
            </w:r>
            <w:r w:rsidRPr="009204EA">
              <w:rPr>
                <w:sz w:val="20"/>
                <w:szCs w:val="20"/>
                <w:rtl/>
                <w:lang w:bidi="ar-LB"/>
              </w:rPr>
              <w:t xml:space="preserve"> دول الاتحاد الأوروبي والمملكة المتحدة.</w:t>
            </w:r>
          </w:p>
        </w:tc>
      </w:tr>
      <w:tr w:rsidR="008D64F9" w:rsidRPr="009204EA" w14:paraId="1B9DE856" w14:textId="77777777" w:rsidTr="00101B5A">
        <w:tc>
          <w:tcPr>
            <w:tcW w:w="2470" w:type="dxa"/>
          </w:tcPr>
          <w:p w14:paraId="41BF0156" w14:textId="77777777" w:rsidR="008D64F9" w:rsidRPr="009204EA" w:rsidRDefault="008D64F9" w:rsidP="009204EA">
            <w:pPr>
              <w:pStyle w:val="BodyText"/>
              <w:rPr>
                <w:sz w:val="20"/>
                <w:szCs w:val="20"/>
                <w:rtl/>
                <w:lang w:bidi="ar-LB"/>
              </w:rPr>
            </w:pPr>
            <w:r w:rsidRPr="009204EA">
              <w:rPr>
                <w:sz w:val="20"/>
                <w:szCs w:val="20"/>
                <w:rtl/>
                <w:lang w:bidi="ar-LB"/>
              </w:rPr>
              <w:lastRenderedPageBreak/>
              <w:t>صياغة بديلة للحق في الحماية، بما في ذلك للمؤل</w:t>
            </w:r>
            <w:r w:rsidRPr="009204EA">
              <w:rPr>
                <w:rFonts w:hint="cs"/>
                <w:sz w:val="20"/>
                <w:szCs w:val="20"/>
                <w:rtl/>
                <w:lang w:bidi="ar-LB"/>
              </w:rPr>
              <w:t>ف</w:t>
            </w:r>
            <w:r w:rsidRPr="009204EA">
              <w:rPr>
                <w:sz w:val="20"/>
                <w:szCs w:val="20"/>
                <w:rtl/>
                <w:lang w:bidi="ar-LB"/>
              </w:rPr>
              <w:t xml:space="preserve"> الأجنب</w:t>
            </w:r>
            <w:r w:rsidRPr="009204EA">
              <w:rPr>
                <w:rFonts w:hint="cs"/>
                <w:sz w:val="20"/>
                <w:szCs w:val="20"/>
                <w:rtl/>
                <w:lang w:bidi="ar-LB"/>
              </w:rPr>
              <w:t>ي</w:t>
            </w:r>
            <w:r w:rsidRPr="009204EA">
              <w:rPr>
                <w:sz w:val="20"/>
                <w:szCs w:val="20"/>
                <w:rtl/>
                <w:lang w:bidi="ar-LB"/>
              </w:rPr>
              <w:t>.(نيوزيلندا)</w:t>
            </w:r>
          </w:p>
        </w:tc>
        <w:tc>
          <w:tcPr>
            <w:tcW w:w="3296" w:type="dxa"/>
          </w:tcPr>
          <w:p w14:paraId="57A31416" w14:textId="77777777" w:rsidR="008D64F9" w:rsidRPr="009204EA" w:rsidRDefault="008D64F9" w:rsidP="009204EA">
            <w:pPr>
              <w:pStyle w:val="BodyText"/>
              <w:rPr>
                <w:sz w:val="20"/>
                <w:szCs w:val="20"/>
                <w:rtl/>
                <w:lang w:bidi="ar-LB"/>
              </w:rPr>
            </w:pPr>
            <w:r w:rsidRPr="009204EA">
              <w:rPr>
                <w:sz w:val="20"/>
                <w:szCs w:val="20"/>
                <w:rtl/>
                <w:lang w:bidi="ar-LB"/>
              </w:rPr>
              <w:t>7 يتمتع الفنانون المؤهلون بحق التتبع</w:t>
            </w:r>
          </w:p>
          <w:p w14:paraId="264673A6" w14:textId="77777777" w:rsidR="008D64F9" w:rsidRPr="009204EA" w:rsidRDefault="008D64F9" w:rsidP="009204EA">
            <w:pPr>
              <w:pStyle w:val="BodyText"/>
              <w:rPr>
                <w:sz w:val="20"/>
                <w:szCs w:val="20"/>
                <w:rtl/>
                <w:lang w:bidi="ar-LB"/>
              </w:rPr>
            </w:pPr>
            <w:r w:rsidRPr="009204EA">
              <w:rPr>
                <w:sz w:val="20"/>
                <w:szCs w:val="20"/>
                <w:rtl/>
                <w:lang w:bidi="ar-LB"/>
              </w:rPr>
              <w:t>(2) يكون الفنان مؤهلاً إذا كان يستوفي أحد المتطلبات التالية في الوقت اللازم:</w:t>
            </w:r>
          </w:p>
          <w:p w14:paraId="77CF711B" w14:textId="77777777" w:rsidR="008D64F9" w:rsidRPr="009204EA" w:rsidRDefault="008D64F9" w:rsidP="009204EA">
            <w:pPr>
              <w:pStyle w:val="BodyText"/>
              <w:rPr>
                <w:sz w:val="20"/>
                <w:szCs w:val="20"/>
                <w:rtl/>
                <w:lang w:bidi="ar-LB"/>
              </w:rPr>
            </w:pPr>
            <w:r w:rsidRPr="009204EA">
              <w:rPr>
                <w:sz w:val="20"/>
                <w:szCs w:val="20"/>
                <w:rtl/>
                <w:lang w:bidi="ar-LB"/>
              </w:rPr>
              <w:t>(أ) أن يكون مواطنا نيوزيلنديا:</w:t>
            </w:r>
          </w:p>
          <w:p w14:paraId="6C3315C9" w14:textId="77777777" w:rsidR="008D64F9" w:rsidRPr="009204EA" w:rsidRDefault="008D64F9" w:rsidP="009204EA">
            <w:pPr>
              <w:pStyle w:val="BodyText"/>
              <w:rPr>
                <w:sz w:val="20"/>
                <w:szCs w:val="20"/>
                <w:rtl/>
                <w:lang w:bidi="ar-LB"/>
              </w:rPr>
            </w:pPr>
            <w:r w:rsidRPr="009204EA">
              <w:rPr>
                <w:sz w:val="20"/>
                <w:szCs w:val="20"/>
                <w:rtl/>
                <w:lang w:bidi="ar-LB"/>
              </w:rPr>
              <w:lastRenderedPageBreak/>
              <w:t>(ب) أن يكون شخصا محل إقامته أو مقر إقامته في نيوزيلندا:</w:t>
            </w:r>
          </w:p>
          <w:p w14:paraId="7ED7BF52" w14:textId="77777777" w:rsidR="008D64F9" w:rsidRPr="009204EA" w:rsidRDefault="008D64F9" w:rsidP="009204EA">
            <w:pPr>
              <w:pStyle w:val="BodyText"/>
              <w:rPr>
                <w:sz w:val="20"/>
                <w:szCs w:val="20"/>
                <w:rtl/>
                <w:lang w:bidi="ar-LB"/>
              </w:rPr>
            </w:pPr>
            <w:r w:rsidRPr="009204EA">
              <w:rPr>
                <w:sz w:val="20"/>
                <w:szCs w:val="20"/>
                <w:rtl/>
                <w:lang w:bidi="ar-LB"/>
              </w:rPr>
              <w:t>(ج) أن يكون مواطنا أو محل إقامته أو مقر إقامته في دولة من الدول التي يتم التعامل معها بالمثل.</w:t>
            </w:r>
          </w:p>
          <w:p w14:paraId="35D39E02" w14:textId="77777777" w:rsidR="008D64F9" w:rsidRPr="009204EA" w:rsidRDefault="008D64F9" w:rsidP="009204EA">
            <w:pPr>
              <w:pStyle w:val="BodyText"/>
              <w:rPr>
                <w:sz w:val="20"/>
                <w:szCs w:val="20"/>
                <w:rtl/>
                <w:lang w:bidi="ar-LB"/>
              </w:rPr>
            </w:pPr>
            <w:r w:rsidRPr="009204EA">
              <w:rPr>
                <w:sz w:val="20"/>
                <w:szCs w:val="20"/>
                <w:rtl/>
                <w:lang w:bidi="ar-LB"/>
              </w:rPr>
              <w:t>…</w:t>
            </w:r>
          </w:p>
          <w:p w14:paraId="126177E3" w14:textId="77777777" w:rsidR="008D64F9" w:rsidRPr="009204EA" w:rsidRDefault="008D64F9" w:rsidP="009204EA">
            <w:pPr>
              <w:pStyle w:val="BodyText"/>
              <w:rPr>
                <w:sz w:val="20"/>
                <w:szCs w:val="20"/>
                <w:rtl/>
                <w:lang w:bidi="ar-LB"/>
              </w:rPr>
            </w:pPr>
            <w:r w:rsidRPr="009204EA">
              <w:rPr>
                <w:sz w:val="20"/>
                <w:szCs w:val="20"/>
                <w:rtl/>
                <w:lang w:bidi="ar-LB"/>
              </w:rPr>
              <w:t>29 الدول التي يتم التعامل معها بالمثل</w:t>
            </w:r>
          </w:p>
          <w:p w14:paraId="40410C0B" w14:textId="77777777" w:rsidR="008D64F9" w:rsidRPr="009204EA" w:rsidRDefault="008D64F9" w:rsidP="009204EA">
            <w:pPr>
              <w:pStyle w:val="BodyText"/>
              <w:rPr>
                <w:sz w:val="20"/>
                <w:szCs w:val="20"/>
                <w:rtl/>
                <w:lang w:bidi="ar-LB"/>
              </w:rPr>
            </w:pPr>
            <w:r w:rsidRPr="009204EA">
              <w:rPr>
                <w:sz w:val="20"/>
                <w:szCs w:val="20"/>
                <w:rtl/>
                <w:lang w:bidi="ar-LB"/>
              </w:rPr>
              <w:t>(1) يجوز للحاكم العام، بموجب أمر يصدره المجلس بناء على توصية الوزير، أن يحدد الدول التي يتم التعامل معها بالمثل لأغراض هذا القانون.</w:t>
            </w:r>
          </w:p>
          <w:p w14:paraId="1A77CDE7" w14:textId="77777777" w:rsidR="008D64F9" w:rsidRPr="009204EA" w:rsidRDefault="008D64F9" w:rsidP="009204EA">
            <w:pPr>
              <w:pStyle w:val="BodyText"/>
              <w:rPr>
                <w:sz w:val="20"/>
                <w:szCs w:val="20"/>
                <w:rtl/>
                <w:lang w:bidi="ar-LB"/>
              </w:rPr>
            </w:pPr>
            <w:r w:rsidRPr="009204EA">
              <w:rPr>
                <w:sz w:val="20"/>
                <w:szCs w:val="20"/>
                <w:rtl/>
                <w:lang w:bidi="ar-LB"/>
              </w:rPr>
              <w:t>(2) يجب أن تكون أي دولة  يتم التعامل معها بالمثل كيانًا (سواء كانت دولة، أو جزءًا من دولة، أو إقليم تكون دولة ما مسؤولة عن علاقاته الدولية، أو اتحادًا سياسيًا، أو منظمة دولية، أو أي كيان آخر).</w:t>
            </w:r>
          </w:p>
          <w:p w14:paraId="0122CA79" w14:textId="77777777" w:rsidR="008D64F9" w:rsidRPr="009204EA" w:rsidRDefault="008D64F9" w:rsidP="009204EA">
            <w:pPr>
              <w:pStyle w:val="BodyText"/>
              <w:rPr>
                <w:sz w:val="20"/>
                <w:szCs w:val="20"/>
                <w:rtl/>
                <w:lang w:bidi="ar-LB"/>
              </w:rPr>
            </w:pPr>
            <w:r w:rsidRPr="009204EA">
              <w:rPr>
                <w:sz w:val="20"/>
                <w:szCs w:val="20"/>
                <w:rtl/>
                <w:lang w:bidi="ar-LB"/>
              </w:rPr>
              <w:t>(3) يجب على الوزير، قبل التوصية بإصدار أمر، أن يتأكد من أن قانون الدولة التي سيتم التعامل معها بالمثل ينص أو سوف ينص على المعاملة بالمثل فيما يتعلق بحق التتبع.</w:t>
            </w:r>
          </w:p>
          <w:p w14:paraId="2EBE363C" w14:textId="77777777" w:rsidR="008D64F9" w:rsidRPr="009204EA" w:rsidRDefault="008D64F9" w:rsidP="009204EA">
            <w:pPr>
              <w:pStyle w:val="BodyText"/>
              <w:rPr>
                <w:sz w:val="20"/>
                <w:szCs w:val="20"/>
                <w:rtl/>
                <w:lang w:bidi="ar-LB"/>
              </w:rPr>
            </w:pPr>
            <w:r w:rsidRPr="009204EA">
              <w:rPr>
                <w:sz w:val="20"/>
                <w:szCs w:val="20"/>
                <w:rtl/>
                <w:lang w:bidi="ar-LB"/>
              </w:rPr>
              <w:t>…</w:t>
            </w:r>
          </w:p>
        </w:tc>
        <w:tc>
          <w:tcPr>
            <w:tcW w:w="2884" w:type="dxa"/>
          </w:tcPr>
          <w:p w14:paraId="52337111" w14:textId="77777777" w:rsidR="008D64F9" w:rsidRPr="009204EA" w:rsidRDefault="008D64F9">
            <w:pPr>
              <w:pStyle w:val="BodyText"/>
              <w:numPr>
                <w:ilvl w:val="0"/>
                <w:numId w:val="17"/>
              </w:numPr>
              <w:ind w:left="360"/>
              <w:rPr>
                <w:sz w:val="20"/>
                <w:szCs w:val="20"/>
                <w:rtl/>
                <w:lang w:bidi="ar-LB"/>
              </w:rPr>
            </w:pPr>
            <w:r w:rsidRPr="009204EA">
              <w:rPr>
                <w:sz w:val="20"/>
                <w:szCs w:val="20"/>
                <w:rtl/>
                <w:lang w:bidi="ar-LB"/>
              </w:rPr>
              <w:lastRenderedPageBreak/>
              <w:t>يحدد أن الجنسية أو الموطن أو الإقامة كصفات مؤهلة.</w:t>
            </w:r>
          </w:p>
          <w:p w14:paraId="1A857348" w14:textId="77777777" w:rsidR="008D64F9" w:rsidRPr="009204EA" w:rsidRDefault="008D64F9">
            <w:pPr>
              <w:pStyle w:val="BodyText"/>
              <w:numPr>
                <w:ilvl w:val="0"/>
                <w:numId w:val="17"/>
              </w:numPr>
              <w:ind w:left="360"/>
              <w:rPr>
                <w:sz w:val="20"/>
                <w:szCs w:val="20"/>
                <w:rtl/>
                <w:lang w:bidi="ar-LB"/>
              </w:rPr>
            </w:pPr>
            <w:r w:rsidRPr="009204EA">
              <w:rPr>
                <w:sz w:val="20"/>
                <w:szCs w:val="20"/>
                <w:rtl/>
                <w:lang w:bidi="ar-LB"/>
              </w:rPr>
              <w:t>يمتد الحقّ إلى المؤلفين الذين هم مواطنون أو رعايا دول يتم التعامل معها بالمثل.</w:t>
            </w:r>
          </w:p>
          <w:p w14:paraId="0CA441B7" w14:textId="77777777" w:rsidR="008D64F9" w:rsidRPr="009204EA" w:rsidRDefault="008D64F9">
            <w:pPr>
              <w:pStyle w:val="BodyText"/>
              <w:numPr>
                <w:ilvl w:val="0"/>
                <w:numId w:val="17"/>
              </w:numPr>
              <w:ind w:left="360"/>
              <w:rPr>
                <w:sz w:val="20"/>
                <w:szCs w:val="20"/>
                <w:rtl/>
                <w:lang w:bidi="ar-LB"/>
              </w:rPr>
            </w:pPr>
            <w:r w:rsidRPr="009204EA">
              <w:rPr>
                <w:sz w:val="20"/>
                <w:szCs w:val="20"/>
                <w:rtl/>
                <w:lang w:bidi="ar-LB"/>
              </w:rPr>
              <w:lastRenderedPageBreak/>
              <w:t>يشير إلى ضرورة أن يتأكد الوزير من وجود المعاملة بالمثل في البلد الآخر</w:t>
            </w:r>
          </w:p>
          <w:p w14:paraId="1479B192" w14:textId="77777777" w:rsidR="008D64F9" w:rsidRPr="009204EA" w:rsidRDefault="008D64F9">
            <w:pPr>
              <w:pStyle w:val="BodyText"/>
              <w:numPr>
                <w:ilvl w:val="0"/>
                <w:numId w:val="17"/>
              </w:numPr>
              <w:ind w:left="360"/>
              <w:rPr>
                <w:sz w:val="20"/>
                <w:szCs w:val="20"/>
                <w:rtl/>
                <w:lang w:bidi="ar-LB"/>
              </w:rPr>
            </w:pPr>
            <w:r w:rsidRPr="009204EA">
              <w:rPr>
                <w:sz w:val="20"/>
                <w:szCs w:val="20"/>
                <w:rtl/>
                <w:lang w:bidi="ar-LB"/>
              </w:rPr>
              <w:t xml:space="preserve">يمكن توسيع نطاق المعاملة بالمثل ليشمل "جزء من الدولة"، مما يسمح بالاعتراف بالمعاملة بالمثل فيما يتعلق بحق التتبع لولاية أو مقاطعة تابعة لاتحاد ما منح حق التتبع لهذه الولاية أو المقاطعة.  </w:t>
            </w:r>
          </w:p>
        </w:tc>
      </w:tr>
      <w:tr w:rsidR="008D64F9" w:rsidRPr="009204EA" w14:paraId="3F735BEF" w14:textId="77777777" w:rsidTr="00101B5A">
        <w:tc>
          <w:tcPr>
            <w:tcW w:w="2470" w:type="dxa"/>
          </w:tcPr>
          <w:p w14:paraId="13E6EADC" w14:textId="77777777" w:rsidR="008D64F9" w:rsidRPr="009204EA" w:rsidRDefault="008D64F9" w:rsidP="009204EA">
            <w:pPr>
              <w:pStyle w:val="BodyText"/>
              <w:rPr>
                <w:sz w:val="20"/>
                <w:szCs w:val="20"/>
                <w:rtl/>
                <w:lang w:bidi="ar-LB"/>
              </w:rPr>
            </w:pPr>
            <w:r w:rsidRPr="009204EA">
              <w:rPr>
                <w:sz w:val="20"/>
                <w:szCs w:val="20"/>
                <w:rtl/>
                <w:lang w:bidi="ar-LB"/>
              </w:rPr>
              <w:lastRenderedPageBreak/>
              <w:t>حكم يتناول الأشخاص الأجانب الذين يطالبون بالحق بشكل خاص</w:t>
            </w:r>
          </w:p>
        </w:tc>
        <w:tc>
          <w:tcPr>
            <w:tcW w:w="3296" w:type="dxa"/>
          </w:tcPr>
          <w:p w14:paraId="1CCCB591" w14:textId="77777777" w:rsidR="008D64F9" w:rsidRPr="009204EA" w:rsidRDefault="008D64F9" w:rsidP="009204EA">
            <w:pPr>
              <w:pStyle w:val="BodyText"/>
              <w:rPr>
                <w:sz w:val="20"/>
                <w:szCs w:val="20"/>
                <w:rtl/>
                <w:lang w:bidi="ar-LB"/>
              </w:rPr>
            </w:pPr>
            <w:r w:rsidRPr="009204EA">
              <w:rPr>
                <w:sz w:val="20"/>
                <w:szCs w:val="20"/>
                <w:rtl/>
                <w:lang w:bidi="ar-LB"/>
              </w:rPr>
              <w:t>(1) إذا قامت دولة عضو في اتفاقية برن بتوفير الحماية لحق التتبع لمؤلفي المصنفات الفنية الأصلية [و/أو المخطوطات] على أساس مماثل إلى حد كبير لما هو وارد في هذا القانون، فإن اللوائح الصادرة بموجب هذا القانون [أو من قبل الوزير... عن طريق التوجيه] قد تحدد هذه الدولة على أنها "دولة يتم التعامل معها بالمثل").</w:t>
            </w:r>
          </w:p>
          <w:p w14:paraId="745E45A1" w14:textId="77777777" w:rsidR="008D64F9" w:rsidRPr="009204EA" w:rsidRDefault="008D64F9" w:rsidP="009204EA">
            <w:pPr>
              <w:pStyle w:val="BodyText"/>
              <w:rPr>
                <w:sz w:val="20"/>
                <w:szCs w:val="20"/>
                <w:rtl/>
                <w:lang w:bidi="ar-LB"/>
              </w:rPr>
            </w:pPr>
            <w:r w:rsidRPr="009204EA">
              <w:rPr>
                <w:sz w:val="20"/>
                <w:szCs w:val="20"/>
                <w:rtl/>
                <w:lang w:bidi="ar-LB"/>
              </w:rPr>
              <w:t>(2) إذا كان مؤلف المصنف الفني الأصلي [و/أو المخطوطة] مواطنًا [أو مقيمًا دائمًا] في دولة  يتم التعامل معها بالمثل كما هو محدد في (1)، فإنه يحق له الحصول على حق التتبع في هذه الدولة فيما يتعلق بأي عملية إعادة بيع تحدث هناك.</w:t>
            </w:r>
            <w:r w:rsidRPr="009204EA">
              <w:rPr>
                <w:sz w:val="20"/>
                <w:szCs w:val="20"/>
                <w:vertAlign w:val="superscript"/>
              </w:rPr>
              <w:footnoteReference w:id="115"/>
            </w:r>
            <w:r w:rsidRPr="009204EA">
              <w:rPr>
                <w:sz w:val="20"/>
                <w:szCs w:val="20"/>
              </w:rPr>
              <w:t xml:space="preserve"> </w:t>
            </w:r>
          </w:p>
        </w:tc>
        <w:tc>
          <w:tcPr>
            <w:tcW w:w="2884" w:type="dxa"/>
          </w:tcPr>
          <w:p w14:paraId="5FA2160A" w14:textId="77777777" w:rsidR="008D64F9" w:rsidRPr="009204EA" w:rsidRDefault="008D64F9">
            <w:pPr>
              <w:pStyle w:val="BodyText"/>
              <w:numPr>
                <w:ilvl w:val="0"/>
                <w:numId w:val="17"/>
              </w:numPr>
              <w:ind w:left="360"/>
              <w:rPr>
                <w:sz w:val="20"/>
                <w:szCs w:val="20"/>
                <w:rtl/>
                <w:lang w:bidi="ar-LB"/>
              </w:rPr>
            </w:pPr>
            <w:r w:rsidRPr="009204EA">
              <w:rPr>
                <w:sz w:val="20"/>
                <w:szCs w:val="20"/>
                <w:rtl/>
                <w:lang w:bidi="ar-LB"/>
              </w:rPr>
              <w:t>ينص هذا الحكم على توفير الحماية المتبادلة لحق التتبع للمواطنين أو المقيمين في بلدان اتفاقية برن الأخرى الذين يمتلكون مخططات متشابهة لحق التتبع.</w:t>
            </w:r>
          </w:p>
          <w:p w14:paraId="683474D7" w14:textId="77777777" w:rsidR="008D64F9" w:rsidRPr="009204EA" w:rsidRDefault="008D64F9">
            <w:pPr>
              <w:pStyle w:val="BodyText"/>
              <w:numPr>
                <w:ilvl w:val="0"/>
                <w:numId w:val="17"/>
              </w:numPr>
              <w:ind w:left="360"/>
              <w:rPr>
                <w:sz w:val="20"/>
                <w:szCs w:val="20"/>
                <w:rtl/>
                <w:lang w:bidi="ar-LB"/>
              </w:rPr>
            </w:pPr>
            <w:r w:rsidRPr="009204EA">
              <w:rPr>
                <w:sz w:val="20"/>
                <w:szCs w:val="20"/>
                <w:rtl/>
                <w:lang w:bidi="ar-LB"/>
              </w:rPr>
              <w:t>يترك الخيار مفتوحًا لتوسيع نطاق الحماية ليشمل المقيمين الدائمين [وكذلك المخطوطات].</w:t>
            </w:r>
          </w:p>
        </w:tc>
      </w:tr>
    </w:tbl>
    <w:p w14:paraId="151F4873" w14:textId="77777777" w:rsidR="008D64F9" w:rsidRPr="008D64F9" w:rsidRDefault="008D64F9" w:rsidP="00534856">
      <w:pPr>
        <w:pStyle w:val="Heading2"/>
        <w:rPr>
          <w:rtl/>
        </w:rPr>
      </w:pPr>
      <w:r w:rsidRPr="008D64F9">
        <w:rPr>
          <w:rtl/>
        </w:rPr>
        <w:t>المسائل المتعلقة بالخلافة – ورثة المؤلفين وخلفاؤهم</w:t>
      </w:r>
    </w:p>
    <w:p w14:paraId="6C2B3020" w14:textId="258F4C75" w:rsidR="008D64F9" w:rsidRPr="008D64F9" w:rsidRDefault="008D64F9" w:rsidP="009204EA">
      <w:pPr>
        <w:pStyle w:val="ONUMA"/>
        <w:rPr>
          <w:rtl/>
          <w:lang w:bidi="ar-LB"/>
        </w:rPr>
      </w:pPr>
      <w:r w:rsidRPr="008D64F9">
        <w:rPr>
          <w:rtl/>
          <w:lang w:bidi="ar-LB"/>
        </w:rPr>
        <w:t>تنص المادة 14(ثالثا)(1) من اتفاقية برن على أن مسؤولية تحديد كيفية التعامل مع هذه المسألة المهمة جدا تعود إلى المشرعين الوطنيين إلى حد كبير.</w:t>
      </w:r>
      <w:r w:rsidRPr="008D64F9">
        <w:rPr>
          <w:lang w:val="en-AU"/>
        </w:rPr>
        <w:t xml:space="preserve"> </w:t>
      </w:r>
      <w:r w:rsidRPr="008D64F9">
        <w:rPr>
          <w:rtl/>
          <w:lang w:bidi="ar-LB"/>
        </w:rPr>
        <w:t>وإذا استخدمنا نفس ما تنص عليه الحقوق الاقتصادية الأخرى فيما يتعلق بموضوع الخلافة، فقد تنشأ الخلافة في حق التتبع ببساطة بنفس الطريقة التي تنشأ بها في هذه الحقوق الاقتصادية، على سبيل المثال، بموجب وصية أو أي ترتيب وصائي آخر أو وفقًا للقانون الوطني فيما يتعلق بالخلافة بلا وصية</w:t>
      </w:r>
      <w:r w:rsidRPr="008D64F9">
        <w:rPr>
          <w:rFonts w:hint="cs"/>
          <w:rtl/>
          <w:lang w:bidi="ar-LB"/>
        </w:rPr>
        <w:t>،</w:t>
      </w:r>
      <w:r w:rsidRPr="008D64F9">
        <w:rPr>
          <w:rtl/>
          <w:lang w:bidi="ar-LB"/>
        </w:rPr>
        <w:t xml:space="preserve"> بغياب أي وصية ولا حاجة في هذه الحالة إلى أي </w:t>
      </w:r>
      <w:r w:rsidRPr="008D64F9">
        <w:rPr>
          <w:rFonts w:hint="cs"/>
          <w:rtl/>
          <w:lang w:bidi="ar-LB"/>
        </w:rPr>
        <w:t xml:space="preserve">حكم </w:t>
      </w:r>
      <w:r w:rsidRPr="008D64F9">
        <w:rPr>
          <w:rtl/>
          <w:lang w:bidi="ar-LB"/>
        </w:rPr>
        <w:t>تشريعي آخر.</w:t>
      </w:r>
      <w:r w:rsidRPr="008D64F9">
        <w:rPr>
          <w:lang w:val="en-AU"/>
        </w:rPr>
        <w:t xml:space="preserve"> </w:t>
      </w:r>
      <w:r w:rsidRPr="008D64F9">
        <w:rPr>
          <w:rtl/>
          <w:lang w:bidi="ar-LB"/>
        </w:rPr>
        <w:t xml:space="preserve">ولذلك فإن بعض القوانين تشير فقط إلى ورثة المؤلف وتترك هذه المسألة للقوانين العامة لتحديدها </w:t>
      </w:r>
      <w:r w:rsidR="009204EA" w:rsidRPr="008D64F9">
        <w:rPr>
          <w:rFonts w:hint="cs"/>
          <w:rtl/>
          <w:lang w:bidi="ar-LB"/>
        </w:rPr>
        <w:t>بالإضافة</w:t>
      </w:r>
      <w:r w:rsidRPr="008D64F9">
        <w:rPr>
          <w:rtl/>
          <w:lang w:bidi="ar-LB"/>
        </w:rPr>
        <w:t xml:space="preserve"> إلى طريقة توزيع بقية ما تركه المؤلف.</w:t>
      </w:r>
      <w:r w:rsidRPr="008D64F9">
        <w:rPr>
          <w:lang w:val="en-AU"/>
        </w:rPr>
        <w:t xml:space="preserve"> </w:t>
      </w:r>
      <w:r w:rsidRPr="008D64F9">
        <w:rPr>
          <w:rtl/>
          <w:lang w:bidi="ar-LB"/>
        </w:rPr>
        <w:t xml:space="preserve">ولكن، المادة 14(ثالثا) تترك المجال للقوانين الوطنية للتعامل مع المسائل المتعلقة بالخلافة من خلال </w:t>
      </w:r>
      <w:r w:rsidRPr="008D64F9">
        <w:rPr>
          <w:rtl/>
          <w:lang w:bidi="ar-LB"/>
        </w:rPr>
        <w:lastRenderedPageBreak/>
        <w:t>النص على نقل حق التتبع إلى بعض المؤسسات الثقافية أو الاجتماعية الوطنية، دون تقديم أي وصف إضافي في هذا الصدد (المادة 14(ثالثا)(1)).</w:t>
      </w:r>
      <w:r w:rsidRPr="008D64F9">
        <w:rPr>
          <w:lang w:val="en-AU"/>
        </w:rPr>
        <w:t xml:space="preserve"> </w:t>
      </w:r>
    </w:p>
    <w:p w14:paraId="35A51FC3" w14:textId="77777777" w:rsidR="008D64F9" w:rsidRPr="008D64F9" w:rsidRDefault="008D64F9" w:rsidP="009204EA">
      <w:pPr>
        <w:pStyle w:val="ONUMA"/>
        <w:rPr>
          <w:rtl/>
          <w:lang w:bidi="ar-LB"/>
        </w:rPr>
      </w:pPr>
      <w:r w:rsidRPr="008D64F9">
        <w:rPr>
          <w:rtl/>
          <w:lang w:bidi="ar-LB"/>
        </w:rPr>
        <w:t>وبشكل عام، بما أن حق التتبع غير قابل للتصرف، باستثناء فيما يتعلق بالترتيبات التي قد تكون ضرورية لكي تتمكن منظمات الإدارة الجماعية من إدارة هذا الحق، فإن مسألة أهلية الحصول على حق التتبع لا تنشأ إلا بعد وفاة المؤلف.</w:t>
      </w:r>
      <w:r w:rsidRPr="008D64F9">
        <w:rPr>
          <w:lang w:val="en-AU"/>
        </w:rPr>
        <w:t xml:space="preserve"> </w:t>
      </w:r>
    </w:p>
    <w:p w14:paraId="5BA1940D" w14:textId="77777777" w:rsidR="008D64F9" w:rsidRPr="008D64F9" w:rsidRDefault="008D64F9" w:rsidP="009204EA">
      <w:pPr>
        <w:pStyle w:val="ONUMA"/>
        <w:rPr>
          <w:rtl/>
          <w:lang w:bidi="ar-LB"/>
        </w:rPr>
      </w:pPr>
      <w:r w:rsidRPr="008D64F9">
        <w:rPr>
          <w:rtl/>
          <w:lang w:bidi="ar-LB"/>
        </w:rPr>
        <w:t>وترد في الجدول 14 أدناه العديد من الأحكام النموذجية المأخوذة من القوانين الوطنية.</w:t>
      </w:r>
      <w:r w:rsidRPr="008D64F9">
        <w:rPr>
          <w:lang w:val="en-AU"/>
        </w:rPr>
        <w:t xml:space="preserve"> </w:t>
      </w:r>
      <w:r w:rsidRPr="008D64F9">
        <w:rPr>
          <w:rtl/>
          <w:lang w:bidi="ar-LB"/>
        </w:rPr>
        <w:t>والحكم الأكثر تفصيلاً هو الحكم الثالث، وهو مستمد من القانون الأسترالي الذي يسعى إلى التعامل مع جميع الاحتمالات التي تنشأ عند وفاة المؤلف، مثل تعدد المؤلفين والخلفاء.</w:t>
      </w:r>
      <w:r w:rsidRPr="008D64F9">
        <w:rPr>
          <w:lang w:val="en-AU"/>
        </w:rPr>
        <w:t xml:space="preserve"> </w:t>
      </w:r>
      <w:r w:rsidRPr="008D64F9">
        <w:rPr>
          <w:rtl/>
          <w:lang w:bidi="ar-LB"/>
        </w:rPr>
        <w:t>و</w:t>
      </w:r>
      <w:r w:rsidRPr="008D64F9">
        <w:rPr>
          <w:rFonts w:hint="cs"/>
          <w:rtl/>
          <w:lang w:bidi="ar-LB"/>
        </w:rPr>
        <w:t>ي</w:t>
      </w:r>
      <w:r w:rsidRPr="008D64F9">
        <w:rPr>
          <w:rtl/>
          <w:lang w:bidi="ar-LB"/>
        </w:rPr>
        <w:t>ستخدم هذ</w:t>
      </w:r>
      <w:r w:rsidRPr="008D64F9">
        <w:rPr>
          <w:rFonts w:hint="cs"/>
          <w:rtl/>
          <w:lang w:bidi="ar-LB"/>
        </w:rPr>
        <w:t>ا</w:t>
      </w:r>
      <w:r w:rsidRPr="008D64F9">
        <w:rPr>
          <w:rtl/>
          <w:lang w:bidi="ar-LB"/>
        </w:rPr>
        <w:t xml:space="preserve"> الحكم بعض الصيغ مثل "متطلب الإقامة" (الذي يتعين استيفائه في وقت إعادة البيع التجاري) بالإضافة إلى "متطلب الخلافة".</w:t>
      </w:r>
      <w:r w:rsidRPr="008D64F9">
        <w:rPr>
          <w:lang w:val="en-AU"/>
        </w:rPr>
        <w:t xml:space="preserve"> </w:t>
      </w:r>
      <w:r w:rsidRPr="008D64F9">
        <w:rPr>
          <w:rtl/>
          <w:lang w:bidi="ar-LB"/>
        </w:rPr>
        <w:t>وقد يتمكن واضعو السياسات والمشرعون الوطنيون من الاستفادة من مجموعة الأحكام الأكثر تفصيلاً التي تتناول المسألة المهمة حول ما الذي يحدث لحق التتبع بعد وفاة المؤلف.</w:t>
      </w:r>
      <w:r w:rsidRPr="008D64F9">
        <w:rPr>
          <w:lang w:val="en-AU"/>
        </w:rPr>
        <w:t xml:space="preserve"> </w:t>
      </w:r>
    </w:p>
    <w:p w14:paraId="4BDCFF9C" w14:textId="77777777" w:rsidR="008D64F9" w:rsidRPr="008D64F9" w:rsidRDefault="008D64F9" w:rsidP="009204EA">
      <w:pPr>
        <w:spacing w:after="240"/>
        <w:rPr>
          <w:rFonts w:asciiTheme="minorHAnsi" w:hAnsiTheme="minorHAnsi" w:cstheme="minorHAnsi"/>
          <w:bCs/>
          <w:rtl/>
          <w:lang w:bidi="ar-LB"/>
        </w:rPr>
      </w:pPr>
      <w:r w:rsidRPr="008D64F9">
        <w:rPr>
          <w:rFonts w:asciiTheme="minorHAnsi" w:hAnsiTheme="minorHAnsi" w:cstheme="minorHAnsi"/>
          <w:bCs/>
          <w:rtl/>
          <w:lang w:bidi="ar-LB"/>
        </w:rPr>
        <w:t>الجدول 14</w:t>
      </w:r>
    </w:p>
    <w:tbl>
      <w:tblPr>
        <w:tblStyle w:val="TableGrid"/>
        <w:bidiVisual/>
        <w:tblW w:w="0" w:type="auto"/>
        <w:tblInd w:w="360" w:type="dxa"/>
        <w:tblLook w:val="04A0" w:firstRow="1" w:lastRow="0" w:firstColumn="1" w:lastColumn="0" w:noHBand="0" w:noVBand="1"/>
      </w:tblPr>
      <w:tblGrid>
        <w:gridCol w:w="2612"/>
        <w:gridCol w:w="3402"/>
        <w:gridCol w:w="2636"/>
      </w:tblGrid>
      <w:tr w:rsidR="008D64F9" w:rsidRPr="009204EA" w14:paraId="59836AEB" w14:textId="77777777" w:rsidTr="00101B5A">
        <w:tc>
          <w:tcPr>
            <w:tcW w:w="2612" w:type="dxa"/>
          </w:tcPr>
          <w:p w14:paraId="53FFC17E" w14:textId="77777777" w:rsidR="008D64F9" w:rsidRPr="009204EA" w:rsidRDefault="008D64F9" w:rsidP="009204EA">
            <w:pPr>
              <w:pStyle w:val="BodyText"/>
              <w:rPr>
                <w:b/>
                <w:bCs/>
                <w:sz w:val="20"/>
                <w:szCs w:val="20"/>
                <w:rtl/>
                <w:lang w:bidi="ar-LB"/>
              </w:rPr>
            </w:pPr>
            <w:r w:rsidRPr="009204EA">
              <w:rPr>
                <w:b/>
                <w:bCs/>
                <w:sz w:val="20"/>
                <w:szCs w:val="20"/>
                <w:rtl/>
                <w:lang w:bidi="ar-LB"/>
              </w:rPr>
              <w:t>نوع الحكم</w:t>
            </w:r>
          </w:p>
        </w:tc>
        <w:tc>
          <w:tcPr>
            <w:tcW w:w="3402" w:type="dxa"/>
          </w:tcPr>
          <w:p w14:paraId="15AECF2D" w14:textId="77777777" w:rsidR="008D64F9" w:rsidRPr="009204EA" w:rsidRDefault="008D64F9" w:rsidP="009204EA">
            <w:pPr>
              <w:pStyle w:val="BodyText"/>
              <w:rPr>
                <w:b/>
                <w:bCs/>
                <w:sz w:val="20"/>
                <w:szCs w:val="20"/>
                <w:rtl/>
                <w:lang w:bidi="ar-LB"/>
              </w:rPr>
            </w:pPr>
            <w:r w:rsidRPr="009204EA">
              <w:rPr>
                <w:b/>
                <w:bCs/>
                <w:sz w:val="20"/>
                <w:szCs w:val="20"/>
                <w:rtl/>
                <w:lang w:bidi="ar-LB"/>
              </w:rPr>
              <w:t>النص المقترح</w:t>
            </w:r>
          </w:p>
        </w:tc>
        <w:tc>
          <w:tcPr>
            <w:tcW w:w="2636" w:type="dxa"/>
          </w:tcPr>
          <w:p w14:paraId="6E4EA100" w14:textId="77777777" w:rsidR="008D64F9" w:rsidRPr="009204EA" w:rsidRDefault="008D64F9" w:rsidP="009204EA">
            <w:pPr>
              <w:pStyle w:val="BodyText"/>
              <w:rPr>
                <w:b/>
                <w:bCs/>
                <w:sz w:val="20"/>
                <w:szCs w:val="20"/>
                <w:rtl/>
                <w:lang w:bidi="ar-LB"/>
              </w:rPr>
            </w:pPr>
            <w:r w:rsidRPr="009204EA">
              <w:rPr>
                <w:b/>
                <w:bCs/>
                <w:sz w:val="20"/>
                <w:szCs w:val="20"/>
                <w:rtl/>
                <w:lang w:bidi="ar-LB"/>
              </w:rPr>
              <w:t>تعليقات/ملاحظات</w:t>
            </w:r>
          </w:p>
        </w:tc>
      </w:tr>
      <w:tr w:rsidR="008D64F9" w:rsidRPr="009204EA" w14:paraId="6E8C7C51" w14:textId="77777777" w:rsidTr="00101B5A">
        <w:tc>
          <w:tcPr>
            <w:tcW w:w="2612" w:type="dxa"/>
          </w:tcPr>
          <w:p w14:paraId="21A9A532" w14:textId="77777777" w:rsidR="008D64F9" w:rsidRPr="009204EA" w:rsidRDefault="008D64F9" w:rsidP="009204EA">
            <w:pPr>
              <w:pStyle w:val="BodyText"/>
              <w:rPr>
                <w:sz w:val="20"/>
                <w:szCs w:val="20"/>
                <w:rtl/>
                <w:lang w:bidi="ar-LB"/>
              </w:rPr>
            </w:pPr>
            <w:r w:rsidRPr="009204EA">
              <w:rPr>
                <w:sz w:val="20"/>
                <w:szCs w:val="20"/>
                <w:rtl/>
                <w:lang w:bidi="ar-LB"/>
              </w:rPr>
              <w:t>حكم بسيط يترك هذه المسألة للقانون العام للبلد</w:t>
            </w:r>
          </w:p>
        </w:tc>
        <w:tc>
          <w:tcPr>
            <w:tcW w:w="3402" w:type="dxa"/>
          </w:tcPr>
          <w:p w14:paraId="04333141" w14:textId="77777777" w:rsidR="008D64F9" w:rsidRPr="009204EA" w:rsidRDefault="008D64F9" w:rsidP="009204EA">
            <w:pPr>
              <w:pStyle w:val="BodyText"/>
              <w:rPr>
                <w:sz w:val="20"/>
                <w:szCs w:val="20"/>
                <w:rtl/>
                <w:lang w:bidi="ar-LB"/>
              </w:rPr>
            </w:pPr>
            <w:r w:rsidRPr="009204EA">
              <w:rPr>
                <w:sz w:val="20"/>
                <w:szCs w:val="20"/>
                <w:rtl/>
                <w:lang w:bidi="ar-LB"/>
              </w:rPr>
              <w:t>تدفع الإتاوة المنصوص عليها في المادة 1 إلى مؤلف المصنف، و... بعد وفاته إلى من يستحقونها.</w:t>
            </w:r>
            <w:r w:rsidRPr="009204EA">
              <w:rPr>
                <w:sz w:val="20"/>
                <w:szCs w:val="20"/>
                <w:vertAlign w:val="superscript"/>
                <w:lang w:val="en-GB"/>
              </w:rPr>
              <w:footnoteReference w:id="116"/>
            </w:r>
          </w:p>
        </w:tc>
        <w:tc>
          <w:tcPr>
            <w:tcW w:w="2636" w:type="dxa"/>
          </w:tcPr>
          <w:p w14:paraId="3AF54608" w14:textId="77777777" w:rsidR="008D64F9" w:rsidRPr="009204EA" w:rsidRDefault="008D64F9">
            <w:pPr>
              <w:pStyle w:val="BodyText"/>
              <w:numPr>
                <w:ilvl w:val="0"/>
                <w:numId w:val="18"/>
              </w:numPr>
              <w:ind w:left="360"/>
              <w:rPr>
                <w:sz w:val="20"/>
                <w:szCs w:val="20"/>
                <w:rtl/>
                <w:lang w:bidi="ar-LB"/>
              </w:rPr>
            </w:pPr>
            <w:r w:rsidRPr="009204EA">
              <w:rPr>
                <w:sz w:val="20"/>
                <w:szCs w:val="20"/>
                <w:rtl/>
                <w:lang w:bidi="ar-LB"/>
              </w:rPr>
              <w:t>يترك هذا الحكم مسألة أحقية الحصول على حق التتبع بعد وفاة المؤلف لقانون الخلافة الوطني.</w:t>
            </w:r>
          </w:p>
        </w:tc>
      </w:tr>
      <w:tr w:rsidR="008D64F9" w:rsidRPr="009204EA" w14:paraId="440FB874" w14:textId="77777777" w:rsidTr="00101B5A">
        <w:tc>
          <w:tcPr>
            <w:tcW w:w="2612" w:type="dxa"/>
          </w:tcPr>
          <w:p w14:paraId="1E8A2058" w14:textId="77777777" w:rsidR="008D64F9" w:rsidRPr="009204EA" w:rsidRDefault="008D64F9" w:rsidP="009204EA">
            <w:pPr>
              <w:pStyle w:val="BodyText"/>
              <w:rPr>
                <w:sz w:val="20"/>
                <w:szCs w:val="20"/>
                <w:rtl/>
                <w:lang w:bidi="ar-LB"/>
              </w:rPr>
            </w:pPr>
            <w:r w:rsidRPr="009204EA">
              <w:rPr>
                <w:sz w:val="20"/>
                <w:szCs w:val="20"/>
                <w:rtl/>
                <w:lang w:bidi="ar-LB"/>
              </w:rPr>
              <w:t>حكم ينص على نقل حق التتبع عن طريق الميراث (المكسيك)</w:t>
            </w:r>
          </w:p>
        </w:tc>
        <w:tc>
          <w:tcPr>
            <w:tcW w:w="3402" w:type="dxa"/>
          </w:tcPr>
          <w:p w14:paraId="23834D76" w14:textId="77777777" w:rsidR="008D64F9" w:rsidRPr="009204EA" w:rsidRDefault="008D64F9" w:rsidP="009204EA">
            <w:pPr>
              <w:pStyle w:val="BodyText"/>
              <w:rPr>
                <w:sz w:val="20"/>
                <w:szCs w:val="20"/>
                <w:rtl/>
                <w:lang w:bidi="ar-LB"/>
              </w:rPr>
            </w:pPr>
            <w:r w:rsidRPr="009204EA">
              <w:rPr>
                <w:sz w:val="20"/>
                <w:szCs w:val="20"/>
                <w:rtl/>
                <w:lang w:bidi="ar-LB"/>
              </w:rPr>
              <w:t>المادة 92(ثانيا)</w:t>
            </w:r>
          </w:p>
          <w:p w14:paraId="7F3F7244" w14:textId="77777777" w:rsidR="008D64F9" w:rsidRPr="009204EA" w:rsidRDefault="008D64F9" w:rsidP="009204EA">
            <w:pPr>
              <w:pStyle w:val="BodyText"/>
              <w:rPr>
                <w:sz w:val="20"/>
                <w:szCs w:val="20"/>
                <w:rtl/>
                <w:lang w:bidi="ar-LB"/>
              </w:rPr>
            </w:pPr>
            <w:r w:rsidRPr="009204EA">
              <w:rPr>
                <w:sz w:val="20"/>
                <w:szCs w:val="20"/>
                <w:rtl/>
                <w:lang w:bidi="ar-LB"/>
              </w:rPr>
              <w:t>..</w:t>
            </w:r>
          </w:p>
          <w:p w14:paraId="400FA911" w14:textId="77777777" w:rsidR="008D64F9" w:rsidRPr="009204EA" w:rsidRDefault="008D64F9" w:rsidP="009204EA">
            <w:pPr>
              <w:pStyle w:val="BodyText"/>
              <w:rPr>
                <w:sz w:val="20"/>
                <w:szCs w:val="20"/>
                <w:rtl/>
                <w:lang w:bidi="ar-LB"/>
              </w:rPr>
            </w:pPr>
            <w:r w:rsidRPr="009204EA">
              <w:rPr>
                <w:sz w:val="20"/>
                <w:szCs w:val="20"/>
                <w:rtl/>
                <w:lang w:bidi="ar-LB"/>
              </w:rPr>
              <w:t>(</w:t>
            </w:r>
            <w:r w:rsidRPr="009204EA">
              <w:rPr>
                <w:sz w:val="20"/>
                <w:szCs w:val="20"/>
                <w:lang w:val="en-GB"/>
              </w:rPr>
              <w:t>II</w:t>
            </w:r>
            <w:r w:rsidRPr="009204EA">
              <w:rPr>
                <w:sz w:val="20"/>
                <w:szCs w:val="20"/>
                <w:rtl/>
                <w:lang w:bidi="ar-LB"/>
              </w:rPr>
              <w:t>) الحق المنصوص عليه في هذه المادة غير قابل للتنازل عنه، وينتقل بالميراث، ويلغى بعد مائة سنة من تاريخ وفاة المؤلف أو إعلان وفاته.</w:t>
            </w:r>
            <w:r w:rsidRPr="009204EA">
              <w:rPr>
                <w:sz w:val="20"/>
                <w:szCs w:val="20"/>
                <w:vertAlign w:val="superscript"/>
                <w:lang w:val="en-GB"/>
              </w:rPr>
              <w:footnoteReference w:id="117"/>
            </w:r>
            <w:r w:rsidRPr="009204EA">
              <w:rPr>
                <w:sz w:val="20"/>
                <w:szCs w:val="20"/>
                <w:lang w:val="en-GB"/>
              </w:rPr>
              <w:t xml:space="preserve"> </w:t>
            </w:r>
          </w:p>
          <w:p w14:paraId="33D5CF83" w14:textId="77777777" w:rsidR="008D64F9" w:rsidRPr="009204EA" w:rsidDel="00EF0D3E" w:rsidRDefault="008D64F9" w:rsidP="009204EA">
            <w:pPr>
              <w:pStyle w:val="BodyText"/>
              <w:rPr>
                <w:sz w:val="20"/>
                <w:szCs w:val="20"/>
                <w:lang w:val="en-GB"/>
              </w:rPr>
            </w:pPr>
          </w:p>
        </w:tc>
        <w:tc>
          <w:tcPr>
            <w:tcW w:w="2636" w:type="dxa"/>
          </w:tcPr>
          <w:p w14:paraId="2C86A25E" w14:textId="77777777" w:rsidR="008D64F9" w:rsidRPr="009204EA" w:rsidRDefault="008D64F9">
            <w:pPr>
              <w:pStyle w:val="BodyText"/>
              <w:numPr>
                <w:ilvl w:val="0"/>
                <w:numId w:val="18"/>
              </w:numPr>
              <w:ind w:left="360"/>
              <w:rPr>
                <w:sz w:val="20"/>
                <w:szCs w:val="20"/>
                <w:rtl/>
                <w:lang w:bidi="ar-LB"/>
              </w:rPr>
            </w:pPr>
            <w:r w:rsidRPr="009204EA">
              <w:rPr>
                <w:sz w:val="20"/>
                <w:szCs w:val="20"/>
                <w:rtl/>
                <w:lang w:bidi="ar-LB"/>
              </w:rPr>
              <w:t>ينص على أن حق التتبع غير قابل للتنازل ولا يمكن نقله إلا من خلال قوانين الميراث.</w:t>
            </w:r>
          </w:p>
        </w:tc>
      </w:tr>
      <w:tr w:rsidR="008D64F9" w:rsidRPr="009204EA" w14:paraId="628427AD" w14:textId="77777777" w:rsidTr="00101B5A">
        <w:tc>
          <w:tcPr>
            <w:tcW w:w="2612" w:type="dxa"/>
          </w:tcPr>
          <w:p w14:paraId="2A241ED9" w14:textId="77777777" w:rsidR="008D64F9" w:rsidRPr="009204EA" w:rsidRDefault="008D64F9" w:rsidP="009204EA">
            <w:pPr>
              <w:pStyle w:val="BodyText"/>
              <w:rPr>
                <w:sz w:val="20"/>
                <w:szCs w:val="20"/>
                <w:rtl/>
                <w:lang w:bidi="ar-LB"/>
              </w:rPr>
            </w:pPr>
            <w:r w:rsidRPr="009204EA">
              <w:rPr>
                <w:sz w:val="20"/>
                <w:szCs w:val="20"/>
                <w:rtl/>
                <w:lang w:bidi="ar-LB"/>
              </w:rPr>
              <w:t>حكم مفصل (المملكة المتحدة)</w:t>
            </w:r>
          </w:p>
        </w:tc>
        <w:tc>
          <w:tcPr>
            <w:tcW w:w="3402" w:type="dxa"/>
          </w:tcPr>
          <w:p w14:paraId="46C0231A" w14:textId="77777777" w:rsidR="008D64F9" w:rsidRPr="009204EA" w:rsidRDefault="008D64F9" w:rsidP="009204EA">
            <w:pPr>
              <w:pStyle w:val="BodyText"/>
              <w:rPr>
                <w:sz w:val="20"/>
                <w:szCs w:val="20"/>
                <w:rtl/>
                <w:lang w:bidi="ar-LB"/>
              </w:rPr>
            </w:pPr>
            <w:r w:rsidRPr="009204EA">
              <w:rPr>
                <w:sz w:val="20"/>
                <w:szCs w:val="20"/>
                <w:rtl/>
                <w:lang w:bidi="ar-LB"/>
              </w:rPr>
              <w:t>(1) .. حق التتبع فيما يتعلق بمصنف ما هو حق من الممكن نقله كممتلكات شخصية أو منقولة بموجب وصية أو وفقًا لقواعد الميراث في حال عدم وجود أي وصية؛ ويمكن أيضا أن ينقله أي شخص يحصل عليه.</w:t>
            </w:r>
          </w:p>
          <w:p w14:paraId="540F8618" w14:textId="77777777" w:rsidR="008D64F9" w:rsidRPr="009204EA" w:rsidRDefault="008D64F9" w:rsidP="009204EA">
            <w:pPr>
              <w:pStyle w:val="BodyText"/>
              <w:rPr>
                <w:sz w:val="20"/>
                <w:szCs w:val="20"/>
                <w:rtl/>
                <w:lang w:bidi="ar-LB"/>
              </w:rPr>
            </w:pPr>
            <w:r w:rsidRPr="009204EA">
              <w:rPr>
                <w:sz w:val="20"/>
                <w:szCs w:val="20"/>
                <w:rtl/>
                <w:lang w:bidi="ar-LB"/>
              </w:rPr>
              <w:t>(2) لا يمكن نقل حق التتبع إلا إلى:</w:t>
            </w:r>
          </w:p>
          <w:p w14:paraId="729824E7" w14:textId="77777777" w:rsidR="008D64F9" w:rsidRPr="009204EA" w:rsidRDefault="008D64F9" w:rsidP="009204EA">
            <w:pPr>
              <w:pStyle w:val="BodyText"/>
              <w:rPr>
                <w:sz w:val="20"/>
                <w:szCs w:val="20"/>
                <w:rtl/>
                <w:lang w:bidi="ar-LB"/>
              </w:rPr>
            </w:pPr>
            <w:r w:rsidRPr="009204EA">
              <w:rPr>
                <w:sz w:val="20"/>
                <w:szCs w:val="20"/>
                <w:rtl/>
                <w:lang w:bidi="ar-LB"/>
              </w:rPr>
              <w:t>(أ) شخص طبيعي؛</w:t>
            </w:r>
          </w:p>
          <w:p w14:paraId="51CC981F" w14:textId="77777777" w:rsidR="008D64F9" w:rsidRPr="009204EA" w:rsidRDefault="008D64F9" w:rsidP="009204EA">
            <w:pPr>
              <w:pStyle w:val="BodyText"/>
              <w:rPr>
                <w:sz w:val="20"/>
                <w:szCs w:val="20"/>
                <w:rtl/>
                <w:lang w:bidi="ar-LB"/>
              </w:rPr>
            </w:pPr>
            <w:r w:rsidRPr="009204EA">
              <w:rPr>
                <w:sz w:val="20"/>
                <w:szCs w:val="20"/>
                <w:rtl/>
                <w:lang w:bidi="ar-LB"/>
              </w:rPr>
              <w:t>أو (ب) مؤسسة خيرية معترف بها أو هيئة ثقافية عامة أخرى وفقاً لما هو منصوص عليه في هذا القانون.</w:t>
            </w:r>
            <w:r w:rsidRPr="009204EA">
              <w:rPr>
                <w:sz w:val="20"/>
                <w:szCs w:val="20"/>
                <w:lang w:val="en-AU"/>
              </w:rPr>
              <w:t xml:space="preserve"> </w:t>
            </w:r>
          </w:p>
          <w:p w14:paraId="30F4ADD0" w14:textId="77777777" w:rsidR="008D64F9" w:rsidRPr="009204EA" w:rsidRDefault="008D64F9" w:rsidP="009204EA">
            <w:pPr>
              <w:pStyle w:val="BodyText"/>
              <w:rPr>
                <w:sz w:val="20"/>
                <w:szCs w:val="20"/>
                <w:rtl/>
                <w:lang w:bidi="ar-LB"/>
              </w:rPr>
            </w:pPr>
            <w:r w:rsidRPr="009204EA">
              <w:rPr>
                <w:sz w:val="20"/>
                <w:szCs w:val="20"/>
                <w:rtl/>
                <w:lang w:bidi="ar-LB"/>
              </w:rPr>
              <w:t>(4) إذا انتقل حق التتبع إلى أكثر من شخص فإنه يصبح ملكاً لهم جميعاً بشكل مشترك (حصص متساوية).</w:t>
            </w:r>
            <w:r w:rsidRPr="009204EA">
              <w:rPr>
                <w:sz w:val="20"/>
                <w:szCs w:val="20"/>
                <w:vertAlign w:val="superscript"/>
                <w:lang w:val="en-GB"/>
              </w:rPr>
              <w:footnoteReference w:id="118"/>
            </w:r>
          </w:p>
        </w:tc>
        <w:tc>
          <w:tcPr>
            <w:tcW w:w="2636" w:type="dxa"/>
          </w:tcPr>
          <w:p w14:paraId="35BCC228" w14:textId="77777777" w:rsidR="008D64F9" w:rsidRPr="009204EA" w:rsidRDefault="008D64F9">
            <w:pPr>
              <w:pStyle w:val="BodyText"/>
              <w:numPr>
                <w:ilvl w:val="0"/>
                <w:numId w:val="18"/>
              </w:numPr>
              <w:ind w:left="360"/>
              <w:rPr>
                <w:sz w:val="20"/>
                <w:szCs w:val="20"/>
                <w:rtl/>
                <w:lang w:bidi="ar-LB"/>
              </w:rPr>
            </w:pPr>
            <w:r w:rsidRPr="009204EA">
              <w:rPr>
                <w:sz w:val="20"/>
                <w:szCs w:val="20"/>
                <w:rtl/>
                <w:lang w:bidi="ar-LB"/>
              </w:rPr>
              <w:t>حق التتبع هو حق ملكية يمكن أن ينتقل عن طريق الوصية أو عند الوفاة بنفس الطريقة التي تنتقل بها حقوق الملكية الأخرى.</w:t>
            </w:r>
          </w:p>
          <w:p w14:paraId="257137D9" w14:textId="77777777" w:rsidR="008D64F9" w:rsidRPr="009204EA" w:rsidRDefault="008D64F9">
            <w:pPr>
              <w:pStyle w:val="BodyText"/>
              <w:numPr>
                <w:ilvl w:val="0"/>
                <w:numId w:val="18"/>
              </w:numPr>
              <w:ind w:left="360"/>
              <w:rPr>
                <w:sz w:val="20"/>
                <w:szCs w:val="20"/>
                <w:rtl/>
                <w:lang w:bidi="ar-LB"/>
              </w:rPr>
            </w:pPr>
            <w:r w:rsidRPr="009204EA">
              <w:rPr>
                <w:sz w:val="20"/>
                <w:szCs w:val="20"/>
                <w:rtl/>
                <w:lang w:bidi="ar-LB"/>
              </w:rPr>
              <w:t>قد تكون النقطة المهمة للمؤلفين هنا هي أنه يجب أن يضعوا نصوصا محددة للأشخاص الذين سينتقل إليهم حق التتبع عند الوفاة وأن يحددوا ما إذا كانوا يرغبون في انتقاله بطريقة مختلفة عن ممتلكاتهم الشخصية والعقارية الأخرى.</w:t>
            </w:r>
          </w:p>
          <w:p w14:paraId="037845F8" w14:textId="77777777" w:rsidR="008D64F9" w:rsidRPr="009204EA" w:rsidRDefault="008D64F9">
            <w:pPr>
              <w:pStyle w:val="BodyText"/>
              <w:numPr>
                <w:ilvl w:val="0"/>
                <w:numId w:val="18"/>
              </w:numPr>
              <w:ind w:left="360"/>
              <w:rPr>
                <w:sz w:val="20"/>
                <w:szCs w:val="20"/>
                <w:rtl/>
                <w:lang w:bidi="ar-LB"/>
              </w:rPr>
            </w:pPr>
            <w:r w:rsidRPr="009204EA">
              <w:rPr>
                <w:sz w:val="20"/>
                <w:szCs w:val="20"/>
                <w:rtl/>
                <w:lang w:bidi="ar-LB"/>
              </w:rPr>
              <w:t xml:space="preserve">ينص الحكم على امكانية انتقال الملكية إلى مؤسسة خيرية أو </w:t>
            </w:r>
            <w:r w:rsidRPr="009204EA">
              <w:rPr>
                <w:sz w:val="20"/>
                <w:szCs w:val="20"/>
                <w:rtl/>
                <w:lang w:bidi="ar-LB"/>
              </w:rPr>
              <w:lastRenderedPageBreak/>
              <w:t>مؤسسة عامة أخرى - ومن هنا تأتي الحاجة إلى الإشارة إلى أن الخليفة في الملكية قد يكون هيئة اعتبارية.</w:t>
            </w:r>
          </w:p>
          <w:p w14:paraId="3820EF2B" w14:textId="77777777" w:rsidR="008D64F9" w:rsidRPr="009204EA" w:rsidRDefault="008D64F9">
            <w:pPr>
              <w:pStyle w:val="BodyText"/>
              <w:numPr>
                <w:ilvl w:val="0"/>
                <w:numId w:val="18"/>
              </w:numPr>
              <w:ind w:left="360"/>
              <w:rPr>
                <w:sz w:val="20"/>
                <w:szCs w:val="20"/>
                <w:rtl/>
                <w:lang w:bidi="ar-LB"/>
              </w:rPr>
            </w:pPr>
            <w:r w:rsidRPr="009204EA">
              <w:rPr>
                <w:sz w:val="20"/>
                <w:szCs w:val="20"/>
                <w:rtl/>
                <w:lang w:bidi="ar-LB"/>
              </w:rPr>
              <w:t>عندما ينتقل حق التتبع إلى أكثر من شخص، فيجب أن يتقاسموا الحق كحصص متساوية، ويمكنهم بعد ذلك نقل هذه الحصة إلى أشخاص آخرين وفقًا لهذا القانون (وحيازة الحق هنا ليست مشتركة بين المالكين وفقا لمبدأ  "الإيجار المشترك" الذي ينص على أنه عندما يموت أحد المالكين تنتقل حصته إلى المالكين الآخرين).</w:t>
            </w:r>
          </w:p>
        </w:tc>
      </w:tr>
      <w:tr w:rsidR="008D64F9" w:rsidRPr="009204EA" w14:paraId="01FAB73B" w14:textId="77777777" w:rsidTr="00101B5A">
        <w:tc>
          <w:tcPr>
            <w:tcW w:w="2612" w:type="dxa"/>
          </w:tcPr>
          <w:p w14:paraId="02F2F6A3" w14:textId="77777777" w:rsidR="008D64F9" w:rsidRPr="009204EA" w:rsidRDefault="008D64F9" w:rsidP="009204EA">
            <w:pPr>
              <w:pStyle w:val="BodyText"/>
              <w:rPr>
                <w:sz w:val="20"/>
                <w:szCs w:val="20"/>
                <w:rtl/>
                <w:lang w:bidi="ar-LB"/>
              </w:rPr>
            </w:pPr>
            <w:r w:rsidRPr="009204EA">
              <w:rPr>
                <w:sz w:val="20"/>
                <w:szCs w:val="20"/>
                <w:rtl/>
                <w:lang w:bidi="ar-LB"/>
              </w:rPr>
              <w:lastRenderedPageBreak/>
              <w:t>حكم مفصل  آخر (نيوزيلندا)</w:t>
            </w:r>
          </w:p>
        </w:tc>
        <w:tc>
          <w:tcPr>
            <w:tcW w:w="3402" w:type="dxa"/>
          </w:tcPr>
          <w:p w14:paraId="3DEC7613" w14:textId="77777777" w:rsidR="008D64F9" w:rsidRPr="00803410" w:rsidRDefault="008D64F9" w:rsidP="009204EA">
            <w:pPr>
              <w:pStyle w:val="BodyText"/>
              <w:rPr>
                <w:b/>
                <w:bCs/>
                <w:sz w:val="20"/>
                <w:szCs w:val="20"/>
                <w:rtl/>
                <w:lang w:bidi="ar-LB"/>
              </w:rPr>
            </w:pPr>
            <w:r w:rsidRPr="00803410">
              <w:rPr>
                <w:b/>
                <w:bCs/>
                <w:sz w:val="20"/>
                <w:szCs w:val="20"/>
                <w:rtl/>
                <w:lang w:bidi="ar-LB"/>
              </w:rPr>
              <w:t>14 من يحصل على الحق بعد وفاة الفنان؟</w:t>
            </w:r>
          </w:p>
          <w:p w14:paraId="337A8CD9" w14:textId="77777777" w:rsidR="008D64F9" w:rsidRPr="009204EA" w:rsidRDefault="008D64F9" w:rsidP="009204EA">
            <w:pPr>
              <w:pStyle w:val="BodyText"/>
              <w:rPr>
                <w:sz w:val="20"/>
                <w:szCs w:val="20"/>
                <w:rtl/>
                <w:lang w:bidi="ar-LB"/>
              </w:rPr>
            </w:pPr>
            <w:r w:rsidRPr="009204EA">
              <w:rPr>
                <w:sz w:val="20"/>
                <w:szCs w:val="20"/>
                <w:rtl/>
                <w:lang w:bidi="ar-LB"/>
              </w:rPr>
              <w:t>(1) يحدد هذا القسم من يحصل على حق التتبع بعد وفاة الفنان.</w:t>
            </w:r>
          </w:p>
          <w:p w14:paraId="7F7A386B" w14:textId="77777777" w:rsidR="008D64F9" w:rsidRPr="009204EA" w:rsidRDefault="008D64F9" w:rsidP="009204EA">
            <w:pPr>
              <w:pStyle w:val="BodyText"/>
              <w:rPr>
                <w:sz w:val="20"/>
                <w:szCs w:val="20"/>
                <w:rtl/>
                <w:lang w:bidi="ar-LB"/>
              </w:rPr>
            </w:pPr>
            <w:r w:rsidRPr="009204EA">
              <w:rPr>
                <w:sz w:val="20"/>
                <w:szCs w:val="20"/>
                <w:rtl/>
                <w:lang w:bidi="ar-LB"/>
              </w:rPr>
              <w:t>(2) يحصل خليفة الفنان على حق التتبع الذي ينشأ عن عملية إعادة بيع مؤهلة، فقط اذا، في وقت إبرام عقد عملية إعادة البيع المؤهلة -</w:t>
            </w:r>
          </w:p>
          <w:p w14:paraId="0ED36E0A" w14:textId="77777777" w:rsidR="008D64F9" w:rsidRPr="009204EA" w:rsidRDefault="008D64F9" w:rsidP="009204EA">
            <w:pPr>
              <w:pStyle w:val="BodyText"/>
              <w:rPr>
                <w:sz w:val="20"/>
                <w:szCs w:val="20"/>
                <w:rtl/>
                <w:lang w:bidi="ar-LB"/>
              </w:rPr>
            </w:pPr>
            <w:r w:rsidRPr="009204EA">
              <w:rPr>
                <w:sz w:val="20"/>
                <w:szCs w:val="20"/>
                <w:rtl/>
                <w:lang w:bidi="ar-LB"/>
              </w:rPr>
              <w:t>(أ) كان الخليفة يمتلك تلك الحقوق؛</w:t>
            </w:r>
          </w:p>
          <w:p w14:paraId="60313133" w14:textId="77777777" w:rsidR="008D64F9" w:rsidRPr="009204EA" w:rsidRDefault="008D64F9" w:rsidP="009204EA">
            <w:pPr>
              <w:pStyle w:val="BodyText"/>
              <w:rPr>
                <w:sz w:val="20"/>
                <w:szCs w:val="20"/>
                <w:rtl/>
                <w:lang w:bidi="ar-LB"/>
              </w:rPr>
            </w:pPr>
            <w:r w:rsidRPr="009204EA">
              <w:rPr>
                <w:sz w:val="20"/>
                <w:szCs w:val="20"/>
                <w:rtl/>
                <w:lang w:bidi="ar-LB"/>
              </w:rPr>
              <w:t>و(ب) كان الخليفة، -</w:t>
            </w:r>
          </w:p>
          <w:p w14:paraId="5A395AE0" w14:textId="77777777" w:rsidR="008D64F9" w:rsidRPr="009204EA" w:rsidRDefault="008D64F9" w:rsidP="009204EA">
            <w:pPr>
              <w:pStyle w:val="BodyText"/>
              <w:rPr>
                <w:sz w:val="20"/>
                <w:szCs w:val="20"/>
                <w:rtl/>
                <w:lang w:bidi="ar-LB"/>
              </w:rPr>
            </w:pPr>
            <w:r w:rsidRPr="009204EA">
              <w:rPr>
                <w:sz w:val="20"/>
                <w:szCs w:val="20"/>
                <w:rtl/>
                <w:lang w:bidi="ar-LB"/>
              </w:rPr>
              <w:t>(</w:t>
            </w:r>
            <w:r w:rsidRPr="009204EA">
              <w:rPr>
                <w:sz w:val="20"/>
                <w:szCs w:val="20"/>
              </w:rPr>
              <w:t>i</w:t>
            </w:r>
            <w:r w:rsidRPr="009204EA">
              <w:rPr>
                <w:sz w:val="20"/>
                <w:szCs w:val="20"/>
                <w:rtl/>
                <w:lang w:bidi="ar-LB"/>
              </w:rPr>
              <w:t>) في حالة شخص طبيعي -</w:t>
            </w:r>
          </w:p>
          <w:p w14:paraId="65602C0C" w14:textId="77777777" w:rsidR="008D64F9" w:rsidRPr="009204EA" w:rsidRDefault="008D64F9" w:rsidP="009204EA">
            <w:pPr>
              <w:pStyle w:val="BodyText"/>
              <w:rPr>
                <w:sz w:val="20"/>
                <w:szCs w:val="20"/>
                <w:rtl/>
                <w:lang w:bidi="ar-LB"/>
              </w:rPr>
            </w:pPr>
            <w:r w:rsidRPr="009204EA">
              <w:rPr>
                <w:sz w:val="20"/>
                <w:szCs w:val="20"/>
                <w:rtl/>
                <w:lang w:bidi="ar-LB"/>
              </w:rPr>
              <w:t>(أ) مواطنا نيوزيلنديا؛</w:t>
            </w:r>
          </w:p>
          <w:p w14:paraId="3586BF0C" w14:textId="77777777" w:rsidR="008D64F9" w:rsidRPr="009204EA" w:rsidRDefault="008D64F9" w:rsidP="009204EA">
            <w:pPr>
              <w:pStyle w:val="BodyText"/>
              <w:rPr>
                <w:sz w:val="20"/>
                <w:szCs w:val="20"/>
                <w:rtl/>
                <w:lang w:bidi="ar-LB"/>
              </w:rPr>
            </w:pPr>
            <w:r w:rsidRPr="009204EA">
              <w:rPr>
                <w:sz w:val="20"/>
                <w:szCs w:val="20"/>
                <w:rtl/>
                <w:lang w:bidi="ar-LB"/>
              </w:rPr>
              <w:t>أو (ب) محل إقامته أو مقر إقامته في نيوزيلندا؛</w:t>
            </w:r>
          </w:p>
          <w:p w14:paraId="0D5BFE6A" w14:textId="77777777" w:rsidR="008D64F9" w:rsidRPr="009204EA" w:rsidRDefault="008D64F9" w:rsidP="009204EA">
            <w:pPr>
              <w:pStyle w:val="BodyText"/>
              <w:rPr>
                <w:sz w:val="20"/>
                <w:szCs w:val="20"/>
                <w:rtl/>
                <w:lang w:bidi="ar-LB"/>
              </w:rPr>
            </w:pPr>
            <w:r w:rsidRPr="009204EA">
              <w:rPr>
                <w:sz w:val="20"/>
                <w:szCs w:val="20"/>
                <w:rtl/>
                <w:lang w:bidi="ar-LB"/>
              </w:rPr>
              <w:t>أو (ج) مواطنا أو محل إقامته أو مقر إقامته في دولة من</w:t>
            </w:r>
          </w:p>
          <w:p w14:paraId="1D3BCDD3" w14:textId="77777777" w:rsidR="008D64F9" w:rsidRPr="009204EA" w:rsidRDefault="008D64F9" w:rsidP="009204EA">
            <w:pPr>
              <w:pStyle w:val="BodyText"/>
              <w:rPr>
                <w:sz w:val="20"/>
                <w:szCs w:val="20"/>
                <w:rtl/>
                <w:lang w:bidi="ar-LB"/>
              </w:rPr>
            </w:pPr>
            <w:r w:rsidRPr="009204EA">
              <w:rPr>
                <w:sz w:val="20"/>
                <w:szCs w:val="20"/>
                <w:rtl/>
                <w:lang w:bidi="ar-LB"/>
              </w:rPr>
              <w:t>الدول التي يتم التعامل معها بالمثل.</w:t>
            </w:r>
          </w:p>
          <w:p w14:paraId="1A53DCAA" w14:textId="77777777" w:rsidR="008D64F9" w:rsidRPr="009204EA" w:rsidRDefault="008D64F9" w:rsidP="009204EA">
            <w:pPr>
              <w:pStyle w:val="BodyText"/>
              <w:rPr>
                <w:sz w:val="20"/>
                <w:szCs w:val="20"/>
                <w:rtl/>
                <w:lang w:bidi="ar-LB"/>
              </w:rPr>
            </w:pPr>
            <w:r w:rsidRPr="009204EA">
              <w:rPr>
                <w:sz w:val="20"/>
                <w:szCs w:val="20"/>
                <w:rtl/>
                <w:lang w:bidi="ar-LB"/>
              </w:rPr>
              <w:t>(</w:t>
            </w:r>
            <w:r w:rsidRPr="009204EA">
              <w:rPr>
                <w:sz w:val="20"/>
                <w:szCs w:val="20"/>
              </w:rPr>
              <w:t>ii</w:t>
            </w:r>
            <w:r w:rsidRPr="009204EA">
              <w:rPr>
                <w:sz w:val="20"/>
                <w:szCs w:val="20"/>
                <w:rtl/>
                <w:lang w:bidi="ar-LB"/>
              </w:rPr>
              <w:t>) في حالة شخص اعتبارية، شركة تم تأسيسها أو تسجيلها أو تمارس الأعمال التجارية في نيوزيلندا أو دولة من الدول التي يتم التعامل معها بالمثل.</w:t>
            </w:r>
          </w:p>
          <w:p w14:paraId="1E452466" w14:textId="77777777" w:rsidR="008D64F9" w:rsidRPr="009204EA" w:rsidRDefault="008D64F9" w:rsidP="009204EA">
            <w:pPr>
              <w:pStyle w:val="BodyText"/>
              <w:rPr>
                <w:sz w:val="20"/>
                <w:szCs w:val="20"/>
                <w:rtl/>
                <w:lang w:bidi="ar-LB"/>
              </w:rPr>
            </w:pPr>
            <w:r w:rsidRPr="009204EA">
              <w:rPr>
                <w:sz w:val="20"/>
                <w:szCs w:val="20"/>
                <w:rtl/>
                <w:lang w:bidi="ar-LB"/>
              </w:rPr>
              <w:t>(3) يجوز للخليفة أن ينقل حق التتبع إلى شخص آخر، باعتبارها ملكية شخصية،</w:t>
            </w:r>
          </w:p>
          <w:p w14:paraId="5D923133" w14:textId="77777777" w:rsidR="008D64F9" w:rsidRPr="009204EA" w:rsidRDefault="008D64F9" w:rsidP="009204EA">
            <w:pPr>
              <w:pStyle w:val="BodyText"/>
              <w:rPr>
                <w:sz w:val="20"/>
                <w:szCs w:val="20"/>
                <w:rtl/>
                <w:lang w:bidi="ar-LB"/>
              </w:rPr>
            </w:pPr>
            <w:r w:rsidRPr="009204EA">
              <w:rPr>
                <w:sz w:val="20"/>
                <w:szCs w:val="20"/>
                <w:rtl/>
                <w:lang w:bidi="ar-LB"/>
              </w:rPr>
              <w:t>من خلال-</w:t>
            </w:r>
          </w:p>
          <w:p w14:paraId="4C764AB1" w14:textId="77777777" w:rsidR="008D64F9" w:rsidRPr="009204EA" w:rsidRDefault="008D64F9" w:rsidP="009204EA">
            <w:pPr>
              <w:pStyle w:val="BodyText"/>
              <w:rPr>
                <w:sz w:val="20"/>
                <w:szCs w:val="20"/>
                <w:rtl/>
                <w:lang w:bidi="ar-LB"/>
              </w:rPr>
            </w:pPr>
            <w:r w:rsidRPr="009204EA">
              <w:rPr>
                <w:sz w:val="20"/>
                <w:szCs w:val="20"/>
                <w:rtl/>
                <w:lang w:bidi="ar-LB"/>
              </w:rPr>
              <w:t>(أ) التنازل؛</w:t>
            </w:r>
          </w:p>
          <w:p w14:paraId="711C47FB" w14:textId="77777777" w:rsidR="008D64F9" w:rsidRPr="009204EA" w:rsidRDefault="008D64F9" w:rsidP="009204EA">
            <w:pPr>
              <w:pStyle w:val="BodyText"/>
              <w:rPr>
                <w:sz w:val="20"/>
                <w:szCs w:val="20"/>
                <w:rtl/>
                <w:lang w:bidi="ar-LB"/>
              </w:rPr>
            </w:pPr>
            <w:r w:rsidRPr="009204EA">
              <w:rPr>
                <w:sz w:val="20"/>
                <w:szCs w:val="20"/>
                <w:rtl/>
                <w:lang w:bidi="ar-LB"/>
              </w:rPr>
              <w:t>أو (ب) الوصية؛</w:t>
            </w:r>
          </w:p>
          <w:p w14:paraId="650266A9" w14:textId="77777777" w:rsidR="008D64F9" w:rsidRPr="009204EA" w:rsidRDefault="008D64F9" w:rsidP="009204EA">
            <w:pPr>
              <w:pStyle w:val="BodyText"/>
              <w:rPr>
                <w:sz w:val="20"/>
                <w:szCs w:val="20"/>
                <w:rtl/>
                <w:lang w:bidi="ar-LB"/>
              </w:rPr>
            </w:pPr>
            <w:r w:rsidRPr="009204EA">
              <w:rPr>
                <w:sz w:val="20"/>
                <w:szCs w:val="20"/>
                <w:rtl/>
                <w:lang w:bidi="ar-LB"/>
              </w:rPr>
              <w:t>أو (ج) تنفيذ القانون.</w:t>
            </w:r>
          </w:p>
          <w:p w14:paraId="2829529D" w14:textId="77777777" w:rsidR="008D64F9" w:rsidRPr="009204EA" w:rsidRDefault="008D64F9" w:rsidP="009204EA">
            <w:pPr>
              <w:pStyle w:val="BodyText"/>
              <w:rPr>
                <w:sz w:val="20"/>
                <w:szCs w:val="20"/>
                <w:rtl/>
                <w:lang w:bidi="ar-LB"/>
              </w:rPr>
            </w:pPr>
            <w:r w:rsidRPr="009204EA">
              <w:rPr>
                <w:sz w:val="20"/>
                <w:szCs w:val="20"/>
                <w:rtl/>
                <w:lang w:bidi="ar-LB"/>
              </w:rPr>
              <w:t xml:space="preserve">(4) إذا كان اثنان أو أكثر من الخلفاء قد حصلوا على حق التتبع بعد وفاة الفنان، فإن كل خليفة </w:t>
            </w:r>
            <w:r w:rsidRPr="009204EA">
              <w:rPr>
                <w:sz w:val="20"/>
                <w:szCs w:val="20"/>
                <w:rtl/>
                <w:lang w:bidi="ar-LB"/>
              </w:rPr>
              <w:lastRenderedPageBreak/>
              <w:t>يملك حصة من الحق الذي ورثه أو الذي انتقل إليه.</w:t>
            </w:r>
          </w:p>
          <w:p w14:paraId="5453161E" w14:textId="77777777" w:rsidR="008D64F9" w:rsidRPr="009204EA" w:rsidRDefault="008D64F9" w:rsidP="009204EA">
            <w:pPr>
              <w:pStyle w:val="BodyText"/>
              <w:rPr>
                <w:sz w:val="20"/>
                <w:szCs w:val="20"/>
                <w:rtl/>
                <w:lang w:bidi="ar-LB"/>
              </w:rPr>
            </w:pPr>
            <w:r w:rsidRPr="009204EA">
              <w:rPr>
                <w:sz w:val="20"/>
                <w:szCs w:val="20"/>
                <w:rtl/>
                <w:lang w:bidi="ar-LB"/>
              </w:rPr>
              <w:t>(5) في هذا القسم، يعني الخليفة، فيما يتعلق بحق التتبع، ما يلي:</w:t>
            </w:r>
          </w:p>
          <w:p w14:paraId="128468E0" w14:textId="77777777" w:rsidR="008D64F9" w:rsidRPr="009204EA" w:rsidRDefault="008D64F9" w:rsidP="009204EA">
            <w:pPr>
              <w:pStyle w:val="BodyText"/>
              <w:rPr>
                <w:sz w:val="20"/>
                <w:szCs w:val="20"/>
                <w:rtl/>
                <w:lang w:bidi="ar-LB"/>
              </w:rPr>
            </w:pPr>
            <w:r w:rsidRPr="009204EA">
              <w:rPr>
                <w:sz w:val="20"/>
                <w:szCs w:val="20"/>
                <w:rtl/>
                <w:lang w:bidi="ar-LB"/>
              </w:rPr>
              <w:t>(أ) الشخص الذي ورث حق التتبع بموجب الوصية أو في حالة وفاة الفنان من دون أن يترك أي وصية؛</w:t>
            </w:r>
          </w:p>
          <w:p w14:paraId="7CB80308" w14:textId="77777777" w:rsidR="008D64F9" w:rsidRPr="009204EA" w:rsidRDefault="008D64F9" w:rsidP="009204EA">
            <w:pPr>
              <w:pStyle w:val="BodyText"/>
              <w:rPr>
                <w:sz w:val="20"/>
                <w:szCs w:val="20"/>
                <w:rtl/>
                <w:lang w:bidi="ar-LB"/>
              </w:rPr>
            </w:pPr>
            <w:r w:rsidRPr="009204EA">
              <w:rPr>
                <w:sz w:val="20"/>
                <w:szCs w:val="20"/>
                <w:rtl/>
                <w:lang w:bidi="ar-LB"/>
              </w:rPr>
              <w:t>أو (ب) الشخص الذي يمتلك حق التتبع بعد نقل الحق بموجب المادة الفرعية (3) مرة واحدة أو أكثر.</w:t>
            </w:r>
            <w:r w:rsidRPr="009204EA">
              <w:rPr>
                <w:sz w:val="20"/>
                <w:szCs w:val="20"/>
                <w:vertAlign w:val="superscript"/>
                <w:lang w:val="en-GB"/>
              </w:rPr>
              <w:footnoteReference w:id="119"/>
            </w:r>
          </w:p>
        </w:tc>
        <w:tc>
          <w:tcPr>
            <w:tcW w:w="2636" w:type="dxa"/>
          </w:tcPr>
          <w:p w14:paraId="3A5949CF" w14:textId="77777777" w:rsidR="008D64F9" w:rsidRPr="009204EA" w:rsidRDefault="008D64F9">
            <w:pPr>
              <w:pStyle w:val="BodyText"/>
              <w:numPr>
                <w:ilvl w:val="0"/>
                <w:numId w:val="18"/>
              </w:numPr>
              <w:ind w:left="360"/>
              <w:rPr>
                <w:sz w:val="20"/>
                <w:szCs w:val="20"/>
                <w:rtl/>
                <w:lang w:bidi="ar-LB"/>
              </w:rPr>
            </w:pPr>
            <w:r w:rsidRPr="009204EA">
              <w:rPr>
                <w:sz w:val="20"/>
                <w:szCs w:val="20"/>
                <w:rtl/>
                <w:lang w:bidi="ar-LB"/>
              </w:rPr>
              <w:lastRenderedPageBreak/>
              <w:t>يقدم دليلاً واضحًا خطوة بخطوة حول كيفية التعامل مع حق التتبع بعد وفاة الفنان أو الفنانين (في حالة المصنفات المشتركة التأليف)</w:t>
            </w:r>
          </w:p>
          <w:p w14:paraId="0E716670" w14:textId="77777777" w:rsidR="008D64F9" w:rsidRPr="009204EA" w:rsidRDefault="008D64F9">
            <w:pPr>
              <w:pStyle w:val="BodyText"/>
              <w:numPr>
                <w:ilvl w:val="0"/>
                <w:numId w:val="18"/>
              </w:numPr>
              <w:ind w:left="360"/>
              <w:rPr>
                <w:sz w:val="20"/>
                <w:szCs w:val="20"/>
                <w:rtl/>
                <w:lang w:bidi="ar-LB"/>
              </w:rPr>
            </w:pPr>
            <w:r w:rsidRPr="009204EA">
              <w:rPr>
                <w:sz w:val="20"/>
                <w:szCs w:val="20"/>
                <w:rtl/>
                <w:lang w:bidi="ar-LB"/>
              </w:rPr>
              <w:t>يحدد متطلبات الأهلية للخلفاء</w:t>
            </w:r>
          </w:p>
          <w:p w14:paraId="2F73A12B" w14:textId="77777777" w:rsidR="008D64F9" w:rsidRPr="009204EA" w:rsidDel="00EF0D3E" w:rsidRDefault="008D64F9">
            <w:pPr>
              <w:pStyle w:val="BodyText"/>
              <w:numPr>
                <w:ilvl w:val="0"/>
                <w:numId w:val="18"/>
              </w:numPr>
              <w:ind w:left="360"/>
              <w:rPr>
                <w:sz w:val="20"/>
                <w:szCs w:val="20"/>
                <w:rtl/>
                <w:lang w:bidi="ar-LB"/>
              </w:rPr>
            </w:pPr>
            <w:r w:rsidRPr="009204EA">
              <w:rPr>
                <w:sz w:val="20"/>
                <w:szCs w:val="20"/>
                <w:rtl/>
                <w:lang w:bidi="ar-LB"/>
              </w:rPr>
              <w:t>يسمح للخلفاء بنقل حق إعادة التتبع</w:t>
            </w:r>
            <w:r w:rsidRPr="009204EA">
              <w:rPr>
                <w:sz w:val="20"/>
                <w:szCs w:val="20"/>
                <w:lang w:val="en-AU"/>
              </w:rPr>
              <w:t xml:space="preserve"> </w:t>
            </w:r>
          </w:p>
        </w:tc>
      </w:tr>
      <w:tr w:rsidR="008D64F9" w:rsidRPr="009204EA" w14:paraId="38B6B4A1" w14:textId="77777777" w:rsidTr="00101B5A">
        <w:tc>
          <w:tcPr>
            <w:tcW w:w="2612" w:type="dxa"/>
          </w:tcPr>
          <w:p w14:paraId="0A54064A" w14:textId="77777777" w:rsidR="008D64F9" w:rsidRPr="009204EA" w:rsidRDefault="008D64F9" w:rsidP="009204EA">
            <w:pPr>
              <w:pStyle w:val="BodyText"/>
              <w:rPr>
                <w:sz w:val="20"/>
                <w:szCs w:val="20"/>
                <w:rtl/>
                <w:lang w:bidi="ar-LB"/>
              </w:rPr>
            </w:pPr>
            <w:r w:rsidRPr="009204EA">
              <w:rPr>
                <w:sz w:val="20"/>
                <w:szCs w:val="20"/>
                <w:rtl/>
                <w:lang w:bidi="ar-LB"/>
              </w:rPr>
              <w:t>حكم مفصل أكثر (أستراليا)</w:t>
            </w:r>
          </w:p>
        </w:tc>
        <w:tc>
          <w:tcPr>
            <w:tcW w:w="3402" w:type="dxa"/>
          </w:tcPr>
          <w:p w14:paraId="5481ECAC" w14:textId="77777777" w:rsidR="008D64F9" w:rsidRPr="00803410" w:rsidRDefault="008D64F9" w:rsidP="009204EA">
            <w:pPr>
              <w:pStyle w:val="BodyText"/>
              <w:rPr>
                <w:b/>
                <w:bCs/>
                <w:sz w:val="20"/>
                <w:szCs w:val="20"/>
                <w:rtl/>
                <w:lang w:bidi="ar-LB"/>
              </w:rPr>
            </w:pPr>
            <w:r w:rsidRPr="00803410">
              <w:rPr>
                <w:b/>
                <w:bCs/>
                <w:sz w:val="20"/>
                <w:szCs w:val="20"/>
                <w:rtl/>
                <w:lang w:bidi="ar-LB"/>
              </w:rPr>
              <w:t>12 من يملك حق التتبع؟</w:t>
            </w:r>
          </w:p>
          <w:p w14:paraId="17615E44" w14:textId="77777777" w:rsidR="008D64F9" w:rsidRPr="009204EA" w:rsidRDefault="008D64F9" w:rsidP="009204EA">
            <w:pPr>
              <w:pStyle w:val="BodyText"/>
              <w:rPr>
                <w:sz w:val="20"/>
                <w:szCs w:val="20"/>
                <w:rtl/>
                <w:lang w:bidi="ar-LB"/>
              </w:rPr>
            </w:pPr>
            <w:r w:rsidRPr="009204EA">
              <w:rPr>
                <w:sz w:val="20"/>
                <w:szCs w:val="20"/>
                <w:rtl/>
                <w:lang w:bidi="ar-LB"/>
              </w:rPr>
              <w:t>…</w:t>
            </w:r>
          </w:p>
          <w:p w14:paraId="0D6A0E74" w14:textId="77777777" w:rsidR="008D64F9" w:rsidRPr="009204EA" w:rsidRDefault="008D64F9" w:rsidP="009204EA">
            <w:pPr>
              <w:pStyle w:val="BodyText"/>
              <w:rPr>
                <w:sz w:val="20"/>
                <w:szCs w:val="20"/>
                <w:rtl/>
                <w:lang w:bidi="ar-LB"/>
              </w:rPr>
            </w:pPr>
            <w:r w:rsidRPr="009204EA">
              <w:rPr>
                <w:sz w:val="20"/>
                <w:szCs w:val="20"/>
                <w:rtl/>
                <w:lang w:bidi="ar-LB"/>
              </w:rPr>
              <w:t>مصنف فني تم إنشاؤه بواسطة فنان واحد لم يعد على قيد الحياة</w:t>
            </w:r>
          </w:p>
          <w:p w14:paraId="38B93103" w14:textId="77777777" w:rsidR="008D64F9" w:rsidRPr="009204EA" w:rsidRDefault="008D64F9" w:rsidP="009204EA">
            <w:pPr>
              <w:pStyle w:val="BodyText"/>
              <w:rPr>
                <w:sz w:val="20"/>
                <w:szCs w:val="20"/>
                <w:rtl/>
                <w:lang w:bidi="ar-LB"/>
              </w:rPr>
            </w:pPr>
            <w:r w:rsidRPr="009204EA">
              <w:rPr>
                <w:sz w:val="20"/>
                <w:szCs w:val="20"/>
                <w:rtl/>
                <w:lang w:bidi="ar-LB"/>
              </w:rPr>
              <w:t>(2) إذا تم إنشاء مصنف فني من قبل فنان واحد تم تحديده ولكنه لم يعد على قيد الحياة في وقت إعادة البيع التجاري للمصنف الفني واذا كان الفنان قد استوفى متطلب الإقامة مباشرة قبل وفاته، فإن حق التتبع عند البيع التجاري يكون ملكا للجهة التالية:</w:t>
            </w:r>
          </w:p>
          <w:p w14:paraId="339A14C3" w14:textId="77777777" w:rsidR="008D64F9" w:rsidRPr="009204EA" w:rsidRDefault="008D64F9" w:rsidP="009204EA">
            <w:pPr>
              <w:pStyle w:val="BodyText"/>
              <w:rPr>
                <w:sz w:val="20"/>
                <w:szCs w:val="20"/>
                <w:rtl/>
                <w:lang w:bidi="ar-LB"/>
              </w:rPr>
            </w:pPr>
            <w:r w:rsidRPr="009204EA">
              <w:rPr>
                <w:sz w:val="20"/>
                <w:szCs w:val="20"/>
                <w:rtl/>
                <w:lang w:bidi="ar-LB"/>
              </w:rPr>
              <w:t>(أ) - في حال وجود شخص واحد فقط يخلفه في ملكية الحق - هذا الكيان (أي خليفة الفنان)، شرط أن يستوفي متطلب الإقامة في وقت إعادة البيع التجاري ومتطلب الخلافة؛</w:t>
            </w:r>
          </w:p>
          <w:p w14:paraId="391B3A0F" w14:textId="77777777" w:rsidR="008D64F9" w:rsidRPr="009204EA" w:rsidRDefault="008D64F9" w:rsidP="009204EA">
            <w:pPr>
              <w:pStyle w:val="BodyText"/>
              <w:rPr>
                <w:sz w:val="20"/>
                <w:szCs w:val="20"/>
                <w:rtl/>
                <w:lang w:bidi="ar-LB"/>
              </w:rPr>
            </w:pPr>
            <w:r w:rsidRPr="009204EA">
              <w:rPr>
                <w:sz w:val="20"/>
                <w:szCs w:val="20"/>
                <w:rtl/>
                <w:lang w:bidi="ar-LB"/>
              </w:rPr>
              <w:t>(أ) - في حال وجود أكثر من شخص يخلفه في ملكية الحق - كل كيان من هذه الكيانات يستوفي متطلب الإقامة في وقت إعادة البيع التجاري ومتطلب الخلافة.</w:t>
            </w:r>
          </w:p>
          <w:p w14:paraId="648F1449" w14:textId="77777777" w:rsidR="008D64F9" w:rsidRPr="009204EA" w:rsidRDefault="008D64F9" w:rsidP="009204EA">
            <w:pPr>
              <w:pStyle w:val="BodyText"/>
              <w:rPr>
                <w:sz w:val="20"/>
                <w:szCs w:val="20"/>
                <w:rtl/>
                <w:lang w:bidi="ar-LB"/>
              </w:rPr>
            </w:pPr>
            <w:r w:rsidRPr="009204EA">
              <w:rPr>
                <w:sz w:val="20"/>
                <w:szCs w:val="20"/>
                <w:rtl/>
                <w:lang w:bidi="ar-LB"/>
              </w:rPr>
              <w:t>….</w:t>
            </w:r>
          </w:p>
          <w:p w14:paraId="600A0F42" w14:textId="77777777" w:rsidR="008D64F9" w:rsidRPr="009204EA" w:rsidRDefault="008D64F9" w:rsidP="009204EA">
            <w:pPr>
              <w:pStyle w:val="BodyText"/>
              <w:rPr>
                <w:sz w:val="20"/>
                <w:szCs w:val="20"/>
                <w:rtl/>
                <w:lang w:bidi="ar-LB"/>
              </w:rPr>
            </w:pPr>
            <w:r w:rsidRPr="009204EA">
              <w:rPr>
                <w:sz w:val="20"/>
                <w:szCs w:val="20"/>
                <w:rtl/>
                <w:lang w:bidi="ar-LB"/>
              </w:rPr>
              <w:t>مصنف فني تم إنشاؤه من قبل أكثر من فنان</w:t>
            </w:r>
          </w:p>
          <w:p w14:paraId="7CF82F8A" w14:textId="77777777" w:rsidR="008D64F9" w:rsidRPr="009204EA" w:rsidRDefault="008D64F9" w:rsidP="009204EA">
            <w:pPr>
              <w:pStyle w:val="BodyText"/>
              <w:rPr>
                <w:sz w:val="20"/>
                <w:szCs w:val="20"/>
                <w:rtl/>
                <w:lang w:bidi="ar-LB"/>
              </w:rPr>
            </w:pPr>
            <w:r w:rsidRPr="009204EA">
              <w:rPr>
                <w:sz w:val="20"/>
                <w:szCs w:val="20"/>
                <w:rtl/>
                <w:lang w:bidi="ar-LB"/>
              </w:rPr>
              <w:t>(3)…</w:t>
            </w:r>
          </w:p>
          <w:p w14:paraId="5844B5CC" w14:textId="77777777" w:rsidR="008D64F9" w:rsidRPr="009204EA" w:rsidRDefault="008D64F9" w:rsidP="009204EA">
            <w:pPr>
              <w:pStyle w:val="BodyText"/>
              <w:rPr>
                <w:sz w:val="20"/>
                <w:szCs w:val="20"/>
                <w:rtl/>
                <w:lang w:bidi="ar-LB"/>
              </w:rPr>
            </w:pPr>
            <w:r w:rsidRPr="009204EA">
              <w:rPr>
                <w:sz w:val="20"/>
                <w:szCs w:val="20"/>
                <w:rtl/>
                <w:lang w:bidi="ar-LB"/>
              </w:rPr>
              <w:t>(ب) - بالنسبة لكل فنان تم تحديده ولكنه لم يعد على قيد الحياة في وقت إعادة البيع التجاري، والذي استوفى متطلب الإقامة مباشرة قبل وفاته، ويخلفه شخص واحد فقط في ملكية الحق -هذا الكيان (أي خليفة الفنان)، شرط أن يستوفي متطلب الإقامة في وقت إعادة البيع التجاري ومتطلب الخلافة؛</w:t>
            </w:r>
          </w:p>
          <w:p w14:paraId="5EFF25E7" w14:textId="77777777" w:rsidR="008D64F9" w:rsidRPr="009204EA" w:rsidRDefault="008D64F9" w:rsidP="009204EA">
            <w:pPr>
              <w:pStyle w:val="BodyText"/>
              <w:rPr>
                <w:sz w:val="20"/>
                <w:szCs w:val="20"/>
                <w:rtl/>
                <w:lang w:bidi="ar-LB"/>
              </w:rPr>
            </w:pPr>
            <w:r w:rsidRPr="009204EA">
              <w:rPr>
                <w:sz w:val="20"/>
                <w:szCs w:val="20"/>
                <w:rtl/>
                <w:lang w:bidi="ar-LB"/>
              </w:rPr>
              <w:t xml:space="preserve">و(ج) - بالنسبة لكل فنان تم تحديده ولكنه لم يعد على قيد الحياة في وقت إعادة البيع التجاري، والذي استوفى متطلب الإقامة مباشرة قبل وفاته، ويخلفه أكثر من شخص في ملكية الحق - كل كيان </w:t>
            </w:r>
            <w:r w:rsidRPr="009204EA">
              <w:rPr>
                <w:sz w:val="20"/>
                <w:szCs w:val="20"/>
                <w:rtl/>
                <w:lang w:bidi="ar-LB"/>
              </w:rPr>
              <w:lastRenderedPageBreak/>
              <w:t>من هذه الكيانات، شرط أن يستوفي متطلب الإقامة في وقت إعادة البيع التجاري ومتطلب الخلافة؛</w:t>
            </w:r>
          </w:p>
          <w:p w14:paraId="7D5E041A" w14:textId="77777777" w:rsidR="008D64F9" w:rsidRPr="009204EA" w:rsidRDefault="008D64F9" w:rsidP="009204EA">
            <w:pPr>
              <w:pStyle w:val="BodyText"/>
              <w:rPr>
                <w:sz w:val="20"/>
                <w:szCs w:val="20"/>
                <w:rtl/>
                <w:lang w:bidi="ar-LB"/>
              </w:rPr>
            </w:pPr>
            <w:r w:rsidRPr="009204EA">
              <w:rPr>
                <w:sz w:val="20"/>
                <w:szCs w:val="20"/>
                <w:rtl/>
                <w:lang w:bidi="ar-LB"/>
              </w:rPr>
              <w:t>الخلفاء اللاحقون في الملكية</w:t>
            </w:r>
          </w:p>
          <w:p w14:paraId="1AD05CF2" w14:textId="77777777" w:rsidR="008D64F9" w:rsidRPr="009204EA" w:rsidRDefault="008D64F9" w:rsidP="009204EA">
            <w:pPr>
              <w:pStyle w:val="BodyText"/>
              <w:rPr>
                <w:sz w:val="20"/>
                <w:szCs w:val="20"/>
                <w:rtl/>
                <w:lang w:bidi="ar-LB"/>
              </w:rPr>
            </w:pPr>
            <w:r w:rsidRPr="009204EA">
              <w:rPr>
                <w:sz w:val="20"/>
                <w:szCs w:val="20"/>
                <w:rtl/>
                <w:lang w:bidi="ar-LB"/>
              </w:rPr>
              <w:t>(4) بالنسبة لكل كيان يمتلك مصلحة في حق التتبع عند إعادة البيع التجاري للمصنف الفني بموجب الفقرة الفرعية (2) أو (3)، أو بموجب حكم سابق لهاتين الفقرتين الفرعيتين، ولكن هذا الكيان قد مات في وقت إعادة البيع التجاري التالية للمصنف الفني، تعود ملكية حق التتبع عند إعادة البيع التجاري التالية للمصنف الفني إلى:</w:t>
            </w:r>
          </w:p>
          <w:p w14:paraId="468A815C" w14:textId="77777777" w:rsidR="008D64F9" w:rsidRPr="009204EA" w:rsidRDefault="008D64F9" w:rsidP="009204EA">
            <w:pPr>
              <w:pStyle w:val="BodyText"/>
              <w:rPr>
                <w:sz w:val="20"/>
                <w:szCs w:val="20"/>
                <w:rtl/>
                <w:lang w:bidi="ar-LB"/>
              </w:rPr>
            </w:pPr>
            <w:r w:rsidRPr="009204EA">
              <w:rPr>
                <w:sz w:val="20"/>
                <w:szCs w:val="20"/>
                <w:rtl/>
                <w:lang w:bidi="ar-LB"/>
              </w:rPr>
              <w:t>(أ) - في حال وجود شخص واحد فقط يخلفه في ملكية الحق - هذا الكيان (أي خليفة خليفة الفنان)، شرط أن يستوفي متطلب الإقامة في وقت إعادة البيع التجاري التالي ومتطلب الخلافة؛</w:t>
            </w:r>
          </w:p>
          <w:p w14:paraId="4A919145" w14:textId="77777777" w:rsidR="008D64F9" w:rsidRPr="009204EA" w:rsidRDefault="008D64F9" w:rsidP="009204EA">
            <w:pPr>
              <w:pStyle w:val="BodyText"/>
              <w:rPr>
                <w:sz w:val="20"/>
                <w:szCs w:val="20"/>
                <w:rtl/>
                <w:lang w:bidi="ar-LB"/>
              </w:rPr>
            </w:pPr>
            <w:r w:rsidRPr="009204EA">
              <w:rPr>
                <w:sz w:val="20"/>
                <w:szCs w:val="20"/>
                <w:rtl/>
                <w:lang w:bidi="ar-LB"/>
              </w:rPr>
              <w:t>(أ) - في حال وجود أكثر من شخص يخلفه في ملكية الحق - كل كيان من هذه الكيانات يستوفي متطلب الإقامة في وقت إعادة البيع التجاري التالي ومتطلب الخلافة.</w:t>
            </w:r>
          </w:p>
          <w:p w14:paraId="4D7EDEA7" w14:textId="77777777" w:rsidR="008D64F9" w:rsidRPr="009204EA" w:rsidRDefault="008D64F9" w:rsidP="009204EA">
            <w:pPr>
              <w:pStyle w:val="BodyText"/>
              <w:rPr>
                <w:sz w:val="20"/>
                <w:szCs w:val="20"/>
                <w:lang w:val="en-GB"/>
              </w:rPr>
            </w:pPr>
          </w:p>
          <w:p w14:paraId="17309DAA" w14:textId="77777777" w:rsidR="008D64F9" w:rsidRPr="009204EA" w:rsidRDefault="008D64F9" w:rsidP="009204EA">
            <w:pPr>
              <w:pStyle w:val="BodyText"/>
              <w:rPr>
                <w:sz w:val="20"/>
                <w:szCs w:val="20"/>
                <w:rtl/>
                <w:lang w:bidi="ar-LB"/>
              </w:rPr>
            </w:pPr>
            <w:r w:rsidRPr="009204EA">
              <w:rPr>
                <w:sz w:val="20"/>
                <w:szCs w:val="20"/>
                <w:rtl/>
                <w:lang w:bidi="ar-LB"/>
              </w:rPr>
              <w:t>15 متطلب الخلافة</w:t>
            </w:r>
          </w:p>
          <w:p w14:paraId="3F1D32F0" w14:textId="77777777" w:rsidR="008D64F9" w:rsidRPr="009204EA" w:rsidRDefault="008D64F9" w:rsidP="009204EA">
            <w:pPr>
              <w:pStyle w:val="BodyText"/>
              <w:rPr>
                <w:sz w:val="20"/>
                <w:szCs w:val="20"/>
                <w:rtl/>
                <w:lang w:bidi="ar-LB"/>
              </w:rPr>
            </w:pPr>
            <w:r w:rsidRPr="009204EA">
              <w:rPr>
                <w:sz w:val="20"/>
                <w:szCs w:val="20"/>
                <w:rtl/>
                <w:lang w:bidi="ar-LB"/>
              </w:rPr>
              <w:t>(1) يستوفي الكيان متطلب الخلافة فيما يتعلق بحق التتبع عند إعادة البيع التجاري لمصنف فني، إذا استوفى الكيان:</w:t>
            </w:r>
          </w:p>
          <w:p w14:paraId="5E37F328" w14:textId="77777777" w:rsidR="008D64F9" w:rsidRPr="009204EA" w:rsidRDefault="008D64F9" w:rsidP="009204EA">
            <w:pPr>
              <w:pStyle w:val="BodyText"/>
              <w:rPr>
                <w:sz w:val="20"/>
                <w:szCs w:val="20"/>
                <w:rtl/>
                <w:lang w:bidi="ar-LB"/>
              </w:rPr>
            </w:pPr>
            <w:r w:rsidRPr="009204EA">
              <w:rPr>
                <w:sz w:val="20"/>
                <w:szCs w:val="20"/>
                <w:rtl/>
                <w:lang w:bidi="ar-LB"/>
              </w:rPr>
              <w:t>(أ) المعياران 1 و2 (في الفقرتين الفرعيتين (2) و(3))؛</w:t>
            </w:r>
          </w:p>
          <w:p w14:paraId="23783ACC" w14:textId="77777777" w:rsidR="008D64F9" w:rsidRPr="009204EA" w:rsidRDefault="008D64F9" w:rsidP="009204EA">
            <w:pPr>
              <w:pStyle w:val="BodyText"/>
              <w:rPr>
                <w:sz w:val="20"/>
                <w:szCs w:val="20"/>
                <w:rtl/>
                <w:lang w:bidi="ar-LB"/>
              </w:rPr>
            </w:pPr>
            <w:r w:rsidRPr="009204EA">
              <w:rPr>
                <w:sz w:val="20"/>
                <w:szCs w:val="20"/>
                <w:rtl/>
                <w:lang w:bidi="ar-LB"/>
              </w:rPr>
              <w:t>أو (ب) المعياران 3 و4 (في الفقرتين الفرعيتين (4) و(5))؛</w:t>
            </w:r>
          </w:p>
          <w:p w14:paraId="567461D9" w14:textId="77777777" w:rsidR="008D64F9" w:rsidRPr="009204EA" w:rsidRDefault="008D64F9" w:rsidP="009204EA">
            <w:pPr>
              <w:pStyle w:val="BodyText"/>
              <w:rPr>
                <w:sz w:val="20"/>
                <w:szCs w:val="20"/>
                <w:rtl/>
                <w:lang w:bidi="ar-LB"/>
              </w:rPr>
            </w:pPr>
            <w:r w:rsidRPr="009204EA">
              <w:rPr>
                <w:sz w:val="20"/>
                <w:szCs w:val="20"/>
                <w:rtl/>
                <w:lang w:bidi="ar-LB"/>
              </w:rPr>
              <w:t>المعيار 1</w:t>
            </w:r>
          </w:p>
          <w:p w14:paraId="49DAB572" w14:textId="77777777" w:rsidR="008D64F9" w:rsidRPr="009204EA" w:rsidRDefault="008D64F9" w:rsidP="009204EA">
            <w:pPr>
              <w:pStyle w:val="BodyText"/>
              <w:rPr>
                <w:sz w:val="20"/>
                <w:szCs w:val="20"/>
                <w:rtl/>
                <w:lang w:bidi="ar-LB"/>
              </w:rPr>
            </w:pPr>
            <w:r w:rsidRPr="009204EA">
              <w:rPr>
                <w:sz w:val="20"/>
                <w:szCs w:val="20"/>
                <w:rtl/>
                <w:lang w:bidi="ar-LB"/>
              </w:rPr>
              <w:t>(2) بعد وفاة الشخص المعني، حصل الكيان على الحق من خلال وصية الشخص المتوفي، أو وفقًا لقواعد الخلافة في حال عدم وجود أي وصية.</w:t>
            </w:r>
          </w:p>
          <w:p w14:paraId="666FBAAB" w14:textId="77777777" w:rsidR="008D64F9" w:rsidRPr="009204EA" w:rsidRDefault="008D64F9" w:rsidP="009204EA">
            <w:pPr>
              <w:pStyle w:val="BodyText"/>
              <w:rPr>
                <w:sz w:val="20"/>
                <w:szCs w:val="20"/>
                <w:rtl/>
                <w:lang w:bidi="ar-LB"/>
              </w:rPr>
            </w:pPr>
            <w:r w:rsidRPr="009204EA">
              <w:rPr>
                <w:sz w:val="20"/>
                <w:szCs w:val="20"/>
                <w:rtl/>
                <w:lang w:bidi="ar-LB"/>
              </w:rPr>
              <w:t>المعيار 2</w:t>
            </w:r>
          </w:p>
          <w:p w14:paraId="67590D4F" w14:textId="77777777" w:rsidR="008D64F9" w:rsidRPr="009204EA" w:rsidRDefault="008D64F9" w:rsidP="009204EA">
            <w:pPr>
              <w:pStyle w:val="BodyText"/>
              <w:rPr>
                <w:sz w:val="20"/>
                <w:szCs w:val="20"/>
                <w:rtl/>
                <w:lang w:bidi="ar-LB"/>
              </w:rPr>
            </w:pPr>
            <w:r w:rsidRPr="009204EA">
              <w:rPr>
                <w:sz w:val="20"/>
                <w:szCs w:val="20"/>
                <w:rtl/>
                <w:lang w:bidi="ar-LB"/>
              </w:rPr>
              <w:t>(3) الكيان هو:</w:t>
            </w:r>
          </w:p>
          <w:p w14:paraId="5E606BB6" w14:textId="77777777" w:rsidR="008D64F9" w:rsidRPr="009204EA" w:rsidRDefault="008D64F9" w:rsidP="009204EA">
            <w:pPr>
              <w:pStyle w:val="BodyText"/>
              <w:rPr>
                <w:sz w:val="20"/>
                <w:szCs w:val="20"/>
                <w:rtl/>
                <w:lang w:bidi="ar-LB"/>
              </w:rPr>
            </w:pPr>
            <w:r w:rsidRPr="009204EA">
              <w:rPr>
                <w:sz w:val="20"/>
                <w:szCs w:val="20"/>
                <w:rtl/>
                <w:lang w:bidi="ar-LB"/>
              </w:rPr>
              <w:t>(أ) فرد لديه مصلحة في الحق وينتفع منه؛</w:t>
            </w:r>
          </w:p>
          <w:p w14:paraId="3411010E" w14:textId="77777777" w:rsidR="008D64F9" w:rsidRPr="009204EA" w:rsidRDefault="008D64F9" w:rsidP="009204EA">
            <w:pPr>
              <w:pStyle w:val="BodyText"/>
              <w:rPr>
                <w:sz w:val="20"/>
                <w:szCs w:val="20"/>
                <w:rtl/>
                <w:lang w:bidi="ar-LB"/>
              </w:rPr>
            </w:pPr>
            <w:r w:rsidRPr="009204EA">
              <w:rPr>
                <w:sz w:val="20"/>
                <w:szCs w:val="20"/>
                <w:rtl/>
                <w:lang w:bidi="ar-LB"/>
              </w:rPr>
              <w:t>أو (ب) جمعية خيرية أو مؤسسة خيرية لديها مصلحة في الحق وتنتفع منه؛</w:t>
            </w:r>
          </w:p>
          <w:p w14:paraId="0B624B0F" w14:textId="77777777" w:rsidR="008D64F9" w:rsidRPr="009204EA" w:rsidRDefault="008D64F9" w:rsidP="009204EA">
            <w:pPr>
              <w:pStyle w:val="BodyText"/>
              <w:rPr>
                <w:sz w:val="20"/>
                <w:szCs w:val="20"/>
                <w:rtl/>
                <w:lang w:bidi="ar-LB"/>
              </w:rPr>
            </w:pPr>
            <w:r w:rsidRPr="009204EA">
              <w:rPr>
                <w:sz w:val="20"/>
                <w:szCs w:val="20"/>
                <w:rtl/>
                <w:lang w:bidi="ar-LB"/>
              </w:rPr>
              <w:t>أو (ج) هيئة مجتمعية لديها مصلحة في الحق وتنتفع منه؛</w:t>
            </w:r>
          </w:p>
          <w:p w14:paraId="54E6312D" w14:textId="77777777" w:rsidR="008D64F9" w:rsidRPr="009204EA" w:rsidRDefault="008D64F9" w:rsidP="009204EA">
            <w:pPr>
              <w:pStyle w:val="BodyText"/>
              <w:rPr>
                <w:sz w:val="20"/>
                <w:szCs w:val="20"/>
                <w:rtl/>
                <w:lang w:bidi="ar-LB"/>
              </w:rPr>
            </w:pPr>
            <w:r w:rsidRPr="009204EA">
              <w:rPr>
                <w:sz w:val="20"/>
                <w:szCs w:val="20"/>
                <w:rtl/>
                <w:lang w:bidi="ar-LB"/>
              </w:rPr>
              <w:t>أو (د) الشخص الوصيّ/المؤتمن على حق:</w:t>
            </w:r>
          </w:p>
          <w:p w14:paraId="1DF96411" w14:textId="77777777" w:rsidR="008D64F9" w:rsidRPr="009204EA" w:rsidRDefault="008D64F9" w:rsidP="009204EA">
            <w:pPr>
              <w:pStyle w:val="BodyText"/>
              <w:rPr>
                <w:sz w:val="20"/>
                <w:szCs w:val="20"/>
                <w:rtl/>
                <w:lang w:bidi="ar-LB"/>
              </w:rPr>
            </w:pPr>
            <w:r w:rsidRPr="009204EA">
              <w:rPr>
                <w:sz w:val="20"/>
                <w:szCs w:val="20"/>
                <w:rtl/>
                <w:lang w:bidi="ar-LB"/>
              </w:rPr>
              <w:lastRenderedPageBreak/>
              <w:t>(</w:t>
            </w:r>
            <w:r w:rsidRPr="009204EA">
              <w:rPr>
                <w:sz w:val="20"/>
                <w:szCs w:val="20"/>
                <w:lang w:val="en-AU"/>
              </w:rPr>
              <w:t>i</w:t>
            </w:r>
            <w:r w:rsidRPr="009204EA">
              <w:rPr>
                <w:sz w:val="20"/>
                <w:szCs w:val="20"/>
                <w:rtl/>
                <w:lang w:bidi="ar-LB"/>
              </w:rPr>
              <w:t>) فرد؛</w:t>
            </w:r>
          </w:p>
          <w:p w14:paraId="0380960E" w14:textId="77777777" w:rsidR="008D64F9" w:rsidRPr="009204EA" w:rsidRDefault="008D64F9" w:rsidP="009204EA">
            <w:pPr>
              <w:pStyle w:val="BodyText"/>
              <w:rPr>
                <w:sz w:val="20"/>
                <w:szCs w:val="20"/>
                <w:rtl/>
                <w:lang w:bidi="ar-LB"/>
              </w:rPr>
            </w:pPr>
            <w:r w:rsidRPr="009204EA">
              <w:rPr>
                <w:sz w:val="20"/>
                <w:szCs w:val="20"/>
                <w:rtl/>
                <w:lang w:bidi="ar-LB"/>
              </w:rPr>
              <w:t>أو (</w:t>
            </w:r>
            <w:r w:rsidRPr="009204EA">
              <w:rPr>
                <w:sz w:val="20"/>
                <w:szCs w:val="20"/>
                <w:lang w:val="en-AU"/>
              </w:rPr>
              <w:t>ii</w:t>
            </w:r>
            <w:r w:rsidRPr="009204EA">
              <w:rPr>
                <w:sz w:val="20"/>
                <w:szCs w:val="20"/>
                <w:rtl/>
                <w:lang w:bidi="ar-LB"/>
              </w:rPr>
              <w:t>) جمعية خيرية أو مؤسسة خيرية؛</w:t>
            </w:r>
          </w:p>
          <w:p w14:paraId="77093B33" w14:textId="77777777" w:rsidR="008D64F9" w:rsidRPr="009204EA" w:rsidRDefault="008D64F9" w:rsidP="009204EA">
            <w:pPr>
              <w:pStyle w:val="BodyText"/>
              <w:rPr>
                <w:sz w:val="20"/>
                <w:szCs w:val="20"/>
                <w:rtl/>
                <w:lang w:bidi="ar-LB"/>
              </w:rPr>
            </w:pPr>
            <w:r w:rsidRPr="009204EA">
              <w:rPr>
                <w:sz w:val="20"/>
                <w:szCs w:val="20"/>
                <w:rtl/>
                <w:lang w:bidi="ar-LB"/>
              </w:rPr>
              <w:t>أو (</w:t>
            </w:r>
            <w:r w:rsidRPr="009204EA">
              <w:rPr>
                <w:sz w:val="20"/>
                <w:szCs w:val="20"/>
                <w:lang w:val="en-AU"/>
              </w:rPr>
              <w:t>iii</w:t>
            </w:r>
            <w:r w:rsidRPr="009204EA">
              <w:rPr>
                <w:sz w:val="20"/>
                <w:szCs w:val="20"/>
                <w:rtl/>
                <w:lang w:bidi="ar-LB"/>
              </w:rPr>
              <w:t>) هيئة مجتمعية.</w:t>
            </w:r>
          </w:p>
          <w:p w14:paraId="3831027F" w14:textId="77777777" w:rsidR="008D64F9" w:rsidRPr="009204EA" w:rsidRDefault="008D64F9" w:rsidP="009204EA">
            <w:pPr>
              <w:pStyle w:val="BodyText"/>
              <w:rPr>
                <w:sz w:val="20"/>
                <w:szCs w:val="20"/>
                <w:rtl/>
                <w:lang w:bidi="ar-LB"/>
              </w:rPr>
            </w:pPr>
            <w:r w:rsidRPr="009204EA">
              <w:rPr>
                <w:sz w:val="20"/>
                <w:szCs w:val="20"/>
                <w:rtl/>
                <w:lang w:bidi="ar-LB"/>
              </w:rPr>
              <w:t>المعيار 3</w:t>
            </w:r>
          </w:p>
          <w:p w14:paraId="4B399C6D" w14:textId="77777777" w:rsidR="008D64F9" w:rsidRPr="009204EA" w:rsidRDefault="008D64F9" w:rsidP="009204EA">
            <w:pPr>
              <w:pStyle w:val="BodyText"/>
              <w:rPr>
                <w:sz w:val="20"/>
                <w:szCs w:val="20"/>
                <w:rtl/>
                <w:lang w:bidi="ar-LB"/>
              </w:rPr>
            </w:pPr>
            <w:r w:rsidRPr="009204EA">
              <w:rPr>
                <w:sz w:val="20"/>
                <w:szCs w:val="20"/>
                <w:rtl/>
                <w:lang w:bidi="ar-LB"/>
              </w:rPr>
              <w:t>(4) حصل الكيان على مصلحته في الحق عند تصفية جمعية خيرية أو مؤسسة خيرية أو هيئة مجتمعية.</w:t>
            </w:r>
          </w:p>
          <w:p w14:paraId="7C32D6B6" w14:textId="77777777" w:rsidR="008D64F9" w:rsidRPr="009204EA" w:rsidRDefault="008D64F9" w:rsidP="009204EA">
            <w:pPr>
              <w:pStyle w:val="BodyText"/>
              <w:rPr>
                <w:sz w:val="20"/>
                <w:szCs w:val="20"/>
                <w:rtl/>
                <w:lang w:bidi="ar-LB"/>
              </w:rPr>
            </w:pPr>
            <w:r w:rsidRPr="009204EA">
              <w:rPr>
                <w:sz w:val="20"/>
                <w:szCs w:val="20"/>
                <w:rtl/>
                <w:lang w:bidi="ar-LB"/>
              </w:rPr>
              <w:t>المعيار 4</w:t>
            </w:r>
          </w:p>
          <w:p w14:paraId="45641182" w14:textId="77777777" w:rsidR="008D64F9" w:rsidRPr="009204EA" w:rsidRDefault="008D64F9" w:rsidP="009204EA">
            <w:pPr>
              <w:pStyle w:val="BodyText"/>
              <w:rPr>
                <w:sz w:val="20"/>
                <w:szCs w:val="20"/>
                <w:rtl/>
                <w:lang w:bidi="ar-LB"/>
              </w:rPr>
            </w:pPr>
            <w:r w:rsidRPr="009204EA">
              <w:rPr>
                <w:sz w:val="20"/>
                <w:szCs w:val="20"/>
                <w:rtl/>
                <w:lang w:bidi="ar-LB"/>
              </w:rPr>
              <w:t>(5) الكيان هو جمعية خيرية أو مؤسسة خيرية أو هيئة مجتمعية تم تأسيسها لنفس الأهداف الرئيسية التي تم تأسيس الهيئة التي تم تصفيتها على أساسها.</w:t>
            </w:r>
            <w:r w:rsidRPr="009204EA">
              <w:rPr>
                <w:sz w:val="20"/>
                <w:szCs w:val="20"/>
                <w:vertAlign w:val="superscript"/>
                <w:lang w:val="en-AU"/>
              </w:rPr>
              <w:footnoteReference w:id="120"/>
            </w:r>
          </w:p>
        </w:tc>
        <w:tc>
          <w:tcPr>
            <w:tcW w:w="2636" w:type="dxa"/>
          </w:tcPr>
          <w:p w14:paraId="2B0078C7" w14:textId="77777777" w:rsidR="008D64F9" w:rsidRPr="009204EA" w:rsidRDefault="008D64F9">
            <w:pPr>
              <w:pStyle w:val="BodyText"/>
              <w:numPr>
                <w:ilvl w:val="0"/>
                <w:numId w:val="18"/>
              </w:numPr>
              <w:ind w:left="360"/>
              <w:rPr>
                <w:sz w:val="20"/>
                <w:szCs w:val="20"/>
                <w:rtl/>
                <w:lang w:bidi="ar-LB"/>
              </w:rPr>
            </w:pPr>
            <w:r w:rsidRPr="009204EA">
              <w:rPr>
                <w:sz w:val="20"/>
                <w:szCs w:val="20"/>
                <w:rtl/>
                <w:lang w:bidi="ar-LB"/>
              </w:rPr>
              <w:lastRenderedPageBreak/>
              <w:t>يسعى هذا الحكم إلى تغطية جميع الاحتمالات تقريبًا - فنان واحد وعدة فنانين، والخلفاء الفرديين والمتعددين، والحالات التي توجد فيها سلسلة من الخلفاء.</w:t>
            </w:r>
            <w:r w:rsidRPr="009204EA">
              <w:rPr>
                <w:sz w:val="20"/>
                <w:szCs w:val="20"/>
                <w:lang w:val="en-AU"/>
              </w:rPr>
              <w:t xml:space="preserve"> </w:t>
            </w:r>
            <w:r w:rsidRPr="009204EA">
              <w:rPr>
                <w:sz w:val="20"/>
                <w:szCs w:val="20"/>
                <w:rtl/>
                <w:lang w:bidi="ar-LB"/>
              </w:rPr>
              <w:t>وبالتالي، قد يوفر هذا الحكم قائمة مرجعية مفيدة لواضعي القوانين الوطنية الآخرين الذين يفكرون في اعتماد مخطط جديد لحق التتبع أو مراجعة المخطط الحالي.</w:t>
            </w:r>
          </w:p>
          <w:p w14:paraId="4C2627E2" w14:textId="77777777" w:rsidR="008D64F9" w:rsidRPr="009204EA" w:rsidRDefault="008D64F9">
            <w:pPr>
              <w:pStyle w:val="BodyText"/>
              <w:numPr>
                <w:ilvl w:val="0"/>
                <w:numId w:val="18"/>
              </w:numPr>
              <w:ind w:left="360"/>
              <w:rPr>
                <w:sz w:val="20"/>
                <w:szCs w:val="20"/>
                <w:rtl/>
                <w:lang w:bidi="ar-LB"/>
              </w:rPr>
            </w:pPr>
            <w:r w:rsidRPr="009204EA">
              <w:rPr>
                <w:sz w:val="20"/>
                <w:szCs w:val="20"/>
                <w:rtl/>
                <w:lang w:bidi="ar-LB"/>
              </w:rPr>
              <w:t>يعتمد هذا الحكم المفصل جدا على استيفاء مطلبين أساسيين: الإقامة (للاطلاع على النص، راجع العمود الثاني للجدول 13) والخلافة (انظر أدناه في العمود 2 من هذا الجدول).</w:t>
            </w:r>
          </w:p>
          <w:p w14:paraId="6ED4EEC7" w14:textId="77777777" w:rsidR="008D64F9" w:rsidRPr="009204EA" w:rsidRDefault="008D64F9" w:rsidP="009204EA">
            <w:pPr>
              <w:pStyle w:val="BodyText"/>
              <w:rPr>
                <w:sz w:val="20"/>
                <w:szCs w:val="20"/>
                <w:lang w:val="en-AU"/>
              </w:rPr>
            </w:pPr>
          </w:p>
          <w:p w14:paraId="79D934C9" w14:textId="77777777" w:rsidR="008D64F9" w:rsidRPr="009204EA" w:rsidRDefault="008D64F9" w:rsidP="009204EA">
            <w:pPr>
              <w:pStyle w:val="BodyText"/>
              <w:rPr>
                <w:sz w:val="20"/>
                <w:szCs w:val="20"/>
                <w:lang w:val="en-AU"/>
              </w:rPr>
            </w:pPr>
          </w:p>
          <w:p w14:paraId="1CCB03D3" w14:textId="77777777" w:rsidR="008D64F9" w:rsidRPr="009204EA" w:rsidRDefault="008D64F9" w:rsidP="009204EA">
            <w:pPr>
              <w:pStyle w:val="BodyText"/>
              <w:rPr>
                <w:sz w:val="20"/>
                <w:szCs w:val="20"/>
                <w:lang w:val="en-AU"/>
              </w:rPr>
            </w:pPr>
          </w:p>
          <w:p w14:paraId="335E726C" w14:textId="77777777" w:rsidR="008D64F9" w:rsidRPr="009204EA" w:rsidRDefault="008D64F9" w:rsidP="009204EA">
            <w:pPr>
              <w:pStyle w:val="BodyText"/>
              <w:rPr>
                <w:sz w:val="20"/>
                <w:szCs w:val="20"/>
                <w:lang w:val="en-AU"/>
              </w:rPr>
            </w:pPr>
          </w:p>
          <w:p w14:paraId="495858A0" w14:textId="77777777" w:rsidR="008D64F9" w:rsidRPr="009204EA" w:rsidRDefault="008D64F9" w:rsidP="009204EA">
            <w:pPr>
              <w:pStyle w:val="BodyText"/>
              <w:rPr>
                <w:sz w:val="20"/>
                <w:szCs w:val="20"/>
                <w:lang w:val="en-AU"/>
              </w:rPr>
            </w:pPr>
          </w:p>
          <w:p w14:paraId="5D4CBF3A" w14:textId="77777777" w:rsidR="008D64F9" w:rsidRPr="009204EA" w:rsidRDefault="008D64F9" w:rsidP="009204EA">
            <w:pPr>
              <w:pStyle w:val="BodyText"/>
              <w:rPr>
                <w:sz w:val="20"/>
                <w:szCs w:val="20"/>
                <w:lang w:val="en-AU"/>
              </w:rPr>
            </w:pPr>
          </w:p>
          <w:p w14:paraId="6450EA63" w14:textId="77777777" w:rsidR="008D64F9" w:rsidRPr="009204EA" w:rsidRDefault="008D64F9" w:rsidP="009204EA">
            <w:pPr>
              <w:pStyle w:val="BodyText"/>
              <w:rPr>
                <w:sz w:val="20"/>
                <w:szCs w:val="20"/>
                <w:lang w:val="en-AU"/>
              </w:rPr>
            </w:pPr>
          </w:p>
          <w:p w14:paraId="0F3CBB66" w14:textId="77777777" w:rsidR="008D64F9" w:rsidRPr="009204EA" w:rsidRDefault="008D64F9" w:rsidP="009204EA">
            <w:pPr>
              <w:pStyle w:val="BodyText"/>
              <w:rPr>
                <w:sz w:val="20"/>
                <w:szCs w:val="20"/>
                <w:lang w:val="en-AU"/>
              </w:rPr>
            </w:pPr>
          </w:p>
          <w:p w14:paraId="27EDECF5" w14:textId="77777777" w:rsidR="008D64F9" w:rsidRPr="009204EA" w:rsidRDefault="008D64F9" w:rsidP="009204EA">
            <w:pPr>
              <w:pStyle w:val="BodyText"/>
              <w:rPr>
                <w:sz w:val="20"/>
                <w:szCs w:val="20"/>
                <w:lang w:val="en-AU"/>
              </w:rPr>
            </w:pPr>
          </w:p>
          <w:p w14:paraId="6DA82F9E" w14:textId="77777777" w:rsidR="008D64F9" w:rsidRPr="009204EA" w:rsidRDefault="008D64F9" w:rsidP="009204EA">
            <w:pPr>
              <w:pStyle w:val="BodyText"/>
              <w:rPr>
                <w:sz w:val="20"/>
                <w:szCs w:val="20"/>
                <w:lang w:val="en-AU"/>
              </w:rPr>
            </w:pPr>
          </w:p>
          <w:p w14:paraId="6837BE93" w14:textId="77777777" w:rsidR="008D64F9" w:rsidRPr="009204EA" w:rsidRDefault="008D64F9" w:rsidP="009204EA">
            <w:pPr>
              <w:pStyle w:val="BodyText"/>
              <w:rPr>
                <w:sz w:val="20"/>
                <w:szCs w:val="20"/>
                <w:lang w:val="en-AU"/>
              </w:rPr>
            </w:pPr>
          </w:p>
          <w:p w14:paraId="3D97091C" w14:textId="77777777" w:rsidR="008D64F9" w:rsidRPr="009204EA" w:rsidRDefault="008D64F9" w:rsidP="009204EA">
            <w:pPr>
              <w:pStyle w:val="BodyText"/>
              <w:rPr>
                <w:sz w:val="20"/>
                <w:szCs w:val="20"/>
                <w:lang w:val="en-AU"/>
              </w:rPr>
            </w:pPr>
          </w:p>
          <w:p w14:paraId="66454CBD" w14:textId="77777777" w:rsidR="008D64F9" w:rsidRPr="009204EA" w:rsidRDefault="008D64F9" w:rsidP="009204EA">
            <w:pPr>
              <w:pStyle w:val="BodyText"/>
              <w:rPr>
                <w:sz w:val="20"/>
                <w:szCs w:val="20"/>
                <w:lang w:val="en-AU"/>
              </w:rPr>
            </w:pPr>
          </w:p>
          <w:p w14:paraId="0B9DD923" w14:textId="77777777" w:rsidR="008D64F9" w:rsidRPr="009204EA" w:rsidRDefault="008D64F9" w:rsidP="009204EA">
            <w:pPr>
              <w:pStyle w:val="BodyText"/>
              <w:rPr>
                <w:sz w:val="20"/>
                <w:szCs w:val="20"/>
                <w:lang w:val="en-AU"/>
              </w:rPr>
            </w:pPr>
          </w:p>
          <w:p w14:paraId="419FCB76" w14:textId="77777777" w:rsidR="008D64F9" w:rsidRPr="009204EA" w:rsidRDefault="008D64F9" w:rsidP="009204EA">
            <w:pPr>
              <w:pStyle w:val="BodyText"/>
              <w:rPr>
                <w:sz w:val="20"/>
                <w:szCs w:val="20"/>
                <w:lang w:val="en-AU"/>
              </w:rPr>
            </w:pPr>
          </w:p>
          <w:p w14:paraId="2A4D4D1A" w14:textId="77777777" w:rsidR="008D64F9" w:rsidRPr="009204EA" w:rsidRDefault="008D64F9" w:rsidP="009204EA">
            <w:pPr>
              <w:pStyle w:val="BodyText"/>
              <w:rPr>
                <w:sz w:val="20"/>
                <w:szCs w:val="20"/>
                <w:lang w:val="en-AU"/>
              </w:rPr>
            </w:pPr>
          </w:p>
          <w:p w14:paraId="7293B31D" w14:textId="77777777" w:rsidR="008D64F9" w:rsidRPr="009204EA" w:rsidRDefault="008D64F9" w:rsidP="009204EA">
            <w:pPr>
              <w:pStyle w:val="BodyText"/>
              <w:rPr>
                <w:sz w:val="20"/>
                <w:szCs w:val="20"/>
                <w:lang w:val="en-AU"/>
              </w:rPr>
            </w:pPr>
          </w:p>
          <w:p w14:paraId="274B431E" w14:textId="77777777" w:rsidR="008D64F9" w:rsidRPr="009204EA" w:rsidRDefault="008D64F9" w:rsidP="009204EA">
            <w:pPr>
              <w:pStyle w:val="BodyText"/>
              <w:rPr>
                <w:sz w:val="20"/>
                <w:szCs w:val="20"/>
                <w:lang w:val="en-AU"/>
              </w:rPr>
            </w:pPr>
          </w:p>
          <w:p w14:paraId="0D5A98D0" w14:textId="77777777" w:rsidR="008D64F9" w:rsidRPr="009204EA" w:rsidRDefault="008D64F9" w:rsidP="009204EA">
            <w:pPr>
              <w:pStyle w:val="BodyText"/>
              <w:rPr>
                <w:sz w:val="20"/>
                <w:szCs w:val="20"/>
                <w:lang w:val="en-AU"/>
              </w:rPr>
            </w:pPr>
          </w:p>
          <w:p w14:paraId="67A51EE7" w14:textId="77777777" w:rsidR="008D64F9" w:rsidRPr="009204EA" w:rsidRDefault="008D64F9" w:rsidP="009204EA">
            <w:pPr>
              <w:pStyle w:val="BodyText"/>
              <w:rPr>
                <w:sz w:val="20"/>
                <w:szCs w:val="20"/>
                <w:lang w:val="en-AU"/>
              </w:rPr>
            </w:pPr>
          </w:p>
          <w:p w14:paraId="449F7EBA" w14:textId="77777777" w:rsidR="008D64F9" w:rsidRPr="009204EA" w:rsidRDefault="008D64F9" w:rsidP="009204EA">
            <w:pPr>
              <w:pStyle w:val="BodyText"/>
              <w:rPr>
                <w:sz w:val="20"/>
                <w:szCs w:val="20"/>
                <w:lang w:val="en-AU"/>
              </w:rPr>
            </w:pPr>
          </w:p>
          <w:p w14:paraId="35CD743F" w14:textId="77777777" w:rsidR="008D64F9" w:rsidRPr="009204EA" w:rsidRDefault="008D64F9" w:rsidP="009204EA">
            <w:pPr>
              <w:pStyle w:val="BodyText"/>
              <w:rPr>
                <w:sz w:val="20"/>
                <w:szCs w:val="20"/>
                <w:lang w:val="en-AU"/>
              </w:rPr>
            </w:pPr>
          </w:p>
          <w:p w14:paraId="25F16416" w14:textId="77777777" w:rsidR="008D64F9" w:rsidRPr="009204EA" w:rsidRDefault="008D64F9" w:rsidP="009204EA">
            <w:pPr>
              <w:pStyle w:val="BodyText"/>
              <w:rPr>
                <w:sz w:val="20"/>
                <w:szCs w:val="20"/>
                <w:lang w:val="en-AU"/>
              </w:rPr>
            </w:pPr>
          </w:p>
          <w:p w14:paraId="3899799B" w14:textId="77777777" w:rsidR="008D64F9" w:rsidRPr="009204EA" w:rsidRDefault="008D64F9" w:rsidP="009204EA">
            <w:pPr>
              <w:pStyle w:val="BodyText"/>
              <w:rPr>
                <w:sz w:val="20"/>
                <w:szCs w:val="20"/>
                <w:lang w:val="en-AU"/>
              </w:rPr>
            </w:pPr>
          </w:p>
          <w:p w14:paraId="72DB1270" w14:textId="77777777" w:rsidR="008D64F9" w:rsidRPr="009204EA" w:rsidRDefault="008D64F9" w:rsidP="009204EA">
            <w:pPr>
              <w:pStyle w:val="BodyText"/>
              <w:rPr>
                <w:sz w:val="20"/>
                <w:szCs w:val="20"/>
                <w:lang w:val="en-AU"/>
              </w:rPr>
            </w:pPr>
          </w:p>
          <w:p w14:paraId="595F3870" w14:textId="77777777" w:rsidR="008D64F9" w:rsidRPr="009204EA" w:rsidRDefault="008D64F9" w:rsidP="009204EA">
            <w:pPr>
              <w:pStyle w:val="BodyText"/>
              <w:rPr>
                <w:sz w:val="20"/>
                <w:szCs w:val="20"/>
                <w:lang w:val="en-AU"/>
              </w:rPr>
            </w:pPr>
          </w:p>
          <w:p w14:paraId="3505144E" w14:textId="77777777" w:rsidR="008D64F9" w:rsidRPr="009204EA" w:rsidRDefault="008D64F9" w:rsidP="009204EA">
            <w:pPr>
              <w:pStyle w:val="BodyText"/>
              <w:rPr>
                <w:sz w:val="20"/>
                <w:szCs w:val="20"/>
                <w:lang w:val="en-AU"/>
              </w:rPr>
            </w:pPr>
          </w:p>
          <w:p w14:paraId="1EE8B23B" w14:textId="77777777" w:rsidR="008D64F9" w:rsidRPr="009204EA" w:rsidRDefault="008D64F9">
            <w:pPr>
              <w:pStyle w:val="BodyText"/>
              <w:numPr>
                <w:ilvl w:val="0"/>
                <w:numId w:val="18"/>
              </w:numPr>
              <w:ind w:left="360"/>
              <w:rPr>
                <w:sz w:val="20"/>
                <w:szCs w:val="20"/>
                <w:rtl/>
                <w:lang w:bidi="ar-LB"/>
              </w:rPr>
            </w:pPr>
            <w:r w:rsidRPr="009204EA">
              <w:rPr>
                <w:sz w:val="20"/>
                <w:szCs w:val="20"/>
                <w:rtl/>
                <w:lang w:bidi="ar-LB"/>
              </w:rPr>
              <w:t>يتعامل مع الحالات التي يوجد فيها سلسلة من الخلفاء في الملكية للمؤلف أو المؤلفين</w:t>
            </w:r>
          </w:p>
          <w:p w14:paraId="600A3642" w14:textId="77777777" w:rsidR="008D64F9" w:rsidRPr="009204EA" w:rsidRDefault="008D64F9" w:rsidP="009204EA">
            <w:pPr>
              <w:pStyle w:val="BodyText"/>
              <w:rPr>
                <w:sz w:val="20"/>
                <w:szCs w:val="20"/>
                <w:lang w:val="en-AU"/>
              </w:rPr>
            </w:pPr>
          </w:p>
          <w:p w14:paraId="02D05DFE" w14:textId="77777777" w:rsidR="008D64F9" w:rsidRPr="009204EA" w:rsidRDefault="008D64F9" w:rsidP="009204EA">
            <w:pPr>
              <w:pStyle w:val="BodyText"/>
              <w:rPr>
                <w:sz w:val="20"/>
                <w:szCs w:val="20"/>
                <w:lang w:val="en-AU"/>
              </w:rPr>
            </w:pPr>
          </w:p>
          <w:p w14:paraId="0EB28EDA" w14:textId="77777777" w:rsidR="008D64F9" w:rsidRPr="009204EA" w:rsidRDefault="008D64F9" w:rsidP="009204EA">
            <w:pPr>
              <w:pStyle w:val="BodyText"/>
              <w:rPr>
                <w:sz w:val="20"/>
                <w:szCs w:val="20"/>
                <w:lang w:val="en-AU"/>
              </w:rPr>
            </w:pPr>
          </w:p>
          <w:p w14:paraId="731EEFCD" w14:textId="77777777" w:rsidR="008D64F9" w:rsidRPr="009204EA" w:rsidRDefault="008D64F9" w:rsidP="009204EA">
            <w:pPr>
              <w:pStyle w:val="BodyText"/>
              <w:rPr>
                <w:sz w:val="20"/>
                <w:szCs w:val="20"/>
                <w:lang w:val="en-AU"/>
              </w:rPr>
            </w:pPr>
          </w:p>
          <w:p w14:paraId="04E27B92" w14:textId="77777777" w:rsidR="008D64F9" w:rsidRPr="009204EA" w:rsidRDefault="008D64F9" w:rsidP="009204EA">
            <w:pPr>
              <w:pStyle w:val="BodyText"/>
              <w:rPr>
                <w:sz w:val="20"/>
                <w:szCs w:val="20"/>
                <w:lang w:val="en-AU"/>
              </w:rPr>
            </w:pPr>
          </w:p>
          <w:p w14:paraId="7FAB3952" w14:textId="77777777" w:rsidR="008D64F9" w:rsidRPr="009204EA" w:rsidRDefault="008D64F9" w:rsidP="009204EA">
            <w:pPr>
              <w:pStyle w:val="BodyText"/>
              <w:rPr>
                <w:sz w:val="20"/>
                <w:szCs w:val="20"/>
                <w:lang w:val="en-AU"/>
              </w:rPr>
            </w:pPr>
          </w:p>
          <w:p w14:paraId="66C30236" w14:textId="77777777" w:rsidR="008D64F9" w:rsidRPr="009204EA" w:rsidRDefault="008D64F9" w:rsidP="009204EA">
            <w:pPr>
              <w:pStyle w:val="BodyText"/>
              <w:rPr>
                <w:sz w:val="20"/>
                <w:szCs w:val="20"/>
                <w:lang w:val="en-AU"/>
              </w:rPr>
            </w:pPr>
          </w:p>
          <w:p w14:paraId="6238C288" w14:textId="77777777" w:rsidR="008D64F9" w:rsidRPr="009204EA" w:rsidRDefault="008D64F9" w:rsidP="009204EA">
            <w:pPr>
              <w:pStyle w:val="BodyText"/>
              <w:rPr>
                <w:sz w:val="20"/>
                <w:szCs w:val="20"/>
                <w:lang w:val="en-AU"/>
              </w:rPr>
            </w:pPr>
          </w:p>
          <w:p w14:paraId="368BD158" w14:textId="77777777" w:rsidR="008D64F9" w:rsidRPr="009204EA" w:rsidRDefault="008D64F9" w:rsidP="009204EA">
            <w:pPr>
              <w:pStyle w:val="BodyText"/>
              <w:rPr>
                <w:sz w:val="20"/>
                <w:szCs w:val="20"/>
                <w:lang w:val="en-AU"/>
              </w:rPr>
            </w:pPr>
          </w:p>
          <w:p w14:paraId="2CEAF310" w14:textId="77777777" w:rsidR="008D64F9" w:rsidRPr="009204EA" w:rsidRDefault="008D64F9" w:rsidP="009204EA">
            <w:pPr>
              <w:pStyle w:val="BodyText"/>
              <w:rPr>
                <w:sz w:val="20"/>
                <w:szCs w:val="20"/>
                <w:lang w:val="en-AU"/>
              </w:rPr>
            </w:pPr>
          </w:p>
          <w:p w14:paraId="4C7B7B56" w14:textId="77777777" w:rsidR="008D64F9" w:rsidRPr="009204EA" w:rsidRDefault="008D64F9" w:rsidP="009204EA">
            <w:pPr>
              <w:pStyle w:val="BodyText"/>
              <w:rPr>
                <w:sz w:val="20"/>
                <w:szCs w:val="20"/>
                <w:lang w:val="en-AU"/>
              </w:rPr>
            </w:pPr>
          </w:p>
          <w:p w14:paraId="383779DE" w14:textId="77777777" w:rsidR="008D64F9" w:rsidRPr="009204EA" w:rsidRDefault="008D64F9" w:rsidP="009204EA">
            <w:pPr>
              <w:pStyle w:val="BodyText"/>
              <w:rPr>
                <w:sz w:val="20"/>
                <w:szCs w:val="20"/>
                <w:lang w:val="en-AU"/>
              </w:rPr>
            </w:pPr>
          </w:p>
          <w:p w14:paraId="434B1B81" w14:textId="77777777" w:rsidR="008D64F9" w:rsidRPr="009204EA" w:rsidRDefault="008D64F9" w:rsidP="009204EA">
            <w:pPr>
              <w:pStyle w:val="BodyText"/>
              <w:rPr>
                <w:sz w:val="20"/>
                <w:szCs w:val="20"/>
                <w:lang w:val="en-AU"/>
              </w:rPr>
            </w:pPr>
          </w:p>
          <w:p w14:paraId="336B063F" w14:textId="77777777" w:rsidR="008D64F9" w:rsidRPr="009204EA" w:rsidRDefault="008D64F9" w:rsidP="009204EA">
            <w:pPr>
              <w:pStyle w:val="BodyText"/>
              <w:rPr>
                <w:sz w:val="20"/>
                <w:szCs w:val="20"/>
                <w:lang w:val="en-AU"/>
              </w:rPr>
            </w:pPr>
          </w:p>
          <w:p w14:paraId="2BDB6552" w14:textId="77777777" w:rsidR="008D64F9" w:rsidRPr="009204EA" w:rsidRDefault="008D64F9" w:rsidP="009204EA">
            <w:pPr>
              <w:pStyle w:val="BodyText"/>
              <w:rPr>
                <w:sz w:val="20"/>
                <w:szCs w:val="20"/>
                <w:lang w:val="en-AU"/>
              </w:rPr>
            </w:pPr>
          </w:p>
          <w:p w14:paraId="1ACACABD" w14:textId="77777777" w:rsidR="008D64F9" w:rsidRPr="009204EA" w:rsidRDefault="008D64F9" w:rsidP="009204EA">
            <w:pPr>
              <w:pStyle w:val="BodyText"/>
              <w:rPr>
                <w:sz w:val="20"/>
                <w:szCs w:val="20"/>
                <w:lang w:val="en-AU"/>
              </w:rPr>
            </w:pPr>
          </w:p>
          <w:p w14:paraId="70D0873A" w14:textId="77777777" w:rsidR="008D64F9" w:rsidRPr="009204EA" w:rsidRDefault="008D64F9" w:rsidP="009204EA">
            <w:pPr>
              <w:pStyle w:val="BodyText"/>
              <w:rPr>
                <w:sz w:val="20"/>
                <w:szCs w:val="20"/>
                <w:lang w:val="en-AU"/>
              </w:rPr>
            </w:pPr>
          </w:p>
          <w:p w14:paraId="0AE0C2B8" w14:textId="77777777" w:rsidR="008D64F9" w:rsidRPr="009204EA" w:rsidRDefault="008D64F9" w:rsidP="009204EA">
            <w:pPr>
              <w:pStyle w:val="BodyText"/>
              <w:rPr>
                <w:sz w:val="20"/>
                <w:szCs w:val="20"/>
                <w:lang w:val="en-AU"/>
              </w:rPr>
            </w:pPr>
          </w:p>
          <w:p w14:paraId="6B9AD00D" w14:textId="77777777" w:rsidR="008D64F9" w:rsidRPr="009204EA" w:rsidRDefault="008D64F9" w:rsidP="009204EA">
            <w:pPr>
              <w:pStyle w:val="BodyText"/>
              <w:rPr>
                <w:sz w:val="20"/>
                <w:szCs w:val="20"/>
                <w:lang w:val="en-AU"/>
              </w:rPr>
            </w:pPr>
          </w:p>
          <w:p w14:paraId="2D2C804E" w14:textId="77777777" w:rsidR="008D64F9" w:rsidRPr="009204EA" w:rsidRDefault="008D64F9" w:rsidP="009204EA">
            <w:pPr>
              <w:pStyle w:val="BodyText"/>
              <w:rPr>
                <w:sz w:val="20"/>
                <w:szCs w:val="20"/>
                <w:lang w:val="en-AU"/>
              </w:rPr>
            </w:pPr>
          </w:p>
          <w:p w14:paraId="1F42F44C" w14:textId="77777777" w:rsidR="008D64F9" w:rsidRPr="009204EA" w:rsidRDefault="008D64F9" w:rsidP="009204EA">
            <w:pPr>
              <w:pStyle w:val="BodyText"/>
              <w:rPr>
                <w:sz w:val="20"/>
                <w:szCs w:val="20"/>
                <w:lang w:val="en-AU"/>
              </w:rPr>
            </w:pPr>
          </w:p>
          <w:p w14:paraId="66A2D7C8" w14:textId="77777777" w:rsidR="008D64F9" w:rsidRPr="009204EA" w:rsidRDefault="008D64F9" w:rsidP="009204EA">
            <w:pPr>
              <w:pStyle w:val="BodyText"/>
              <w:rPr>
                <w:sz w:val="20"/>
                <w:szCs w:val="20"/>
                <w:lang w:val="en-AU"/>
              </w:rPr>
            </w:pPr>
          </w:p>
          <w:p w14:paraId="103CFB23" w14:textId="77777777" w:rsidR="008D64F9" w:rsidRPr="009204EA" w:rsidRDefault="008D64F9" w:rsidP="009204EA">
            <w:pPr>
              <w:pStyle w:val="BodyText"/>
              <w:rPr>
                <w:sz w:val="20"/>
                <w:szCs w:val="20"/>
                <w:lang w:val="en-AU"/>
              </w:rPr>
            </w:pPr>
          </w:p>
          <w:p w14:paraId="0E7B1B46" w14:textId="77777777" w:rsidR="008D64F9" w:rsidRPr="009204EA" w:rsidRDefault="008D64F9">
            <w:pPr>
              <w:pStyle w:val="BodyText"/>
              <w:numPr>
                <w:ilvl w:val="0"/>
                <w:numId w:val="18"/>
              </w:numPr>
              <w:ind w:left="360"/>
              <w:rPr>
                <w:sz w:val="20"/>
                <w:szCs w:val="20"/>
                <w:rtl/>
                <w:lang w:bidi="ar-LB"/>
              </w:rPr>
            </w:pPr>
            <w:r w:rsidRPr="009204EA">
              <w:rPr>
                <w:sz w:val="20"/>
                <w:szCs w:val="20"/>
                <w:rtl/>
                <w:lang w:bidi="ar-LB"/>
              </w:rPr>
              <w:t>يتطرق إلى جنسية البلدان التي توفر الحماية والبلدان التي يتم التعامل معها بالمثل (مثل الأحكام النموذجية الأخرى المذكورة أعلاه)؛ وينص على الإقامة الدائمة كمعيار إضافي قد ترغب البلدان في اعتماده (مع الإشارة إلى الصعوبات العملية المحتملة لهذا الأمر المذكورة أعلاه).</w:t>
            </w:r>
          </w:p>
          <w:p w14:paraId="23D210B1" w14:textId="77777777" w:rsidR="008D64F9" w:rsidRPr="009204EA" w:rsidRDefault="008D64F9">
            <w:pPr>
              <w:pStyle w:val="BodyText"/>
              <w:numPr>
                <w:ilvl w:val="0"/>
                <w:numId w:val="18"/>
              </w:numPr>
              <w:ind w:left="360"/>
              <w:rPr>
                <w:sz w:val="20"/>
                <w:szCs w:val="20"/>
                <w:rtl/>
                <w:lang w:bidi="ar-LB"/>
              </w:rPr>
            </w:pPr>
            <w:r w:rsidRPr="009204EA">
              <w:rPr>
                <w:sz w:val="20"/>
                <w:szCs w:val="20"/>
                <w:rtl/>
                <w:lang w:bidi="ar-LB"/>
              </w:rPr>
              <w:t xml:space="preserve">يحدد الشركات بالإشارة إلى القانون الوطني (في هذه الحالة، أستراليا) ولكن تجدر الإشارة إلى أن الشركات لا تستوفي جميعها متطلب الخلافة (انظر أدناه).   </w:t>
            </w:r>
          </w:p>
          <w:p w14:paraId="4CD71BFC" w14:textId="77777777" w:rsidR="008D64F9" w:rsidRPr="009204EA" w:rsidRDefault="008D64F9" w:rsidP="009204EA">
            <w:pPr>
              <w:pStyle w:val="BodyText"/>
              <w:rPr>
                <w:sz w:val="20"/>
                <w:szCs w:val="20"/>
                <w:lang w:val="en-AU"/>
              </w:rPr>
            </w:pPr>
          </w:p>
          <w:p w14:paraId="73596989" w14:textId="77777777" w:rsidR="008D64F9" w:rsidRPr="009204EA" w:rsidRDefault="008D64F9" w:rsidP="009204EA">
            <w:pPr>
              <w:pStyle w:val="BodyText"/>
              <w:rPr>
                <w:sz w:val="20"/>
                <w:szCs w:val="20"/>
                <w:lang w:val="en-AU"/>
              </w:rPr>
            </w:pPr>
          </w:p>
          <w:p w14:paraId="4832A88D" w14:textId="77777777" w:rsidR="008D64F9" w:rsidRPr="009204EA" w:rsidRDefault="008D64F9" w:rsidP="009204EA">
            <w:pPr>
              <w:pStyle w:val="BodyText"/>
              <w:rPr>
                <w:sz w:val="20"/>
                <w:szCs w:val="20"/>
                <w:lang w:val="en-AU"/>
              </w:rPr>
            </w:pPr>
          </w:p>
          <w:p w14:paraId="5A7905C2" w14:textId="77777777" w:rsidR="008D64F9" w:rsidRPr="009204EA" w:rsidRDefault="008D64F9" w:rsidP="009204EA">
            <w:pPr>
              <w:pStyle w:val="BodyText"/>
              <w:rPr>
                <w:sz w:val="20"/>
                <w:szCs w:val="20"/>
                <w:lang w:val="en-AU"/>
              </w:rPr>
            </w:pPr>
          </w:p>
          <w:p w14:paraId="6FDEC9D3" w14:textId="77777777" w:rsidR="008D64F9" w:rsidRPr="009204EA" w:rsidRDefault="008D64F9" w:rsidP="009204EA">
            <w:pPr>
              <w:pStyle w:val="BodyText"/>
              <w:rPr>
                <w:sz w:val="20"/>
                <w:szCs w:val="20"/>
                <w:lang w:val="en-AU"/>
              </w:rPr>
            </w:pPr>
          </w:p>
          <w:p w14:paraId="50F1A880" w14:textId="77777777" w:rsidR="008D64F9" w:rsidRPr="009204EA" w:rsidRDefault="008D64F9" w:rsidP="009204EA">
            <w:pPr>
              <w:pStyle w:val="BodyText"/>
              <w:rPr>
                <w:sz w:val="20"/>
                <w:szCs w:val="20"/>
                <w:lang w:val="en-AU"/>
              </w:rPr>
            </w:pPr>
          </w:p>
          <w:p w14:paraId="61DA1249" w14:textId="77777777" w:rsidR="008D64F9" w:rsidRPr="009204EA" w:rsidRDefault="008D64F9">
            <w:pPr>
              <w:pStyle w:val="BodyText"/>
              <w:numPr>
                <w:ilvl w:val="0"/>
                <w:numId w:val="18"/>
              </w:numPr>
              <w:ind w:left="360"/>
              <w:rPr>
                <w:sz w:val="20"/>
                <w:szCs w:val="20"/>
                <w:rtl/>
                <w:lang w:bidi="ar-LB"/>
              </w:rPr>
            </w:pPr>
            <w:r w:rsidRPr="009204EA">
              <w:rPr>
                <w:sz w:val="20"/>
                <w:szCs w:val="20"/>
                <w:rtl/>
                <w:lang w:bidi="ar-LB"/>
              </w:rPr>
              <w:t xml:space="preserve">رغم أن هذا الحكم مُعقد نسبيا، إلا أنه ينص على معايير للأشخاص أو الكيانات التي يمكن أن تحصل على حق التتبع، أي الأفراد وبعض الكيانات الأخرى، مثل المؤسسات الخيرية والهيئات </w:t>
            </w:r>
            <w:r w:rsidRPr="009204EA">
              <w:rPr>
                <w:sz w:val="20"/>
                <w:szCs w:val="20"/>
                <w:rtl/>
                <w:lang w:bidi="ar-LB"/>
              </w:rPr>
              <w:lastRenderedPageBreak/>
              <w:t>المجتمعية التي قد تكون أو لا تكون شركات.</w:t>
            </w:r>
            <w:r w:rsidRPr="009204EA">
              <w:rPr>
                <w:sz w:val="20"/>
                <w:szCs w:val="20"/>
                <w:lang w:val="en-AU"/>
              </w:rPr>
              <w:t xml:space="preserve"> </w:t>
            </w:r>
            <w:r w:rsidRPr="009204EA">
              <w:rPr>
                <w:sz w:val="20"/>
                <w:szCs w:val="20"/>
                <w:rtl/>
                <w:lang w:bidi="ar-LB"/>
              </w:rPr>
              <w:t>وينص أيضًا على الخلافة لمن يخلف الفنان في الملكية.</w:t>
            </w:r>
          </w:p>
          <w:p w14:paraId="05FC67EB" w14:textId="77777777" w:rsidR="008D64F9" w:rsidRPr="009204EA" w:rsidRDefault="008D64F9">
            <w:pPr>
              <w:pStyle w:val="BodyText"/>
              <w:numPr>
                <w:ilvl w:val="0"/>
                <w:numId w:val="18"/>
              </w:numPr>
              <w:ind w:left="360"/>
              <w:rPr>
                <w:sz w:val="20"/>
                <w:szCs w:val="20"/>
                <w:rtl/>
                <w:lang w:bidi="ar-LB"/>
              </w:rPr>
            </w:pPr>
            <w:r w:rsidRPr="009204EA">
              <w:rPr>
                <w:sz w:val="20"/>
                <w:szCs w:val="20"/>
                <w:rtl/>
                <w:lang w:bidi="ar-LB"/>
              </w:rPr>
              <w:t>يمكن اعتبار هذا الحكم نقطة انطلاق لواضعي القوانين والسياسات الوطنية، علما أنهم يجب أن يأخذوا في الاعتبار أنظمتهم القانونية وتقاليدهم الاجتماعية والثقافية، فعلى سبيل المثال، قد يكون من الممكن حصر الإشارة إلى الجمعيات الخيرية أو الهيئات المجتمعية بتلك المعنية مباشرة بحقوق المؤلفين والنص على أنه يجب استخدام عائدات حق التتبع لتوفير الدعم الاجتماعي للفنانين، أو قد يتم تحديد أهداف عامة مشابهة.</w:t>
            </w:r>
          </w:p>
          <w:p w14:paraId="3F2B5D57" w14:textId="77777777" w:rsidR="008D64F9" w:rsidRPr="009204EA" w:rsidRDefault="008D64F9">
            <w:pPr>
              <w:pStyle w:val="BodyText"/>
              <w:numPr>
                <w:ilvl w:val="0"/>
                <w:numId w:val="18"/>
              </w:numPr>
              <w:ind w:left="360"/>
              <w:rPr>
                <w:sz w:val="20"/>
                <w:szCs w:val="20"/>
                <w:rtl/>
                <w:lang w:bidi="ar-LB"/>
              </w:rPr>
            </w:pPr>
            <w:r w:rsidRPr="009204EA">
              <w:rPr>
                <w:sz w:val="20"/>
                <w:szCs w:val="20"/>
                <w:rtl/>
                <w:lang w:bidi="ar-LB"/>
              </w:rPr>
              <w:t>ومن ناحية أخرى، قد يكتفي مخطط وطني بترك حق الخلافة لورثة المؤلف المتوفي فقط.</w:t>
            </w:r>
          </w:p>
          <w:p w14:paraId="7DA8AA91" w14:textId="77777777" w:rsidR="008D64F9" w:rsidRPr="009204EA" w:rsidRDefault="008D64F9">
            <w:pPr>
              <w:pStyle w:val="BodyText"/>
              <w:numPr>
                <w:ilvl w:val="0"/>
                <w:numId w:val="18"/>
              </w:numPr>
              <w:ind w:left="360"/>
              <w:rPr>
                <w:sz w:val="20"/>
                <w:szCs w:val="20"/>
                <w:rtl/>
                <w:lang w:bidi="ar-LB"/>
              </w:rPr>
            </w:pPr>
            <w:r w:rsidRPr="009204EA">
              <w:rPr>
                <w:sz w:val="20"/>
                <w:szCs w:val="20"/>
                <w:rtl/>
                <w:lang w:bidi="ar-LB"/>
              </w:rPr>
              <w:t>تنص المادة 14(ثالثا)(1) على أن كل هذه الاحتمالات ممكنة بعد وفاة المؤلف.</w:t>
            </w:r>
          </w:p>
          <w:p w14:paraId="4AA48652" w14:textId="77777777" w:rsidR="008D64F9" w:rsidRPr="009204EA" w:rsidRDefault="008D64F9" w:rsidP="009204EA">
            <w:pPr>
              <w:pStyle w:val="BodyText"/>
              <w:rPr>
                <w:sz w:val="20"/>
                <w:szCs w:val="20"/>
              </w:rPr>
            </w:pPr>
          </w:p>
          <w:p w14:paraId="24C1C531" w14:textId="77777777" w:rsidR="008D64F9" w:rsidRPr="009204EA" w:rsidRDefault="008D64F9" w:rsidP="009204EA">
            <w:pPr>
              <w:pStyle w:val="BodyText"/>
              <w:rPr>
                <w:sz w:val="20"/>
                <w:szCs w:val="20"/>
              </w:rPr>
            </w:pPr>
          </w:p>
        </w:tc>
      </w:tr>
    </w:tbl>
    <w:p w14:paraId="29F31A16" w14:textId="77777777" w:rsidR="008D64F9" w:rsidRPr="008D64F9" w:rsidRDefault="008D64F9" w:rsidP="00534856">
      <w:pPr>
        <w:pStyle w:val="Heading2"/>
        <w:rPr>
          <w:rtl/>
        </w:rPr>
      </w:pPr>
      <w:r w:rsidRPr="008D64F9">
        <w:rPr>
          <w:rtl/>
        </w:rPr>
        <w:lastRenderedPageBreak/>
        <w:t>بعض الأحكام المفيدة الأخرى</w:t>
      </w:r>
      <w:r w:rsidRPr="008D64F9">
        <w:rPr>
          <w:lang w:bidi="ar-SA"/>
        </w:rPr>
        <w:t xml:space="preserve"> </w:t>
      </w:r>
    </w:p>
    <w:p w14:paraId="6E3C92E2" w14:textId="77777777" w:rsidR="008D64F9" w:rsidRPr="00803410" w:rsidRDefault="008D64F9" w:rsidP="009204EA">
      <w:pPr>
        <w:pStyle w:val="Heading3"/>
        <w:rPr>
          <w:b/>
          <w:bCs w:val="0"/>
          <w:i/>
          <w:iCs/>
          <w:sz w:val="24"/>
          <w:szCs w:val="24"/>
          <w:u w:val="none"/>
          <w:rtl/>
          <w:lang w:bidi="ar-LB"/>
        </w:rPr>
      </w:pPr>
      <w:r w:rsidRPr="00803410">
        <w:rPr>
          <w:b/>
          <w:bCs w:val="0"/>
          <w:i/>
          <w:iCs/>
          <w:sz w:val="24"/>
          <w:szCs w:val="24"/>
          <w:u w:val="none"/>
          <w:rtl/>
          <w:lang w:bidi="ar-LB"/>
        </w:rPr>
        <w:t>الحقوق المشتركة</w:t>
      </w:r>
    </w:p>
    <w:p w14:paraId="24DBE097" w14:textId="240B71BC" w:rsidR="008D64F9" w:rsidRPr="008D64F9" w:rsidRDefault="008D64F9" w:rsidP="009204EA">
      <w:pPr>
        <w:pStyle w:val="ONUMA"/>
        <w:rPr>
          <w:rtl/>
          <w:lang w:bidi="ar-LB"/>
        </w:rPr>
      </w:pPr>
      <w:r w:rsidRPr="008D64F9">
        <w:rPr>
          <w:rtl/>
          <w:lang w:bidi="ar-LB"/>
        </w:rPr>
        <w:t>في حال وجود عدة مؤلفين لمصنف ينطبق عليه حق التتبع، قد يكون من المفيد وجود حُكم في القانون الوطني يُحدد حقوق كل واحد منهم.</w:t>
      </w:r>
      <w:r w:rsidRPr="008D64F9">
        <w:rPr>
          <w:lang w:val="en-AU"/>
        </w:rPr>
        <w:t xml:space="preserve"> </w:t>
      </w:r>
      <w:r w:rsidRPr="008D64F9">
        <w:rPr>
          <w:rtl/>
          <w:lang w:bidi="ar-LB"/>
        </w:rPr>
        <w:t>وقد تكون الأحكام التالية المستمدة من السوابق في المملكة المتحدة وأستراليا مفيدة هنا (أو قد يكون من الكافي الاعتماد على الأحكام الواردة في قوانين حق المؤلف الوطنية).</w:t>
      </w:r>
      <w:r w:rsidRPr="008D64F9">
        <w:rPr>
          <w:lang w:val="en-AU"/>
        </w:rPr>
        <w:t xml:space="preserve"> </w:t>
      </w:r>
      <w:r w:rsidRPr="008D64F9">
        <w:rPr>
          <w:rtl/>
          <w:lang w:bidi="ar-LB"/>
        </w:rPr>
        <w:t>فعلى سبيل التوضيح، فإن الإشارات أدناه إلى "المالكين المشتركين" أو "الحصة المتساوية" تعني أنه يحق للمؤلف وخلفائه الحصول على حصة متساوية في حق التتبع ما لم يتفقوا على خلاف ذلك.</w:t>
      </w:r>
      <w:r w:rsidRPr="008D64F9">
        <w:rPr>
          <w:lang w:val="en-AU"/>
        </w:rPr>
        <w:t xml:space="preserve"> </w:t>
      </w:r>
      <w:r w:rsidRPr="008D64F9">
        <w:rPr>
          <w:rtl/>
          <w:lang w:bidi="ar-LB"/>
        </w:rPr>
        <w:t>ويتناقض هذا الأمر مع الحالات التي تكون فيه حيازة الحق مشتركة بين المالكين (وفقا لمبدأ "الإيجار المشترك" الذي ينص على أنه عندما يموت أحد المستأجرين تنتقل حصته إلى المستأجرين الآخرين)، والتي تتناوله أنظمة القانون العام وتحدد أن المالك الباقي على قيد الحياة تنتقل اليه حصة المالك المتوفي.</w:t>
      </w:r>
    </w:p>
    <w:p w14:paraId="1ADCED61" w14:textId="77777777" w:rsidR="008D64F9" w:rsidRPr="008D64F9" w:rsidRDefault="008D64F9" w:rsidP="009204EA">
      <w:pPr>
        <w:spacing w:after="240"/>
        <w:rPr>
          <w:rFonts w:asciiTheme="minorHAnsi" w:hAnsiTheme="minorHAnsi" w:cstheme="minorHAnsi"/>
          <w:bCs/>
          <w:rtl/>
          <w:lang w:bidi="ar-LB"/>
        </w:rPr>
      </w:pPr>
      <w:r w:rsidRPr="008D64F9">
        <w:rPr>
          <w:rFonts w:asciiTheme="minorHAnsi" w:hAnsiTheme="minorHAnsi" w:cstheme="minorHAnsi"/>
          <w:bCs/>
          <w:rtl/>
          <w:lang w:bidi="ar-LB"/>
        </w:rPr>
        <w:t>الجدول 15</w:t>
      </w:r>
    </w:p>
    <w:tbl>
      <w:tblPr>
        <w:tblStyle w:val="TableGrid"/>
        <w:bidiVisual/>
        <w:tblW w:w="0" w:type="auto"/>
        <w:tblLook w:val="04A0" w:firstRow="1" w:lastRow="0" w:firstColumn="1" w:lastColumn="0" w:noHBand="0" w:noVBand="1"/>
      </w:tblPr>
      <w:tblGrid>
        <w:gridCol w:w="3003"/>
        <w:gridCol w:w="3003"/>
        <w:gridCol w:w="3004"/>
      </w:tblGrid>
      <w:tr w:rsidR="008D64F9" w:rsidRPr="009204EA" w14:paraId="2E5BBABA" w14:textId="77777777" w:rsidTr="00101B5A">
        <w:tc>
          <w:tcPr>
            <w:tcW w:w="3003" w:type="dxa"/>
          </w:tcPr>
          <w:p w14:paraId="085DB160" w14:textId="77777777" w:rsidR="008D64F9" w:rsidRPr="009204EA" w:rsidRDefault="008D64F9" w:rsidP="009204EA">
            <w:pPr>
              <w:pStyle w:val="BodyText"/>
              <w:rPr>
                <w:b/>
                <w:bCs/>
                <w:sz w:val="20"/>
                <w:szCs w:val="20"/>
                <w:rtl/>
                <w:lang w:bidi="ar-LB"/>
              </w:rPr>
            </w:pPr>
            <w:r w:rsidRPr="009204EA">
              <w:rPr>
                <w:b/>
                <w:bCs/>
                <w:sz w:val="20"/>
                <w:szCs w:val="20"/>
                <w:rtl/>
                <w:lang w:bidi="ar-LB"/>
              </w:rPr>
              <w:t>نوع الحكم</w:t>
            </w:r>
          </w:p>
        </w:tc>
        <w:tc>
          <w:tcPr>
            <w:tcW w:w="3003" w:type="dxa"/>
          </w:tcPr>
          <w:p w14:paraId="0D6A61DB" w14:textId="77777777" w:rsidR="008D64F9" w:rsidRPr="009204EA" w:rsidRDefault="008D64F9" w:rsidP="009204EA">
            <w:pPr>
              <w:pStyle w:val="BodyText"/>
              <w:rPr>
                <w:b/>
                <w:bCs/>
                <w:sz w:val="20"/>
                <w:szCs w:val="20"/>
                <w:rtl/>
                <w:lang w:bidi="ar-LB"/>
              </w:rPr>
            </w:pPr>
            <w:r w:rsidRPr="009204EA">
              <w:rPr>
                <w:b/>
                <w:bCs/>
                <w:sz w:val="20"/>
                <w:szCs w:val="20"/>
                <w:rtl/>
                <w:lang w:bidi="ar-LB"/>
              </w:rPr>
              <w:t>النص المقترح</w:t>
            </w:r>
          </w:p>
        </w:tc>
        <w:tc>
          <w:tcPr>
            <w:tcW w:w="3004" w:type="dxa"/>
          </w:tcPr>
          <w:p w14:paraId="4538C7F4" w14:textId="77777777" w:rsidR="008D64F9" w:rsidRPr="009204EA" w:rsidRDefault="008D64F9" w:rsidP="009204EA">
            <w:pPr>
              <w:pStyle w:val="BodyText"/>
              <w:rPr>
                <w:b/>
                <w:bCs/>
                <w:sz w:val="20"/>
                <w:szCs w:val="20"/>
                <w:rtl/>
                <w:lang w:bidi="ar-LB"/>
              </w:rPr>
            </w:pPr>
            <w:r w:rsidRPr="009204EA">
              <w:rPr>
                <w:b/>
                <w:bCs/>
                <w:sz w:val="20"/>
                <w:szCs w:val="20"/>
                <w:rtl/>
                <w:lang w:bidi="ar-LB"/>
              </w:rPr>
              <w:t>تعليقات/ملاحظات</w:t>
            </w:r>
          </w:p>
        </w:tc>
      </w:tr>
      <w:tr w:rsidR="008D64F9" w:rsidRPr="009204EA" w14:paraId="507C6996" w14:textId="77777777" w:rsidTr="00101B5A">
        <w:tc>
          <w:tcPr>
            <w:tcW w:w="3003" w:type="dxa"/>
          </w:tcPr>
          <w:p w14:paraId="1017384E" w14:textId="77777777" w:rsidR="008D64F9" w:rsidRPr="009204EA" w:rsidRDefault="008D64F9" w:rsidP="009204EA">
            <w:pPr>
              <w:pStyle w:val="BodyText"/>
              <w:rPr>
                <w:sz w:val="20"/>
                <w:szCs w:val="20"/>
                <w:rtl/>
                <w:lang w:bidi="ar-LB"/>
              </w:rPr>
            </w:pPr>
            <w:r w:rsidRPr="009204EA">
              <w:rPr>
                <w:sz w:val="20"/>
                <w:szCs w:val="20"/>
                <w:rtl/>
                <w:lang w:bidi="ar-LB"/>
              </w:rPr>
              <w:t>أكثر من مؤلف (المملكة المتحدة)</w:t>
            </w:r>
          </w:p>
        </w:tc>
        <w:tc>
          <w:tcPr>
            <w:tcW w:w="3003" w:type="dxa"/>
          </w:tcPr>
          <w:p w14:paraId="65D7CDCB" w14:textId="77777777" w:rsidR="008D64F9" w:rsidRPr="00803410" w:rsidRDefault="008D64F9" w:rsidP="009204EA">
            <w:pPr>
              <w:pStyle w:val="BodyText"/>
              <w:rPr>
                <w:b/>
                <w:bCs/>
                <w:sz w:val="20"/>
                <w:szCs w:val="20"/>
                <w:rtl/>
                <w:lang w:bidi="ar-LB"/>
              </w:rPr>
            </w:pPr>
            <w:r w:rsidRPr="00803410">
              <w:rPr>
                <w:b/>
                <w:bCs/>
                <w:sz w:val="20"/>
                <w:szCs w:val="20"/>
                <w:rtl/>
                <w:lang w:bidi="ar-LB"/>
              </w:rPr>
              <w:t>التأليف المشترك</w:t>
            </w:r>
          </w:p>
          <w:p w14:paraId="22FECD33" w14:textId="77777777" w:rsidR="008D64F9" w:rsidRPr="009204EA" w:rsidRDefault="008D64F9" w:rsidP="009204EA">
            <w:pPr>
              <w:pStyle w:val="BodyText"/>
              <w:rPr>
                <w:sz w:val="20"/>
                <w:szCs w:val="20"/>
                <w:rtl/>
                <w:lang w:bidi="ar-LB"/>
              </w:rPr>
            </w:pPr>
            <w:r w:rsidRPr="009204EA">
              <w:rPr>
                <w:sz w:val="20"/>
                <w:szCs w:val="20"/>
                <w:rtl/>
                <w:lang w:bidi="ar-LB"/>
              </w:rPr>
              <w:t>5.-(1) في حالة المصنف المشترك التأليف، يكون حق التتبع ملكًا للمؤلفين باعتبارهم مالكين مشتركين.</w:t>
            </w:r>
          </w:p>
          <w:p w14:paraId="2412D8F3" w14:textId="77777777" w:rsidR="008D64F9" w:rsidRPr="009204EA" w:rsidRDefault="008D64F9" w:rsidP="009204EA">
            <w:pPr>
              <w:pStyle w:val="BodyText"/>
              <w:rPr>
                <w:sz w:val="20"/>
                <w:szCs w:val="20"/>
                <w:rtl/>
                <w:lang w:bidi="ar-LB"/>
              </w:rPr>
            </w:pPr>
            <w:r w:rsidRPr="009204EA">
              <w:rPr>
                <w:sz w:val="20"/>
                <w:szCs w:val="20"/>
                <w:rtl/>
                <w:lang w:bidi="ar-LB"/>
              </w:rPr>
              <w:lastRenderedPageBreak/>
              <w:t>(2) يكون الحق موزعاً على حصص متساوية أو على حصص أخرى وفقا لما قد يتم الاتفاق عليه.</w:t>
            </w:r>
          </w:p>
          <w:p w14:paraId="02199755" w14:textId="77777777" w:rsidR="008D64F9" w:rsidRPr="009204EA" w:rsidRDefault="008D64F9" w:rsidP="009204EA">
            <w:pPr>
              <w:pStyle w:val="BodyText"/>
              <w:rPr>
                <w:sz w:val="20"/>
                <w:szCs w:val="20"/>
                <w:rtl/>
                <w:lang w:bidi="ar-LB"/>
              </w:rPr>
            </w:pPr>
            <w:r w:rsidRPr="009204EA">
              <w:rPr>
                <w:sz w:val="20"/>
                <w:szCs w:val="20"/>
                <w:rtl/>
                <w:lang w:bidi="ar-LB"/>
              </w:rPr>
              <w:t>(3) يجب أن يكون هذا الاتفاق مكتوبا وموقعا من قبل أو نيابة عن كل طرف من أطراف الاتفاق.</w:t>
            </w:r>
          </w:p>
          <w:p w14:paraId="2ACF3C12" w14:textId="77777777" w:rsidR="008D64F9" w:rsidRPr="009204EA" w:rsidRDefault="008D64F9" w:rsidP="009204EA">
            <w:pPr>
              <w:pStyle w:val="BodyText"/>
              <w:rPr>
                <w:sz w:val="20"/>
                <w:szCs w:val="20"/>
                <w:rtl/>
                <w:lang w:bidi="ar-LB"/>
              </w:rPr>
            </w:pPr>
            <w:r w:rsidRPr="009204EA">
              <w:rPr>
                <w:sz w:val="20"/>
                <w:szCs w:val="20"/>
                <w:rtl/>
                <w:lang w:bidi="ar-LB"/>
              </w:rPr>
              <w:t>(4) "المصنف المشترك التأليف" يعني المصنف الذي أنشأه مؤلفان أو أكثر.</w:t>
            </w:r>
            <w:r w:rsidRPr="009204EA">
              <w:rPr>
                <w:sz w:val="20"/>
                <w:szCs w:val="20"/>
                <w:vertAlign w:val="superscript"/>
                <w:lang w:val="en-GB"/>
              </w:rPr>
              <w:footnoteReference w:id="121"/>
            </w:r>
            <w:r w:rsidRPr="009204EA">
              <w:rPr>
                <w:sz w:val="20"/>
                <w:szCs w:val="20"/>
                <w:rtl/>
                <w:lang w:bidi="ar-LB"/>
              </w:rPr>
              <w:t xml:space="preserve"> .</w:t>
            </w:r>
          </w:p>
          <w:p w14:paraId="6B404E1D" w14:textId="77777777" w:rsidR="008D64F9" w:rsidRPr="009204EA" w:rsidRDefault="008D64F9" w:rsidP="009204EA">
            <w:pPr>
              <w:pStyle w:val="BodyText"/>
              <w:rPr>
                <w:sz w:val="20"/>
                <w:szCs w:val="20"/>
                <w:lang w:val="en-GB"/>
              </w:rPr>
            </w:pPr>
          </w:p>
        </w:tc>
        <w:tc>
          <w:tcPr>
            <w:tcW w:w="3004" w:type="dxa"/>
          </w:tcPr>
          <w:p w14:paraId="1D019BA2" w14:textId="053F7C01" w:rsidR="008D64F9" w:rsidRPr="009204EA" w:rsidRDefault="008D64F9">
            <w:pPr>
              <w:pStyle w:val="BodyText"/>
              <w:numPr>
                <w:ilvl w:val="0"/>
                <w:numId w:val="18"/>
              </w:numPr>
              <w:ind w:left="360"/>
              <w:rPr>
                <w:sz w:val="20"/>
                <w:szCs w:val="20"/>
                <w:rtl/>
                <w:lang w:bidi="ar-LB"/>
              </w:rPr>
            </w:pPr>
            <w:r w:rsidRPr="009204EA">
              <w:rPr>
                <w:sz w:val="20"/>
                <w:szCs w:val="20"/>
                <w:rtl/>
                <w:lang w:bidi="ar-LB"/>
              </w:rPr>
              <w:lastRenderedPageBreak/>
              <w:t xml:space="preserve">يبدو أن الحصص المتساوية هي طريقة أكثر إنصافًا هنا بدلاً من الاعتماد على مفهوم "حيازة الحق المشتركة بين المالكين" (مبدأ "الإيجار المشترك") الذي يحصل بموجبه المؤلف الوحيد الذي ما زال على قيد </w:t>
            </w:r>
            <w:r w:rsidRPr="009204EA">
              <w:rPr>
                <w:sz w:val="20"/>
                <w:szCs w:val="20"/>
                <w:rtl/>
                <w:lang w:bidi="ar-LB"/>
              </w:rPr>
              <w:lastRenderedPageBreak/>
              <w:t>الحياة على جميع حصص حق التتبع التي يملكها المؤلفون الذين فارقوا الحياة (يصبح المالك الوحيد لحق التتبع).</w:t>
            </w:r>
          </w:p>
          <w:p w14:paraId="61BC5B4F" w14:textId="77777777" w:rsidR="008D64F9" w:rsidRPr="009204EA" w:rsidRDefault="008D64F9">
            <w:pPr>
              <w:pStyle w:val="BodyText"/>
              <w:numPr>
                <w:ilvl w:val="0"/>
                <w:numId w:val="18"/>
              </w:numPr>
              <w:ind w:left="360"/>
              <w:rPr>
                <w:sz w:val="20"/>
                <w:szCs w:val="20"/>
                <w:rtl/>
                <w:lang w:bidi="ar-LB"/>
              </w:rPr>
            </w:pPr>
            <w:r w:rsidRPr="009204EA">
              <w:rPr>
                <w:sz w:val="20"/>
                <w:szCs w:val="20"/>
                <w:rtl/>
                <w:lang w:bidi="ar-LB"/>
              </w:rPr>
              <w:t xml:space="preserve">إن تعريف "المصنف المشترك التأليف" في </w:t>
            </w:r>
            <w:r w:rsidRPr="009204EA">
              <w:rPr>
                <w:rFonts w:hint="cs"/>
                <w:sz w:val="20"/>
                <w:szCs w:val="20"/>
                <w:rtl/>
                <w:lang w:bidi="ar-LB"/>
              </w:rPr>
              <w:t xml:space="preserve">الفقرة (4) </w:t>
            </w:r>
            <w:r w:rsidRPr="009204EA">
              <w:rPr>
                <w:sz w:val="20"/>
                <w:szCs w:val="20"/>
                <w:rtl/>
                <w:lang w:bidi="ar-LB"/>
              </w:rPr>
              <w:t>هو أوسع نطاقا من تعريف هذا التعبير بموجب بعض القوانين الوطنية، على سبيل المثال، القوانين التي تحدد أن التعاون مطلوب ولا يمكن فصل مساهمات المؤلفين الفرديين عن بعضها البعض بسهولة.</w:t>
            </w:r>
            <w:r w:rsidRPr="009204EA">
              <w:rPr>
                <w:sz w:val="20"/>
                <w:szCs w:val="20"/>
                <w:vertAlign w:val="superscript"/>
                <w:lang w:val="en-GB"/>
              </w:rPr>
              <w:footnoteReference w:id="122"/>
            </w:r>
            <w:r w:rsidRPr="009204EA">
              <w:rPr>
                <w:sz w:val="20"/>
                <w:szCs w:val="20"/>
                <w:lang w:val="en-AU"/>
              </w:rPr>
              <w:t xml:space="preserve"> </w:t>
            </w:r>
            <w:r w:rsidRPr="009204EA">
              <w:rPr>
                <w:sz w:val="20"/>
                <w:szCs w:val="20"/>
                <w:rtl/>
                <w:lang w:bidi="ar-LB"/>
              </w:rPr>
              <w:t xml:space="preserve">وبشكل عام، يمكن اعتبار أن </w:t>
            </w:r>
            <w:r w:rsidRPr="009204EA">
              <w:rPr>
                <w:rFonts w:hint="cs"/>
                <w:sz w:val="20"/>
                <w:szCs w:val="20"/>
                <w:rtl/>
                <w:lang w:bidi="ar-LB"/>
              </w:rPr>
              <w:t>هذا ا</w:t>
            </w:r>
            <w:r w:rsidRPr="009204EA">
              <w:rPr>
                <w:sz w:val="20"/>
                <w:szCs w:val="20"/>
                <w:rtl/>
                <w:lang w:bidi="ar-LB"/>
              </w:rPr>
              <w:t>لحكم ملائم لجميع المصنفات التي يشترك في تأليفها أكثر من مؤلف، وأن هذه المصنفات لا ينبغي أن تقتصر على المصنفات التي تعد مصنفات مشتركة التأليف بموجب القانون الوطني.</w:t>
            </w:r>
            <w:r w:rsidRPr="009204EA">
              <w:rPr>
                <w:sz w:val="20"/>
                <w:szCs w:val="20"/>
                <w:lang w:val="en-AU"/>
              </w:rPr>
              <w:t xml:space="preserve"> </w:t>
            </w:r>
            <w:r w:rsidRPr="009204EA">
              <w:rPr>
                <w:sz w:val="20"/>
                <w:szCs w:val="20"/>
                <w:rtl/>
                <w:lang w:bidi="ar-LB"/>
              </w:rPr>
              <w:t>ولكن، يعود تحديد هذا الأمر إلى كل مخطط وطني لحق التتبع، مع مراعاة قانون حق المؤلف الوطني</w:t>
            </w:r>
          </w:p>
          <w:p w14:paraId="1207CE27" w14:textId="77777777" w:rsidR="008D64F9" w:rsidRPr="009204EA" w:rsidRDefault="008D64F9" w:rsidP="009204EA">
            <w:pPr>
              <w:pStyle w:val="BodyText"/>
              <w:rPr>
                <w:sz w:val="20"/>
                <w:szCs w:val="20"/>
                <w:rtl/>
                <w:lang w:bidi="ar-LB"/>
              </w:rPr>
            </w:pPr>
          </w:p>
        </w:tc>
      </w:tr>
      <w:tr w:rsidR="008D64F9" w:rsidRPr="009204EA" w14:paraId="7D8FC027" w14:textId="77777777" w:rsidTr="00101B5A">
        <w:tc>
          <w:tcPr>
            <w:tcW w:w="3003" w:type="dxa"/>
          </w:tcPr>
          <w:p w14:paraId="4FEB7AE7" w14:textId="77777777" w:rsidR="008D64F9" w:rsidRPr="009204EA" w:rsidRDefault="008D64F9" w:rsidP="009204EA">
            <w:pPr>
              <w:pStyle w:val="BodyText"/>
              <w:rPr>
                <w:sz w:val="20"/>
                <w:szCs w:val="20"/>
                <w:rtl/>
                <w:lang w:bidi="ar-LB"/>
              </w:rPr>
            </w:pPr>
            <w:r w:rsidRPr="009204EA">
              <w:rPr>
                <w:sz w:val="20"/>
                <w:szCs w:val="20"/>
                <w:rtl/>
                <w:lang w:bidi="ar-LB"/>
              </w:rPr>
              <w:lastRenderedPageBreak/>
              <w:t>عدة مؤلفين شاركوا في انشاء المصنف - جميعهم على قيد الحياة أو بعضهم متوفى في وقت إعادة البيع (أستراليا)</w:t>
            </w:r>
          </w:p>
        </w:tc>
        <w:tc>
          <w:tcPr>
            <w:tcW w:w="3003" w:type="dxa"/>
          </w:tcPr>
          <w:p w14:paraId="17D6E0D6" w14:textId="77777777" w:rsidR="008D64F9" w:rsidRPr="00803410" w:rsidRDefault="008D64F9" w:rsidP="009204EA">
            <w:pPr>
              <w:pStyle w:val="BodyText"/>
              <w:rPr>
                <w:b/>
                <w:bCs/>
                <w:sz w:val="20"/>
                <w:szCs w:val="20"/>
                <w:rtl/>
                <w:lang w:bidi="ar-LB"/>
              </w:rPr>
            </w:pPr>
            <w:r w:rsidRPr="00803410">
              <w:rPr>
                <w:b/>
                <w:bCs/>
                <w:sz w:val="20"/>
                <w:szCs w:val="20"/>
                <w:rtl/>
                <w:lang w:bidi="ar-LB"/>
              </w:rPr>
              <w:t>16 حصة حق التتبع في حالة وجود أكثر من فنان</w:t>
            </w:r>
          </w:p>
          <w:p w14:paraId="297C4151" w14:textId="77777777" w:rsidR="008D64F9" w:rsidRPr="009204EA" w:rsidRDefault="008D64F9" w:rsidP="009204EA">
            <w:pPr>
              <w:pStyle w:val="BodyText"/>
              <w:rPr>
                <w:sz w:val="20"/>
                <w:szCs w:val="20"/>
                <w:rtl/>
                <w:lang w:bidi="ar-LB"/>
              </w:rPr>
            </w:pPr>
            <w:r w:rsidRPr="009204EA">
              <w:rPr>
                <w:sz w:val="20"/>
                <w:szCs w:val="20"/>
                <w:rtl/>
                <w:lang w:bidi="ar-LB"/>
              </w:rPr>
              <w:t>في حال وجود أكثر من فنان وجميعهم على قيد الحياة</w:t>
            </w:r>
          </w:p>
          <w:p w14:paraId="1EE29685" w14:textId="77777777" w:rsidR="008D64F9" w:rsidRPr="009204EA" w:rsidRDefault="008D64F9" w:rsidP="009204EA">
            <w:pPr>
              <w:pStyle w:val="BodyText"/>
              <w:rPr>
                <w:sz w:val="20"/>
                <w:szCs w:val="20"/>
                <w:rtl/>
                <w:lang w:bidi="ar-LB"/>
              </w:rPr>
            </w:pPr>
            <w:r w:rsidRPr="009204EA">
              <w:rPr>
                <w:sz w:val="20"/>
                <w:szCs w:val="20"/>
                <w:rtl/>
                <w:lang w:bidi="ar-LB"/>
              </w:rPr>
              <w:t>(1) إذا كان جميع حاملي حق التتبع عند إعادة البيع التجاري لمصنف فني هم فنانون شاركوا في انشاء المصنف الفني، يحق لكل فنان الحصول على حصة متساوية من إتاوة حق التتبع الناجمة عن عملية إعادة البيع التجاري هذه، الا إذا:</w:t>
            </w:r>
          </w:p>
          <w:p w14:paraId="75B53AD7" w14:textId="77777777" w:rsidR="008D64F9" w:rsidRPr="009204EA" w:rsidRDefault="008D64F9" w:rsidP="009204EA">
            <w:pPr>
              <w:pStyle w:val="BodyText"/>
              <w:rPr>
                <w:sz w:val="20"/>
                <w:szCs w:val="20"/>
                <w:rtl/>
                <w:lang w:bidi="ar-LB"/>
              </w:rPr>
            </w:pPr>
            <w:r w:rsidRPr="009204EA">
              <w:rPr>
                <w:sz w:val="20"/>
                <w:szCs w:val="20"/>
                <w:rtl/>
                <w:lang w:bidi="ar-LB"/>
              </w:rPr>
              <w:t>(أ) اتفق الفنانون على توزيع حصص إتاوة حق التتبع</w:t>
            </w:r>
          </w:p>
          <w:p w14:paraId="449F31BB" w14:textId="77777777" w:rsidR="008D64F9" w:rsidRPr="009204EA" w:rsidRDefault="008D64F9" w:rsidP="009204EA">
            <w:pPr>
              <w:pStyle w:val="BodyText"/>
              <w:rPr>
                <w:sz w:val="20"/>
                <w:szCs w:val="20"/>
                <w:rtl/>
                <w:lang w:bidi="ar-LB"/>
              </w:rPr>
            </w:pPr>
            <w:r w:rsidRPr="009204EA">
              <w:rPr>
                <w:sz w:val="20"/>
                <w:szCs w:val="20"/>
                <w:rtl/>
                <w:lang w:bidi="ar-LB"/>
              </w:rPr>
              <w:t>بشكل مختلف؛</w:t>
            </w:r>
          </w:p>
          <w:p w14:paraId="2A43B4DE" w14:textId="77777777" w:rsidR="008D64F9" w:rsidRPr="009204EA" w:rsidRDefault="008D64F9" w:rsidP="009204EA">
            <w:pPr>
              <w:pStyle w:val="BodyText"/>
              <w:rPr>
                <w:sz w:val="20"/>
                <w:szCs w:val="20"/>
                <w:rtl/>
                <w:lang w:bidi="ar-LB"/>
              </w:rPr>
            </w:pPr>
            <w:r w:rsidRPr="009204EA">
              <w:rPr>
                <w:sz w:val="20"/>
                <w:szCs w:val="20"/>
                <w:rtl/>
                <w:lang w:bidi="ar-LB"/>
              </w:rPr>
              <w:t>(ب) لا تمنح هذه الاتفاقية حصة من إتاوة حق التتبع لأي شخص آخر (الا من خلال الوصية أو وفقًا لقواعد الخلافة في حالة وفاة الفنان من دون أن يترك اي وصية).</w:t>
            </w:r>
          </w:p>
          <w:p w14:paraId="027E6BA3" w14:textId="77777777" w:rsidR="008D64F9" w:rsidRPr="009204EA" w:rsidRDefault="008D64F9" w:rsidP="009204EA">
            <w:pPr>
              <w:pStyle w:val="BodyText"/>
              <w:rPr>
                <w:sz w:val="20"/>
                <w:szCs w:val="20"/>
                <w:rtl/>
                <w:lang w:bidi="ar-LB"/>
              </w:rPr>
            </w:pPr>
            <w:r w:rsidRPr="009204EA">
              <w:rPr>
                <w:sz w:val="20"/>
                <w:szCs w:val="20"/>
                <w:rtl/>
                <w:lang w:bidi="ar-LB"/>
              </w:rPr>
              <w:t>في حال وجود أكثر من فنان، ولكن أحدهم لم يعد على قيد الحياة</w:t>
            </w:r>
          </w:p>
          <w:p w14:paraId="46F40E87" w14:textId="77777777" w:rsidR="008D64F9" w:rsidRPr="009204EA" w:rsidRDefault="008D64F9" w:rsidP="009204EA">
            <w:pPr>
              <w:pStyle w:val="BodyText"/>
              <w:rPr>
                <w:sz w:val="20"/>
                <w:szCs w:val="20"/>
                <w:rtl/>
                <w:lang w:bidi="ar-LB"/>
              </w:rPr>
            </w:pPr>
            <w:r w:rsidRPr="009204EA">
              <w:rPr>
                <w:sz w:val="20"/>
                <w:szCs w:val="20"/>
                <w:rtl/>
                <w:lang w:bidi="ar-LB"/>
              </w:rPr>
              <w:t>(2) في حال:</w:t>
            </w:r>
          </w:p>
          <w:p w14:paraId="1BDE215F" w14:textId="77777777" w:rsidR="008D64F9" w:rsidRPr="009204EA" w:rsidRDefault="008D64F9" w:rsidP="009204EA">
            <w:pPr>
              <w:pStyle w:val="BodyText"/>
              <w:rPr>
                <w:sz w:val="20"/>
                <w:szCs w:val="20"/>
                <w:rtl/>
                <w:lang w:bidi="ar-LB"/>
              </w:rPr>
            </w:pPr>
            <w:r w:rsidRPr="009204EA">
              <w:rPr>
                <w:sz w:val="20"/>
                <w:szCs w:val="20"/>
                <w:rtl/>
                <w:lang w:bidi="ar-LB"/>
              </w:rPr>
              <w:lastRenderedPageBreak/>
              <w:t>(أ) وجود أكثر من فنان لمصنف فني واحد؛</w:t>
            </w:r>
          </w:p>
          <w:p w14:paraId="33B2F934" w14:textId="77777777" w:rsidR="008D64F9" w:rsidRPr="009204EA" w:rsidRDefault="008D64F9" w:rsidP="009204EA">
            <w:pPr>
              <w:pStyle w:val="BodyText"/>
              <w:rPr>
                <w:sz w:val="20"/>
                <w:szCs w:val="20"/>
                <w:rtl/>
                <w:lang w:bidi="ar-LB"/>
              </w:rPr>
            </w:pPr>
            <w:r w:rsidRPr="009204EA">
              <w:rPr>
                <w:sz w:val="20"/>
                <w:szCs w:val="20"/>
                <w:rtl/>
                <w:lang w:bidi="ar-LB"/>
              </w:rPr>
              <w:t xml:space="preserve">و(ب) تم تحديد أحد الفنانين ولكنه لم يعد على قيد الحياة في وقت </w:t>
            </w:r>
          </w:p>
          <w:p w14:paraId="740F0280" w14:textId="77777777" w:rsidR="008D64F9" w:rsidRPr="009204EA" w:rsidRDefault="008D64F9" w:rsidP="009204EA">
            <w:pPr>
              <w:pStyle w:val="BodyText"/>
              <w:rPr>
                <w:sz w:val="20"/>
                <w:szCs w:val="20"/>
                <w:rtl/>
                <w:lang w:bidi="ar-LB"/>
              </w:rPr>
            </w:pPr>
            <w:r w:rsidRPr="009204EA">
              <w:rPr>
                <w:sz w:val="20"/>
                <w:szCs w:val="20"/>
                <w:rtl/>
                <w:lang w:bidi="ar-LB"/>
              </w:rPr>
              <w:t>إعادة بيع العمل الفني تجاريًا؛</w:t>
            </w:r>
          </w:p>
          <w:p w14:paraId="7EDFD4B1" w14:textId="77777777" w:rsidR="008D64F9" w:rsidRPr="009204EA" w:rsidRDefault="008D64F9" w:rsidP="009204EA">
            <w:pPr>
              <w:pStyle w:val="BodyText"/>
              <w:rPr>
                <w:sz w:val="20"/>
                <w:szCs w:val="20"/>
                <w:rtl/>
                <w:lang w:bidi="ar-LB"/>
              </w:rPr>
            </w:pPr>
            <w:r w:rsidRPr="009204EA">
              <w:rPr>
                <w:sz w:val="20"/>
                <w:szCs w:val="20"/>
                <w:rtl/>
                <w:lang w:bidi="ar-LB"/>
              </w:rPr>
              <w:t>و(ج) استوفى الفنان متطلب الإقامة مباشرة قبل وفاته؛</w:t>
            </w:r>
          </w:p>
          <w:p w14:paraId="6BEF9597" w14:textId="77777777" w:rsidR="008D64F9" w:rsidRPr="009204EA" w:rsidRDefault="008D64F9" w:rsidP="009204EA">
            <w:pPr>
              <w:pStyle w:val="BodyText"/>
              <w:rPr>
                <w:sz w:val="20"/>
                <w:szCs w:val="20"/>
                <w:rtl/>
                <w:lang w:bidi="ar-LB"/>
              </w:rPr>
            </w:pPr>
            <w:r w:rsidRPr="009204EA">
              <w:rPr>
                <w:sz w:val="20"/>
                <w:szCs w:val="20"/>
                <w:rtl/>
                <w:lang w:bidi="ar-LB"/>
              </w:rPr>
              <w:t>فان حصة الإتاوة من عملية إعادة البيع التجاري للمصنف الفني والتي كان من حق الفنان الحصول عليها لو كان الفنان على قيد الحياة وقد تم تحديده واستوفى متطلب الإقامة في وقت إعادة البيع التجاري، تنتقل إلى أولئك الذين يحصلون،</w:t>
            </w:r>
          </w:p>
          <w:p w14:paraId="614AB578" w14:textId="77777777" w:rsidR="008D64F9" w:rsidRPr="009204EA" w:rsidRDefault="008D64F9" w:rsidP="009204EA">
            <w:pPr>
              <w:pStyle w:val="BodyText"/>
              <w:rPr>
                <w:sz w:val="20"/>
                <w:szCs w:val="20"/>
                <w:rtl/>
                <w:lang w:bidi="ar-LB"/>
              </w:rPr>
            </w:pPr>
            <w:r w:rsidRPr="009204EA">
              <w:rPr>
                <w:sz w:val="20"/>
                <w:szCs w:val="20"/>
                <w:rtl/>
                <w:lang w:bidi="ar-LB"/>
              </w:rPr>
              <w:t>من خلال هذا الفنان، على حق التتبع عند إعادة البيع التجاري للمصنف الفني.</w:t>
            </w:r>
            <w:r w:rsidRPr="009204EA">
              <w:rPr>
                <w:sz w:val="20"/>
                <w:szCs w:val="20"/>
                <w:vertAlign w:val="superscript"/>
                <w:lang w:val="en-GB"/>
              </w:rPr>
              <w:footnoteReference w:id="123"/>
            </w:r>
          </w:p>
          <w:p w14:paraId="0A20A0ED" w14:textId="77777777" w:rsidR="008D64F9" w:rsidRPr="009204EA" w:rsidRDefault="008D64F9" w:rsidP="009204EA">
            <w:pPr>
              <w:pStyle w:val="BodyText"/>
              <w:rPr>
                <w:sz w:val="20"/>
                <w:szCs w:val="20"/>
                <w:lang w:val="en-AU"/>
              </w:rPr>
            </w:pPr>
          </w:p>
        </w:tc>
        <w:tc>
          <w:tcPr>
            <w:tcW w:w="3004" w:type="dxa"/>
          </w:tcPr>
          <w:p w14:paraId="20CA5FE5" w14:textId="77777777" w:rsidR="008D64F9" w:rsidRPr="009204EA" w:rsidRDefault="008D64F9">
            <w:pPr>
              <w:pStyle w:val="BodyText"/>
              <w:numPr>
                <w:ilvl w:val="0"/>
                <w:numId w:val="18"/>
              </w:numPr>
              <w:ind w:left="360"/>
              <w:rPr>
                <w:sz w:val="20"/>
                <w:szCs w:val="20"/>
                <w:rtl/>
                <w:lang w:bidi="ar-LB"/>
              </w:rPr>
            </w:pPr>
            <w:r w:rsidRPr="009204EA">
              <w:rPr>
                <w:sz w:val="20"/>
                <w:szCs w:val="20"/>
                <w:rtl/>
                <w:lang w:bidi="ar-LB"/>
              </w:rPr>
              <w:lastRenderedPageBreak/>
              <w:t>يتعامل مع الحالات المختلفة التي قد تنشأ عند وجود أكثر من مؤلف على قيد الحياة أو واحد فقط على قيد الحياة في وقت إعادة البيع.</w:t>
            </w:r>
          </w:p>
          <w:p w14:paraId="0ECD85B9" w14:textId="77777777" w:rsidR="008D64F9" w:rsidRPr="009204EA" w:rsidRDefault="008D64F9">
            <w:pPr>
              <w:pStyle w:val="BodyText"/>
              <w:numPr>
                <w:ilvl w:val="0"/>
                <w:numId w:val="18"/>
              </w:numPr>
              <w:ind w:left="360"/>
              <w:rPr>
                <w:sz w:val="20"/>
                <w:szCs w:val="20"/>
                <w:rtl/>
                <w:lang w:bidi="ar-LB"/>
              </w:rPr>
            </w:pPr>
            <w:r w:rsidRPr="009204EA">
              <w:rPr>
                <w:sz w:val="20"/>
                <w:szCs w:val="20"/>
                <w:rtl/>
                <w:lang w:bidi="ar-LB"/>
              </w:rPr>
              <w:t>ويمكن توسيع نطاق هذا الحكم ليشمل المخطوطات الأصلية إذا كان ذلك مرغوبًا فيه.</w:t>
            </w:r>
            <w:r w:rsidRPr="009204EA">
              <w:rPr>
                <w:sz w:val="20"/>
                <w:szCs w:val="20"/>
                <w:lang w:val="en-AU"/>
              </w:rPr>
              <w:t xml:space="preserve"> </w:t>
            </w:r>
          </w:p>
        </w:tc>
      </w:tr>
      <w:tr w:rsidR="008D64F9" w:rsidRPr="009204EA" w14:paraId="2117E3BD" w14:textId="77777777" w:rsidTr="00101B5A">
        <w:tc>
          <w:tcPr>
            <w:tcW w:w="3003" w:type="dxa"/>
          </w:tcPr>
          <w:p w14:paraId="0ECB8FFB" w14:textId="77777777" w:rsidR="008D64F9" w:rsidRPr="009204EA" w:rsidRDefault="008D64F9" w:rsidP="009204EA">
            <w:pPr>
              <w:pStyle w:val="BodyText"/>
              <w:rPr>
                <w:sz w:val="20"/>
                <w:szCs w:val="20"/>
                <w:rtl/>
                <w:lang w:bidi="ar-LB"/>
              </w:rPr>
            </w:pPr>
            <w:r w:rsidRPr="009204EA">
              <w:rPr>
                <w:sz w:val="20"/>
                <w:szCs w:val="20"/>
                <w:rtl/>
                <w:lang w:bidi="ar-LB"/>
              </w:rPr>
              <w:t>مصنف فني تم إنشاؤه بشكل مشترك (نيوزيلندا)</w:t>
            </w:r>
            <w:r w:rsidRPr="009204EA">
              <w:rPr>
                <w:sz w:val="20"/>
                <w:szCs w:val="20"/>
                <w:lang w:val="en-AU"/>
              </w:rPr>
              <w:t xml:space="preserve"> </w:t>
            </w:r>
          </w:p>
        </w:tc>
        <w:tc>
          <w:tcPr>
            <w:tcW w:w="3003" w:type="dxa"/>
          </w:tcPr>
          <w:p w14:paraId="325F54BF" w14:textId="77777777" w:rsidR="008D64F9" w:rsidRPr="00803410" w:rsidRDefault="008D64F9" w:rsidP="009204EA">
            <w:pPr>
              <w:pStyle w:val="BodyText"/>
              <w:rPr>
                <w:b/>
                <w:bCs/>
                <w:sz w:val="20"/>
                <w:szCs w:val="20"/>
                <w:rtl/>
                <w:lang w:bidi="ar-LB"/>
              </w:rPr>
            </w:pPr>
            <w:r w:rsidRPr="00803410">
              <w:rPr>
                <w:b/>
                <w:bCs/>
                <w:sz w:val="20"/>
                <w:szCs w:val="20"/>
                <w:rtl/>
                <w:lang w:bidi="ar-LB"/>
              </w:rPr>
              <w:t>12 الحق في الحصص عند إنشاء مصنف فني بشكل مشترك</w:t>
            </w:r>
          </w:p>
          <w:p w14:paraId="0E42DE95" w14:textId="77777777" w:rsidR="008D64F9" w:rsidRPr="009204EA" w:rsidRDefault="008D64F9" w:rsidP="009204EA">
            <w:pPr>
              <w:pStyle w:val="BodyText"/>
              <w:rPr>
                <w:sz w:val="20"/>
                <w:szCs w:val="20"/>
                <w:rtl/>
                <w:lang w:bidi="ar-LB"/>
              </w:rPr>
            </w:pPr>
            <w:r w:rsidRPr="009204EA">
              <w:rPr>
                <w:sz w:val="20"/>
                <w:szCs w:val="20"/>
                <w:rtl/>
                <w:lang w:bidi="ar-LB"/>
              </w:rPr>
              <w:t>(1) ينطبق هذا القسم إذا نشأ حق التتبع فيما يتعلق بمصنف فني بصري أصلي تم إنشاؤه بشكل مشترك من قبل فنانَيْن أو أكثر.</w:t>
            </w:r>
          </w:p>
          <w:p w14:paraId="3661C0A3" w14:textId="77777777" w:rsidR="008D64F9" w:rsidRPr="009204EA" w:rsidRDefault="008D64F9" w:rsidP="009204EA">
            <w:pPr>
              <w:pStyle w:val="BodyText"/>
              <w:rPr>
                <w:sz w:val="20"/>
                <w:szCs w:val="20"/>
                <w:rtl/>
                <w:lang w:bidi="ar-LB"/>
              </w:rPr>
            </w:pPr>
            <w:r w:rsidRPr="009204EA">
              <w:rPr>
                <w:sz w:val="20"/>
                <w:szCs w:val="20"/>
                <w:rtl/>
                <w:lang w:bidi="ar-LB"/>
              </w:rPr>
              <w:t>(2) حق التتبع—</w:t>
            </w:r>
          </w:p>
          <w:p w14:paraId="5F280421" w14:textId="77777777" w:rsidR="008D64F9" w:rsidRPr="009204EA" w:rsidRDefault="008D64F9" w:rsidP="009204EA">
            <w:pPr>
              <w:pStyle w:val="BodyText"/>
              <w:rPr>
                <w:sz w:val="20"/>
                <w:szCs w:val="20"/>
                <w:rtl/>
                <w:lang w:bidi="ar-LB"/>
              </w:rPr>
            </w:pPr>
            <w:r w:rsidRPr="009204EA">
              <w:rPr>
                <w:sz w:val="20"/>
                <w:szCs w:val="20"/>
                <w:rtl/>
                <w:lang w:bidi="ar-LB"/>
              </w:rPr>
              <w:t>(أ) يعود فقط إلى الفنانين الذين شاركوا في انشاء المصنف والذين كانوا مؤهلين في الوقت اللازم (يرجى الاطلاع على القسم 7(1)(د) و(2))؛</w:t>
            </w:r>
          </w:p>
          <w:p w14:paraId="1D335ACE" w14:textId="77777777" w:rsidR="008D64F9" w:rsidRPr="009204EA" w:rsidRDefault="008D64F9" w:rsidP="009204EA">
            <w:pPr>
              <w:pStyle w:val="BodyText"/>
              <w:rPr>
                <w:sz w:val="20"/>
                <w:szCs w:val="20"/>
                <w:rtl/>
                <w:lang w:bidi="ar-LB"/>
              </w:rPr>
            </w:pPr>
            <w:r w:rsidRPr="009204EA">
              <w:rPr>
                <w:sz w:val="20"/>
                <w:szCs w:val="20"/>
                <w:rtl/>
                <w:lang w:bidi="ar-LB"/>
              </w:rPr>
              <w:t>و(ب) يكون موزعا على هؤلاء الفنانون المؤهلون الذين شاركوا في انشاء المصنف على حصص متساوية فيما بينهم أو على حصص أخرى محددة في اتفاقية مكتوبة موقعة من قبل جميع هؤلاء الفنانين أو نيابة عنهم.</w:t>
            </w:r>
            <w:r w:rsidRPr="009204EA">
              <w:rPr>
                <w:sz w:val="20"/>
                <w:szCs w:val="20"/>
                <w:vertAlign w:val="superscript"/>
                <w:lang w:val="en-GB"/>
              </w:rPr>
              <w:footnoteReference w:id="124"/>
            </w:r>
          </w:p>
        </w:tc>
        <w:tc>
          <w:tcPr>
            <w:tcW w:w="3004" w:type="dxa"/>
          </w:tcPr>
          <w:p w14:paraId="562F4B21" w14:textId="77777777" w:rsidR="008D64F9" w:rsidRPr="009204EA" w:rsidRDefault="008D64F9">
            <w:pPr>
              <w:pStyle w:val="BodyText"/>
              <w:numPr>
                <w:ilvl w:val="0"/>
                <w:numId w:val="18"/>
              </w:numPr>
              <w:ind w:left="360"/>
              <w:rPr>
                <w:sz w:val="20"/>
                <w:szCs w:val="20"/>
                <w:rtl/>
                <w:lang w:bidi="ar-LB"/>
              </w:rPr>
            </w:pPr>
            <w:r w:rsidRPr="009204EA">
              <w:rPr>
                <w:sz w:val="20"/>
                <w:szCs w:val="20"/>
                <w:rtl/>
                <w:lang w:bidi="ar-LB"/>
              </w:rPr>
              <w:t>حكم أقل تفصيلاً، مع افتراض أن الحصص سيتم توزيعها بالتساوي في حال عدم وجود اتفاق مخالف لذلك</w:t>
            </w:r>
          </w:p>
          <w:p w14:paraId="6F6216F7" w14:textId="77777777" w:rsidR="008D64F9" w:rsidRPr="009204EA" w:rsidRDefault="008D64F9">
            <w:pPr>
              <w:pStyle w:val="BodyText"/>
              <w:numPr>
                <w:ilvl w:val="0"/>
                <w:numId w:val="18"/>
              </w:numPr>
              <w:ind w:left="360"/>
              <w:rPr>
                <w:sz w:val="20"/>
                <w:szCs w:val="20"/>
                <w:lang w:val="en-GB"/>
              </w:rPr>
            </w:pPr>
            <w:r w:rsidRPr="009204EA">
              <w:rPr>
                <w:sz w:val="20"/>
                <w:szCs w:val="20"/>
                <w:rtl/>
                <w:lang w:bidi="ar-LB"/>
              </w:rPr>
              <w:t>يجب أن يستوفي الفنانون متطلبات الأهلية المنصوص عليها في قانون نيوزيلندا</w:t>
            </w:r>
            <w:r w:rsidRPr="009204EA">
              <w:rPr>
                <w:sz w:val="20"/>
                <w:szCs w:val="20"/>
                <w:lang w:val="en-AU"/>
              </w:rPr>
              <w:t xml:space="preserve"> </w:t>
            </w:r>
          </w:p>
        </w:tc>
      </w:tr>
    </w:tbl>
    <w:p w14:paraId="0E93D298" w14:textId="77777777" w:rsidR="008D64F9" w:rsidRPr="00803410" w:rsidRDefault="008D64F9" w:rsidP="00534856">
      <w:pPr>
        <w:pStyle w:val="Heading2"/>
        <w:rPr>
          <w:b/>
          <w:bCs w:val="0"/>
          <w:i w:val="0"/>
          <w:iCs/>
          <w:sz w:val="24"/>
          <w:szCs w:val="24"/>
          <w:rtl/>
        </w:rPr>
      </w:pPr>
      <w:r w:rsidRPr="00803410">
        <w:rPr>
          <w:b/>
          <w:bCs w:val="0"/>
          <w:i w:val="0"/>
          <w:iCs/>
          <w:sz w:val="24"/>
          <w:szCs w:val="24"/>
          <w:rtl/>
        </w:rPr>
        <w:t>إثبات نسبة المصنف إلى المؤلف وبعض الافتراضات المفيدة</w:t>
      </w:r>
    </w:p>
    <w:p w14:paraId="5802BB8D" w14:textId="77777777" w:rsidR="008D64F9" w:rsidRPr="008D64F9" w:rsidRDefault="008D64F9" w:rsidP="009204EA">
      <w:pPr>
        <w:pStyle w:val="ONUMA"/>
        <w:rPr>
          <w:rtl/>
          <w:lang w:bidi="ar-LB"/>
        </w:rPr>
      </w:pPr>
      <w:r w:rsidRPr="008D64F9">
        <w:rPr>
          <w:rtl/>
          <w:lang w:bidi="ar-LB"/>
        </w:rPr>
        <w:t>قد ترغب القوانين الوطنية في توفير أحكام بشأن الطريقة التي يتم بها نسبة المصنف إلى المؤلف عندما تُطالب جهة ما بالحصول على حق التتبع لهذا المصنف</w:t>
      </w:r>
      <w:r w:rsidRPr="008D64F9">
        <w:rPr>
          <w:rFonts w:hint="cs"/>
          <w:rtl/>
          <w:lang w:bidi="ar-LB"/>
        </w:rPr>
        <w:t>.</w:t>
      </w:r>
      <w:r w:rsidRPr="008D64F9">
        <w:rPr>
          <w:rtl/>
          <w:lang w:bidi="ar-LB"/>
        </w:rPr>
        <w:t xml:space="preserve"> من المفترض هنا أن انشاء نظام لتسجيل المطالبات بحق التتبع لن يكون مسموحًا به بموجب المادة 5(2) من اتفاقية برن، على الرغم من أنه قد يعتبر البعض هذا الأمر ممكنًا إذا كان اختياريًا أو إذا كان حق التتبع منصوص عليه في تشريع مستقل بدلاً من أن يكون مشمولا في قانون حق المؤلف العام كما هو الحال مع غالبية الدول الأعضاء في اتفاقية برن التي تملك مخططات لحق التتبع.</w:t>
      </w:r>
    </w:p>
    <w:p w14:paraId="2877EFF9" w14:textId="77777777" w:rsidR="008D64F9" w:rsidRPr="008D64F9" w:rsidRDefault="008D64F9" w:rsidP="009204EA">
      <w:pPr>
        <w:pStyle w:val="ONUMA"/>
        <w:rPr>
          <w:rtl/>
          <w:lang w:bidi="ar-LB"/>
        </w:rPr>
      </w:pPr>
      <w:r w:rsidRPr="008D64F9">
        <w:rPr>
          <w:rtl/>
          <w:lang w:bidi="ar-LB"/>
        </w:rPr>
        <w:lastRenderedPageBreak/>
        <w:t>وقد تكون هناك أيضًا افتراضات استدلالية أخرى من شأنها أن تساعد في تحصيل إتاوة حق التتبع، ويمكن لواضعي السياسات والمشرعين على المستوى الوطني الاطلاع على العديد من الأحكام النموذجية المفيدة في الجدول 16 أدناه وكذلك في الجدول 26 في الجزء الثاني.</w:t>
      </w:r>
    </w:p>
    <w:p w14:paraId="0E56BEE0" w14:textId="77777777" w:rsidR="008D64F9" w:rsidRPr="008D64F9" w:rsidRDefault="008D64F9" w:rsidP="009204EA">
      <w:pPr>
        <w:spacing w:after="240"/>
        <w:rPr>
          <w:rFonts w:asciiTheme="minorHAnsi" w:hAnsiTheme="minorHAnsi" w:cstheme="minorHAnsi"/>
          <w:bCs/>
          <w:rtl/>
          <w:lang w:bidi="ar-LB"/>
        </w:rPr>
      </w:pPr>
      <w:r w:rsidRPr="008D64F9">
        <w:rPr>
          <w:rFonts w:asciiTheme="minorHAnsi" w:hAnsiTheme="minorHAnsi" w:cstheme="minorHAnsi"/>
          <w:bCs/>
          <w:rtl/>
          <w:lang w:bidi="ar-LB"/>
        </w:rPr>
        <w:t>الجدول 16</w:t>
      </w:r>
    </w:p>
    <w:tbl>
      <w:tblPr>
        <w:tblStyle w:val="TableGrid"/>
        <w:bidiVisual/>
        <w:tblW w:w="0" w:type="auto"/>
        <w:tblInd w:w="360" w:type="dxa"/>
        <w:tblLook w:val="04A0" w:firstRow="1" w:lastRow="0" w:firstColumn="1" w:lastColumn="0" w:noHBand="0" w:noVBand="1"/>
      </w:tblPr>
      <w:tblGrid>
        <w:gridCol w:w="2470"/>
        <w:gridCol w:w="3296"/>
        <w:gridCol w:w="2884"/>
      </w:tblGrid>
      <w:tr w:rsidR="008D64F9" w:rsidRPr="008D64F9" w14:paraId="39C167F1" w14:textId="77777777" w:rsidTr="00101B5A">
        <w:tc>
          <w:tcPr>
            <w:tcW w:w="2470" w:type="dxa"/>
          </w:tcPr>
          <w:p w14:paraId="30E54D1A" w14:textId="77777777" w:rsidR="008D64F9" w:rsidRPr="009204EA" w:rsidRDefault="008D64F9" w:rsidP="009204EA">
            <w:pPr>
              <w:pStyle w:val="BodyText"/>
              <w:rPr>
                <w:b/>
                <w:bCs/>
                <w:sz w:val="20"/>
                <w:szCs w:val="20"/>
                <w:rtl/>
                <w:lang w:bidi="ar-LB"/>
              </w:rPr>
            </w:pPr>
            <w:r w:rsidRPr="009204EA">
              <w:rPr>
                <w:b/>
                <w:bCs/>
                <w:sz w:val="20"/>
                <w:szCs w:val="20"/>
                <w:rtl/>
                <w:lang w:bidi="ar-LB"/>
              </w:rPr>
              <w:t>نوع الحكم</w:t>
            </w:r>
          </w:p>
        </w:tc>
        <w:tc>
          <w:tcPr>
            <w:tcW w:w="3296" w:type="dxa"/>
          </w:tcPr>
          <w:p w14:paraId="67CB9AFC" w14:textId="77777777" w:rsidR="008D64F9" w:rsidRPr="009204EA" w:rsidRDefault="008D64F9" w:rsidP="009204EA">
            <w:pPr>
              <w:pStyle w:val="BodyText"/>
              <w:rPr>
                <w:b/>
                <w:bCs/>
                <w:sz w:val="20"/>
                <w:szCs w:val="20"/>
                <w:rtl/>
                <w:lang w:bidi="ar-LB"/>
              </w:rPr>
            </w:pPr>
            <w:r w:rsidRPr="009204EA">
              <w:rPr>
                <w:b/>
                <w:bCs/>
                <w:sz w:val="20"/>
                <w:szCs w:val="20"/>
                <w:rtl/>
                <w:lang w:bidi="ar-LB"/>
              </w:rPr>
              <w:t>النص المقترح</w:t>
            </w:r>
          </w:p>
        </w:tc>
        <w:tc>
          <w:tcPr>
            <w:tcW w:w="2884" w:type="dxa"/>
          </w:tcPr>
          <w:p w14:paraId="0905ACC3" w14:textId="77777777" w:rsidR="008D64F9" w:rsidRPr="009204EA" w:rsidRDefault="008D64F9" w:rsidP="009204EA">
            <w:pPr>
              <w:pStyle w:val="BodyText"/>
              <w:rPr>
                <w:b/>
                <w:bCs/>
                <w:sz w:val="20"/>
                <w:szCs w:val="20"/>
                <w:rtl/>
                <w:lang w:bidi="ar-LB"/>
              </w:rPr>
            </w:pPr>
            <w:r w:rsidRPr="009204EA">
              <w:rPr>
                <w:b/>
                <w:bCs/>
                <w:sz w:val="20"/>
                <w:szCs w:val="20"/>
                <w:rtl/>
                <w:lang w:bidi="ar-LB"/>
              </w:rPr>
              <w:t>تعليقات/ملاحظات</w:t>
            </w:r>
          </w:p>
        </w:tc>
      </w:tr>
      <w:tr w:rsidR="008D64F9" w:rsidRPr="008D64F9" w14:paraId="41AEDAFB" w14:textId="77777777" w:rsidTr="00101B5A">
        <w:tc>
          <w:tcPr>
            <w:tcW w:w="2470" w:type="dxa"/>
          </w:tcPr>
          <w:p w14:paraId="4BBD5DBE" w14:textId="77777777" w:rsidR="008D64F9" w:rsidRPr="009204EA" w:rsidRDefault="008D64F9" w:rsidP="009204EA">
            <w:pPr>
              <w:pStyle w:val="BodyText"/>
              <w:rPr>
                <w:sz w:val="20"/>
                <w:szCs w:val="20"/>
                <w:rtl/>
                <w:lang w:bidi="ar-LB"/>
              </w:rPr>
            </w:pPr>
            <w:r w:rsidRPr="009204EA">
              <w:rPr>
                <w:sz w:val="20"/>
                <w:szCs w:val="20"/>
                <w:rtl/>
                <w:lang w:bidi="ar-LB"/>
              </w:rPr>
              <w:t>افتراض فيما يتعلق بنسبة المصنف إلى المؤلف (كينيا)</w:t>
            </w:r>
            <w:r w:rsidRPr="009204EA">
              <w:rPr>
                <w:sz w:val="20"/>
                <w:szCs w:val="20"/>
                <w:lang w:val="en-AU"/>
              </w:rPr>
              <w:t xml:space="preserve"> </w:t>
            </w:r>
          </w:p>
        </w:tc>
        <w:tc>
          <w:tcPr>
            <w:tcW w:w="3296" w:type="dxa"/>
          </w:tcPr>
          <w:p w14:paraId="3AC23005" w14:textId="77777777" w:rsidR="008D64F9" w:rsidRPr="009204EA" w:rsidRDefault="008D64F9" w:rsidP="009204EA">
            <w:pPr>
              <w:pStyle w:val="BodyText"/>
              <w:rPr>
                <w:sz w:val="20"/>
                <w:szCs w:val="20"/>
                <w:rtl/>
                <w:lang w:bidi="ar-LB"/>
              </w:rPr>
            </w:pPr>
            <w:r w:rsidRPr="009204EA">
              <w:rPr>
                <w:sz w:val="20"/>
                <w:szCs w:val="20"/>
                <w:rtl/>
                <w:lang w:bidi="ar-LB"/>
              </w:rPr>
              <w:t>إذا ظهرت علامة أو اسم على المصنف الفني لتحديد أن الشخص المذكور اسمه أو الذي تشير العلامة اليه هو مؤلف هذا المصنف الفني، فيفترض في غياب أي علامة أو دليل آخر أن الشخص هو المؤلف.</w:t>
            </w:r>
            <w:r w:rsidRPr="009204EA">
              <w:rPr>
                <w:sz w:val="20"/>
                <w:szCs w:val="20"/>
                <w:vertAlign w:val="superscript"/>
                <w:lang w:val="en-GB"/>
              </w:rPr>
              <w:footnoteReference w:id="125"/>
            </w:r>
          </w:p>
        </w:tc>
        <w:tc>
          <w:tcPr>
            <w:tcW w:w="2884" w:type="dxa"/>
          </w:tcPr>
          <w:p w14:paraId="46B8FC2B" w14:textId="77777777" w:rsidR="008D64F9" w:rsidRPr="009204EA" w:rsidRDefault="008D64F9">
            <w:pPr>
              <w:pStyle w:val="BodyText"/>
              <w:numPr>
                <w:ilvl w:val="0"/>
                <w:numId w:val="18"/>
              </w:numPr>
              <w:ind w:left="360"/>
              <w:rPr>
                <w:sz w:val="20"/>
                <w:szCs w:val="20"/>
                <w:rtl/>
                <w:lang w:bidi="ar-LB"/>
              </w:rPr>
            </w:pPr>
            <w:r w:rsidRPr="009204EA">
              <w:rPr>
                <w:sz w:val="20"/>
                <w:szCs w:val="20"/>
                <w:rtl/>
                <w:lang w:bidi="ar-LB"/>
              </w:rPr>
              <w:t>ينطبق الافتراض في حال عدم وجود أي علامة أخرى أو دليل لتحديد المؤلف.</w:t>
            </w:r>
          </w:p>
        </w:tc>
      </w:tr>
      <w:tr w:rsidR="008D64F9" w:rsidRPr="008D64F9" w14:paraId="7732D740" w14:textId="77777777" w:rsidTr="00101B5A">
        <w:tc>
          <w:tcPr>
            <w:tcW w:w="2470" w:type="dxa"/>
          </w:tcPr>
          <w:p w14:paraId="6C13B575" w14:textId="77777777" w:rsidR="008D64F9" w:rsidRPr="009204EA" w:rsidRDefault="008D64F9" w:rsidP="009204EA">
            <w:pPr>
              <w:pStyle w:val="BodyText"/>
              <w:rPr>
                <w:sz w:val="20"/>
                <w:szCs w:val="20"/>
                <w:rtl/>
                <w:lang w:bidi="ar-LB"/>
              </w:rPr>
            </w:pPr>
            <w:r w:rsidRPr="009204EA">
              <w:rPr>
                <w:sz w:val="20"/>
                <w:szCs w:val="20"/>
                <w:rtl/>
                <w:lang w:bidi="ar-LB"/>
              </w:rPr>
              <w:t>افتراض أقوى فيما يتعلق بنسبة المصنف إلى المؤلف (المملكة المتحدة)</w:t>
            </w:r>
          </w:p>
          <w:p w14:paraId="4B254762" w14:textId="77777777" w:rsidR="008D64F9" w:rsidRPr="009204EA" w:rsidRDefault="008D64F9" w:rsidP="009204EA">
            <w:pPr>
              <w:pStyle w:val="BodyText"/>
              <w:rPr>
                <w:sz w:val="20"/>
                <w:szCs w:val="20"/>
                <w:lang w:val="en-GB"/>
              </w:rPr>
            </w:pPr>
          </w:p>
        </w:tc>
        <w:tc>
          <w:tcPr>
            <w:tcW w:w="3296" w:type="dxa"/>
          </w:tcPr>
          <w:p w14:paraId="70305A6F" w14:textId="77777777" w:rsidR="008D64F9" w:rsidRPr="009204EA" w:rsidRDefault="008D64F9" w:rsidP="009204EA">
            <w:pPr>
              <w:pStyle w:val="BodyText"/>
              <w:rPr>
                <w:sz w:val="20"/>
                <w:szCs w:val="20"/>
                <w:rtl/>
                <w:lang w:bidi="ar-LB"/>
              </w:rPr>
            </w:pPr>
            <w:r w:rsidRPr="009204EA">
              <w:rPr>
                <w:sz w:val="20"/>
                <w:szCs w:val="20"/>
                <w:rtl/>
                <w:lang w:bidi="ar-LB"/>
              </w:rPr>
              <w:t>(1) إذا ظهر على المصنف عند إنجازه اسم يوحي بأنه اسم المؤلف، فيُفترض أن الشخص الذي يظهر اسمه هو مؤلف المصنف، ما لم يثبت عكس ذلك.</w:t>
            </w:r>
            <w:r w:rsidRPr="009204EA">
              <w:rPr>
                <w:sz w:val="20"/>
                <w:szCs w:val="20"/>
                <w:vertAlign w:val="superscript"/>
                <w:lang w:val="en-AU"/>
              </w:rPr>
              <w:t xml:space="preserve"> </w:t>
            </w:r>
          </w:p>
          <w:p w14:paraId="0A0A3A61" w14:textId="77777777" w:rsidR="008D64F9" w:rsidRPr="009204EA" w:rsidRDefault="008D64F9" w:rsidP="009204EA">
            <w:pPr>
              <w:pStyle w:val="BodyText"/>
              <w:rPr>
                <w:sz w:val="20"/>
                <w:szCs w:val="20"/>
                <w:rtl/>
                <w:lang w:bidi="ar-LB"/>
              </w:rPr>
            </w:pPr>
            <w:r w:rsidRPr="009204EA">
              <w:rPr>
                <w:sz w:val="20"/>
                <w:szCs w:val="20"/>
                <w:rtl/>
                <w:lang w:bidi="ar-LB"/>
              </w:rPr>
              <w:t>(2) في حالة المصنف الذي يُزعم أنه مصنف مشترك التأليف، تنطبق الفقرة (1) على كل شخص يُزعم أنه أحد المؤلفين.</w:t>
            </w:r>
            <w:r w:rsidRPr="009204EA">
              <w:rPr>
                <w:sz w:val="20"/>
                <w:szCs w:val="20"/>
                <w:vertAlign w:val="superscript"/>
                <w:lang w:val="en-GB"/>
              </w:rPr>
              <w:footnoteReference w:id="126"/>
            </w:r>
          </w:p>
        </w:tc>
        <w:tc>
          <w:tcPr>
            <w:tcW w:w="2884" w:type="dxa"/>
          </w:tcPr>
          <w:p w14:paraId="456E5E00" w14:textId="77777777" w:rsidR="008D64F9" w:rsidRPr="009204EA" w:rsidRDefault="008D64F9">
            <w:pPr>
              <w:pStyle w:val="BodyText"/>
              <w:numPr>
                <w:ilvl w:val="0"/>
                <w:numId w:val="18"/>
              </w:numPr>
              <w:ind w:left="360"/>
              <w:rPr>
                <w:sz w:val="20"/>
                <w:szCs w:val="20"/>
                <w:rtl/>
                <w:lang w:bidi="ar-LB"/>
              </w:rPr>
            </w:pPr>
            <w:r w:rsidRPr="009204EA">
              <w:rPr>
                <w:sz w:val="20"/>
                <w:szCs w:val="20"/>
                <w:rtl/>
                <w:lang w:bidi="ar-LB"/>
              </w:rPr>
              <w:t>يوفر افتراضًا قويًا فيما يتعلق بنسبة المصنف إلى المؤلف، إذ يطلب من الشخص الذي يعارض هذا الافتراض إثبات العكس (في أنظمة القانون العام، سيكون هذا الأمر مدرجا في قائمة الاحتمالات).</w:t>
            </w:r>
          </w:p>
          <w:p w14:paraId="3618F9C5" w14:textId="77777777" w:rsidR="008D64F9" w:rsidRPr="009204EA" w:rsidRDefault="008D64F9">
            <w:pPr>
              <w:pStyle w:val="BodyText"/>
              <w:numPr>
                <w:ilvl w:val="0"/>
                <w:numId w:val="18"/>
              </w:numPr>
              <w:ind w:left="360"/>
              <w:rPr>
                <w:sz w:val="20"/>
                <w:szCs w:val="20"/>
                <w:rtl/>
                <w:lang w:bidi="ar-LB"/>
              </w:rPr>
            </w:pPr>
            <w:r w:rsidRPr="009204EA">
              <w:rPr>
                <w:sz w:val="20"/>
                <w:szCs w:val="20"/>
                <w:rtl/>
                <w:lang w:bidi="ar-LB"/>
              </w:rPr>
              <w:t>يتناول أيضًا مسألة المصنفات المشتركة التأليف.</w:t>
            </w:r>
          </w:p>
        </w:tc>
      </w:tr>
      <w:tr w:rsidR="008D64F9" w:rsidRPr="008D64F9" w14:paraId="1EC71C7A" w14:textId="77777777" w:rsidTr="00101B5A">
        <w:tc>
          <w:tcPr>
            <w:tcW w:w="2470" w:type="dxa"/>
          </w:tcPr>
          <w:p w14:paraId="7478A689" w14:textId="77777777" w:rsidR="008D64F9" w:rsidRPr="009204EA" w:rsidRDefault="008D64F9" w:rsidP="009204EA">
            <w:pPr>
              <w:pStyle w:val="BodyText"/>
              <w:rPr>
                <w:sz w:val="20"/>
                <w:szCs w:val="20"/>
                <w:rtl/>
                <w:lang w:bidi="ar-LB"/>
              </w:rPr>
            </w:pPr>
            <w:r w:rsidRPr="009204EA">
              <w:rPr>
                <w:sz w:val="20"/>
                <w:szCs w:val="20"/>
                <w:rtl/>
                <w:lang w:bidi="ar-LB"/>
              </w:rPr>
              <w:t>افتراضات أضعف فيما يتعلق بنسبة المصنف إلى المؤلف</w:t>
            </w:r>
            <w:r w:rsidRPr="009204EA">
              <w:rPr>
                <w:sz w:val="20"/>
                <w:szCs w:val="20"/>
                <w:lang w:val="en-AU"/>
              </w:rPr>
              <w:t xml:space="preserve"> </w:t>
            </w:r>
          </w:p>
        </w:tc>
        <w:tc>
          <w:tcPr>
            <w:tcW w:w="3296" w:type="dxa"/>
          </w:tcPr>
          <w:p w14:paraId="5399D260" w14:textId="77777777" w:rsidR="008D64F9" w:rsidRPr="009204EA" w:rsidRDefault="008D64F9" w:rsidP="009204EA">
            <w:pPr>
              <w:pStyle w:val="BodyText"/>
              <w:rPr>
                <w:sz w:val="20"/>
                <w:szCs w:val="20"/>
                <w:rtl/>
                <w:lang w:bidi="ar-LB"/>
              </w:rPr>
            </w:pPr>
            <w:r w:rsidRPr="009204EA">
              <w:rPr>
                <w:sz w:val="20"/>
                <w:szCs w:val="20"/>
                <w:rtl/>
                <w:lang w:bidi="ar-LB"/>
              </w:rPr>
              <w:t>إذا ظهرت على المصنف الفني [أو المخطوطة] علامة أو اسم لتحديد أن الشخص المذكور اسمه أو الذي تشير العلامة اليه هو مؤلف هذا المصنف الفني، فإن وجود العلامة أو الاسم يعتبر دليلاً أولياً لأغراض هذا القانون على أن:</w:t>
            </w:r>
          </w:p>
          <w:p w14:paraId="4F288969" w14:textId="77777777" w:rsidR="008D64F9" w:rsidRPr="009204EA" w:rsidRDefault="008D64F9" w:rsidP="009204EA">
            <w:pPr>
              <w:pStyle w:val="BodyText"/>
              <w:rPr>
                <w:sz w:val="20"/>
                <w:szCs w:val="20"/>
                <w:rtl/>
                <w:lang w:bidi="ar-LB"/>
              </w:rPr>
            </w:pPr>
            <w:r w:rsidRPr="009204EA">
              <w:rPr>
                <w:sz w:val="20"/>
                <w:szCs w:val="20"/>
                <w:rtl/>
                <w:lang w:bidi="ar-LB"/>
              </w:rPr>
              <w:t>(أ) - في حالة عدم وجود علامة أو اسم آخر على المصنف الفني [أو المخطوطة] - الشخص هو مؤلف المصنف الفني [أو المخطوطة]؛ و</w:t>
            </w:r>
          </w:p>
          <w:p w14:paraId="612C677F" w14:textId="77777777" w:rsidR="008D64F9" w:rsidRPr="009204EA" w:rsidRDefault="008D64F9" w:rsidP="009204EA">
            <w:pPr>
              <w:pStyle w:val="BodyText"/>
              <w:rPr>
                <w:sz w:val="20"/>
                <w:szCs w:val="20"/>
                <w:rtl/>
                <w:lang w:bidi="ar-LB"/>
              </w:rPr>
            </w:pPr>
            <w:r w:rsidRPr="009204EA">
              <w:rPr>
                <w:sz w:val="20"/>
                <w:szCs w:val="20"/>
                <w:rtl/>
                <w:lang w:bidi="ar-LB"/>
              </w:rPr>
              <w:t>(ب) - في حالة وجود علامة أو اسم آخر على المصنف الفني [أو المخطوطة] - الشخص هو أحد مؤلفي المصنف الفني [أو المخطوطة].</w:t>
            </w:r>
            <w:r w:rsidRPr="009204EA">
              <w:rPr>
                <w:sz w:val="20"/>
                <w:szCs w:val="20"/>
                <w:vertAlign w:val="superscript"/>
                <w:lang w:val="en-AU"/>
              </w:rPr>
              <w:footnoteReference w:id="127"/>
            </w:r>
          </w:p>
        </w:tc>
        <w:tc>
          <w:tcPr>
            <w:tcW w:w="2884" w:type="dxa"/>
          </w:tcPr>
          <w:p w14:paraId="7F8B519E" w14:textId="77777777" w:rsidR="008D64F9" w:rsidRPr="009204EA" w:rsidRDefault="008D64F9">
            <w:pPr>
              <w:pStyle w:val="BodyText"/>
              <w:numPr>
                <w:ilvl w:val="0"/>
                <w:numId w:val="18"/>
              </w:numPr>
              <w:ind w:left="360"/>
              <w:rPr>
                <w:sz w:val="20"/>
                <w:szCs w:val="20"/>
                <w:rtl/>
                <w:lang w:bidi="ar-LB"/>
              </w:rPr>
            </w:pPr>
            <w:r w:rsidRPr="009204EA">
              <w:rPr>
                <w:sz w:val="20"/>
                <w:szCs w:val="20"/>
                <w:rtl/>
                <w:lang w:bidi="ar-LB"/>
              </w:rPr>
              <w:t>من الأسهل التخلي عن الافتراض الأولي من ضرورة إثبات العكس.</w:t>
            </w:r>
          </w:p>
        </w:tc>
      </w:tr>
    </w:tbl>
    <w:p w14:paraId="743AE5AD" w14:textId="77777777" w:rsidR="008D64F9" w:rsidRPr="00803410" w:rsidRDefault="008D64F9" w:rsidP="00534856">
      <w:pPr>
        <w:pStyle w:val="Heading2"/>
        <w:rPr>
          <w:b/>
          <w:bCs w:val="0"/>
          <w:i w:val="0"/>
          <w:iCs/>
          <w:sz w:val="24"/>
          <w:szCs w:val="24"/>
          <w:rtl/>
        </w:rPr>
      </w:pPr>
      <w:r w:rsidRPr="00803410">
        <w:rPr>
          <w:b/>
          <w:bCs w:val="0"/>
          <w:i w:val="0"/>
          <w:iCs/>
          <w:sz w:val="24"/>
          <w:szCs w:val="24"/>
          <w:rtl/>
        </w:rPr>
        <w:t>الحق في طلب المعلومات</w:t>
      </w:r>
    </w:p>
    <w:p w14:paraId="128A04A7" w14:textId="77777777" w:rsidR="008D64F9" w:rsidRPr="008D64F9" w:rsidRDefault="008D64F9" w:rsidP="009204EA">
      <w:pPr>
        <w:pStyle w:val="ONUMA"/>
        <w:rPr>
          <w:rtl/>
          <w:lang w:bidi="ar-LB"/>
        </w:rPr>
      </w:pPr>
      <w:r w:rsidRPr="008D64F9">
        <w:rPr>
          <w:rtl/>
          <w:lang w:bidi="ar-LB"/>
        </w:rPr>
        <w:t>إن الحصول على المعلومات في الوقت المناسب بشأن حدوث عمليات إعادة بيع المصنفات أمر بالغ الأهمية لتطبيق أي مخطط لحق التتبع، ومن المفيد أيضا وجود آلية تسمح بالحصول على مثل هذه المعلومات من الجهات المتخصصة في سوق المصنفات الفنية وغيرهم من الوسطاء بناءً على طلب المؤلف أو منظمة الإدارة الجماعية المعينة رسميا.</w:t>
      </w:r>
      <w:r w:rsidRPr="008D64F9">
        <w:rPr>
          <w:lang w:val="en-AU"/>
        </w:rPr>
        <w:t xml:space="preserve"> </w:t>
      </w:r>
    </w:p>
    <w:p w14:paraId="01EA8526" w14:textId="77777777" w:rsidR="008D64F9" w:rsidRPr="008D64F9" w:rsidRDefault="008D64F9" w:rsidP="009204EA">
      <w:pPr>
        <w:pStyle w:val="ONUMA"/>
        <w:rPr>
          <w:rtl/>
          <w:lang w:bidi="ar-LB"/>
        </w:rPr>
      </w:pPr>
      <w:r w:rsidRPr="008D64F9">
        <w:rPr>
          <w:lang w:val="en-AU"/>
        </w:rPr>
        <w:t xml:space="preserve"> </w:t>
      </w:r>
      <w:r w:rsidRPr="008D64F9">
        <w:rPr>
          <w:rtl/>
          <w:lang w:bidi="ar-LB"/>
        </w:rPr>
        <w:t>ويتضمن الجدول التالي بعض الأحكام النموذجية، ولكن قد يكون من الأنسب توفير إرشادات أكثر تفصيلاً من خلال التشريعات الثانوية (اللوائح والمراسيم وما إلى ذلك).</w:t>
      </w:r>
      <w:r w:rsidRPr="008D64F9">
        <w:rPr>
          <w:lang w:val="en-AU"/>
        </w:rPr>
        <w:t xml:space="preserve"> </w:t>
      </w:r>
      <w:r w:rsidRPr="008D64F9">
        <w:rPr>
          <w:rtl/>
          <w:lang w:bidi="ar-LB"/>
        </w:rPr>
        <w:t>وبناء على ذلك، فإننا نقترح أدناه أحكاما لاستخدامها ضمن اللوائح.</w:t>
      </w:r>
    </w:p>
    <w:p w14:paraId="0E50E03A" w14:textId="77777777" w:rsidR="008D64F9" w:rsidRPr="009204EA" w:rsidRDefault="008D64F9" w:rsidP="009204EA">
      <w:pPr>
        <w:pStyle w:val="ONUMA"/>
        <w:rPr>
          <w:lang w:bidi="ar-LB"/>
        </w:rPr>
      </w:pPr>
      <w:r w:rsidRPr="008D64F9">
        <w:rPr>
          <w:rtl/>
          <w:lang w:bidi="ar-LB"/>
        </w:rPr>
        <w:lastRenderedPageBreak/>
        <w:t>سيتم مناقشة الجوانب التشغيلية الأكثر أهمية لمخططات حق التتبع والتي تنشأ عندما تتولى منظمات الإدارة الجماعية إدارة حق التتبع في الجزء الثاني من مجموعة الأدوات هذه، وخاصة في الفقرة 42 وما يليها.</w:t>
      </w:r>
      <w:r w:rsidRPr="008D64F9">
        <w:rPr>
          <w:lang w:val="en-AU"/>
        </w:rPr>
        <w:t xml:space="preserve"> </w:t>
      </w:r>
    </w:p>
    <w:p w14:paraId="33738B74" w14:textId="77777777" w:rsidR="008D64F9" w:rsidRPr="008D64F9" w:rsidRDefault="008D64F9" w:rsidP="009204EA">
      <w:pPr>
        <w:spacing w:after="240"/>
        <w:rPr>
          <w:rFonts w:asciiTheme="minorHAnsi" w:hAnsiTheme="minorHAnsi" w:cstheme="minorHAnsi"/>
          <w:bCs/>
          <w:rtl/>
          <w:lang w:bidi="ar-LB"/>
        </w:rPr>
      </w:pPr>
      <w:r w:rsidRPr="008D64F9">
        <w:rPr>
          <w:rFonts w:asciiTheme="minorHAnsi" w:hAnsiTheme="minorHAnsi" w:cstheme="minorHAnsi"/>
          <w:bCs/>
          <w:rtl/>
          <w:lang w:bidi="ar-LB"/>
        </w:rPr>
        <w:t>الجدول 17</w:t>
      </w:r>
    </w:p>
    <w:tbl>
      <w:tblPr>
        <w:tblStyle w:val="TableGrid"/>
        <w:bidiVisual/>
        <w:tblW w:w="0" w:type="auto"/>
        <w:tblInd w:w="360" w:type="dxa"/>
        <w:tblLook w:val="04A0" w:firstRow="1" w:lastRow="0" w:firstColumn="1" w:lastColumn="0" w:noHBand="0" w:noVBand="1"/>
      </w:tblPr>
      <w:tblGrid>
        <w:gridCol w:w="1969"/>
        <w:gridCol w:w="3498"/>
        <w:gridCol w:w="3518"/>
      </w:tblGrid>
      <w:tr w:rsidR="008D64F9" w:rsidRPr="009204EA" w14:paraId="6D96BD22" w14:textId="77777777" w:rsidTr="00101B5A">
        <w:tc>
          <w:tcPr>
            <w:tcW w:w="1969" w:type="dxa"/>
          </w:tcPr>
          <w:p w14:paraId="57478362" w14:textId="77777777" w:rsidR="008D64F9" w:rsidRPr="009204EA" w:rsidRDefault="008D64F9" w:rsidP="009204EA">
            <w:pPr>
              <w:pStyle w:val="BodyText"/>
              <w:rPr>
                <w:b/>
                <w:bCs/>
                <w:sz w:val="20"/>
                <w:szCs w:val="20"/>
                <w:rtl/>
                <w:lang w:bidi="ar-LB"/>
              </w:rPr>
            </w:pPr>
            <w:r w:rsidRPr="009204EA">
              <w:rPr>
                <w:b/>
                <w:bCs/>
                <w:sz w:val="20"/>
                <w:szCs w:val="20"/>
                <w:rtl/>
                <w:lang w:bidi="ar-LB"/>
              </w:rPr>
              <w:t>نوع الحكم</w:t>
            </w:r>
          </w:p>
        </w:tc>
        <w:tc>
          <w:tcPr>
            <w:tcW w:w="3498" w:type="dxa"/>
          </w:tcPr>
          <w:p w14:paraId="6D883A37" w14:textId="77777777" w:rsidR="008D64F9" w:rsidRPr="009204EA" w:rsidRDefault="008D64F9" w:rsidP="009204EA">
            <w:pPr>
              <w:pStyle w:val="BodyText"/>
              <w:rPr>
                <w:b/>
                <w:bCs/>
                <w:sz w:val="20"/>
                <w:szCs w:val="20"/>
                <w:rtl/>
                <w:lang w:bidi="ar-LB"/>
              </w:rPr>
            </w:pPr>
            <w:r w:rsidRPr="009204EA">
              <w:rPr>
                <w:b/>
                <w:bCs/>
                <w:sz w:val="20"/>
                <w:szCs w:val="20"/>
                <w:rtl/>
                <w:lang w:bidi="ar-LB"/>
              </w:rPr>
              <w:t>النص المقترح</w:t>
            </w:r>
          </w:p>
        </w:tc>
        <w:tc>
          <w:tcPr>
            <w:tcW w:w="3518" w:type="dxa"/>
          </w:tcPr>
          <w:p w14:paraId="1E2E343D" w14:textId="77777777" w:rsidR="008D64F9" w:rsidRPr="009204EA" w:rsidRDefault="008D64F9" w:rsidP="009204EA">
            <w:pPr>
              <w:pStyle w:val="BodyText"/>
              <w:rPr>
                <w:b/>
                <w:bCs/>
                <w:sz w:val="20"/>
                <w:szCs w:val="20"/>
                <w:rtl/>
                <w:lang w:bidi="ar-LB"/>
              </w:rPr>
            </w:pPr>
            <w:r w:rsidRPr="009204EA">
              <w:rPr>
                <w:b/>
                <w:bCs/>
                <w:sz w:val="20"/>
                <w:szCs w:val="20"/>
                <w:rtl/>
                <w:lang w:bidi="ar-LB"/>
              </w:rPr>
              <w:t>تعليقات/ملاحظات</w:t>
            </w:r>
          </w:p>
        </w:tc>
      </w:tr>
      <w:tr w:rsidR="008D64F9" w:rsidRPr="009204EA" w14:paraId="084039DF" w14:textId="77777777" w:rsidTr="00101B5A">
        <w:tc>
          <w:tcPr>
            <w:tcW w:w="1969" w:type="dxa"/>
          </w:tcPr>
          <w:p w14:paraId="4AE2AB4D" w14:textId="77777777" w:rsidR="008D64F9" w:rsidRPr="009204EA" w:rsidRDefault="008D64F9" w:rsidP="009204EA">
            <w:pPr>
              <w:pStyle w:val="BodyText"/>
              <w:rPr>
                <w:sz w:val="20"/>
                <w:szCs w:val="20"/>
                <w:rtl/>
                <w:lang w:bidi="ar-LB"/>
              </w:rPr>
            </w:pPr>
            <w:r w:rsidRPr="009204EA">
              <w:rPr>
                <w:sz w:val="20"/>
                <w:szCs w:val="20"/>
                <w:rtl/>
                <w:lang w:bidi="ar-LB"/>
              </w:rPr>
              <w:t>حكم بسيط (المفوضية الأوروبية)</w:t>
            </w:r>
          </w:p>
        </w:tc>
        <w:tc>
          <w:tcPr>
            <w:tcW w:w="3498" w:type="dxa"/>
          </w:tcPr>
          <w:p w14:paraId="74D27CD1" w14:textId="77777777" w:rsidR="008D64F9" w:rsidRPr="009204EA" w:rsidRDefault="008D64F9" w:rsidP="009204EA">
            <w:pPr>
              <w:pStyle w:val="BodyText"/>
              <w:rPr>
                <w:sz w:val="20"/>
                <w:szCs w:val="20"/>
                <w:rtl/>
                <w:lang w:bidi="ar-LB"/>
              </w:rPr>
            </w:pPr>
            <w:r w:rsidRPr="009204EA">
              <w:rPr>
                <w:sz w:val="20"/>
                <w:szCs w:val="20"/>
                <w:rtl/>
                <w:lang w:bidi="ar-LB"/>
              </w:rPr>
              <w:t>المادة 9</w:t>
            </w:r>
          </w:p>
          <w:p w14:paraId="4A0B4195" w14:textId="77777777" w:rsidR="008D64F9" w:rsidRPr="009204EA" w:rsidRDefault="008D64F9" w:rsidP="009204EA">
            <w:pPr>
              <w:pStyle w:val="BodyText"/>
              <w:rPr>
                <w:sz w:val="20"/>
                <w:szCs w:val="20"/>
                <w:rtl/>
                <w:lang w:bidi="ar-LB"/>
              </w:rPr>
            </w:pPr>
            <w:r w:rsidRPr="009204EA">
              <w:rPr>
                <w:sz w:val="20"/>
                <w:szCs w:val="20"/>
                <w:rtl/>
                <w:lang w:bidi="ar-LB"/>
              </w:rPr>
              <w:t>الحق في طلب المعلومات</w:t>
            </w:r>
            <w:r w:rsidRPr="009204EA">
              <w:rPr>
                <w:sz w:val="20"/>
                <w:szCs w:val="20"/>
              </w:rPr>
              <w:t xml:space="preserve"> </w:t>
            </w:r>
          </w:p>
          <w:p w14:paraId="2CDFBB16" w14:textId="77777777" w:rsidR="008D64F9" w:rsidRPr="009204EA" w:rsidRDefault="008D64F9" w:rsidP="009204EA">
            <w:pPr>
              <w:pStyle w:val="BodyText"/>
              <w:rPr>
                <w:sz w:val="20"/>
                <w:szCs w:val="20"/>
                <w:rtl/>
                <w:lang w:bidi="ar-LB"/>
              </w:rPr>
            </w:pPr>
            <w:r w:rsidRPr="009204EA">
              <w:rPr>
                <w:sz w:val="20"/>
                <w:szCs w:val="20"/>
                <w:rtl/>
                <w:lang w:bidi="ar-LB"/>
              </w:rPr>
              <w:t>تنص الدول الأعضاء على أنه لمدة ثلاث سنوات بعد إعادة البيع، يجوز للأشخاص المخولين بموجب المادة 6 أن يطلبوا من أي جهة متخصصة في سوق المصنفات الفنية مذكورة في المادة 1(2) تقديم أي معلومات قد تكون ضرورية من أجل تأمين دفع الإتاوات المرتبطة بعملية إعادة البيع.</w:t>
            </w:r>
            <w:r w:rsidRPr="009204EA">
              <w:rPr>
                <w:sz w:val="20"/>
                <w:szCs w:val="20"/>
                <w:vertAlign w:val="superscript"/>
                <w:lang w:val="en-GB"/>
              </w:rPr>
              <w:footnoteReference w:id="128"/>
            </w:r>
          </w:p>
          <w:p w14:paraId="1E18F92F" w14:textId="77777777" w:rsidR="008D64F9" w:rsidRPr="009204EA" w:rsidRDefault="008D64F9" w:rsidP="009204EA">
            <w:pPr>
              <w:pStyle w:val="BodyText"/>
              <w:rPr>
                <w:sz w:val="20"/>
                <w:szCs w:val="20"/>
                <w:rtl/>
                <w:lang w:bidi="ar-LB"/>
              </w:rPr>
            </w:pPr>
            <w:r w:rsidRPr="009204EA">
              <w:rPr>
                <w:sz w:val="20"/>
                <w:szCs w:val="20"/>
                <w:rtl/>
                <w:lang w:bidi="ar-LB"/>
              </w:rPr>
              <w:t>(2) يجوز إصدار لوائح/مراسيم/توجيهات تحدد بمزيد من التفصيل المسائل المشار إليها في (1).</w:t>
            </w:r>
            <w:r w:rsidRPr="009204EA">
              <w:rPr>
                <w:sz w:val="20"/>
                <w:szCs w:val="20"/>
              </w:rPr>
              <w:t xml:space="preserve"> </w:t>
            </w:r>
          </w:p>
        </w:tc>
        <w:tc>
          <w:tcPr>
            <w:tcW w:w="3518" w:type="dxa"/>
          </w:tcPr>
          <w:p w14:paraId="3F1C50C6" w14:textId="77777777" w:rsidR="008D64F9" w:rsidRPr="009204EA" w:rsidRDefault="008D64F9">
            <w:pPr>
              <w:pStyle w:val="BodyText"/>
              <w:numPr>
                <w:ilvl w:val="0"/>
                <w:numId w:val="18"/>
              </w:numPr>
              <w:ind w:left="360"/>
              <w:rPr>
                <w:sz w:val="20"/>
                <w:szCs w:val="20"/>
                <w:rtl/>
                <w:lang w:bidi="ar-LB"/>
              </w:rPr>
            </w:pPr>
            <w:r w:rsidRPr="009204EA">
              <w:rPr>
                <w:sz w:val="20"/>
                <w:szCs w:val="20"/>
                <w:rtl/>
                <w:lang w:bidi="ar-LB"/>
              </w:rPr>
              <w:t>ينص على الحق الأساسي</w:t>
            </w:r>
            <w:r w:rsidRPr="009204EA">
              <w:rPr>
                <w:rFonts w:hint="cs"/>
                <w:sz w:val="20"/>
                <w:szCs w:val="20"/>
                <w:rtl/>
                <w:lang w:bidi="ar-LB"/>
              </w:rPr>
              <w:t xml:space="preserve"> ل</w:t>
            </w:r>
            <w:r w:rsidRPr="009204EA">
              <w:rPr>
                <w:sz w:val="20"/>
                <w:szCs w:val="20"/>
                <w:rtl/>
                <w:lang w:bidi="ar-LB"/>
              </w:rPr>
              <w:t xml:space="preserve">لأشخاص الذين يحق لهم الحصول </w:t>
            </w:r>
            <w:r w:rsidRPr="009204EA">
              <w:rPr>
                <w:rFonts w:hint="cs"/>
                <w:sz w:val="20"/>
                <w:szCs w:val="20"/>
                <w:rtl/>
                <w:lang w:bidi="ar-LB"/>
              </w:rPr>
              <w:t xml:space="preserve">على </w:t>
            </w:r>
            <w:r w:rsidRPr="009204EA">
              <w:rPr>
                <w:sz w:val="20"/>
                <w:szCs w:val="20"/>
                <w:rtl/>
                <w:lang w:bidi="ar-LB"/>
              </w:rPr>
              <w:t>إتاوة حق التتبع في تلقي المعلومات ولكنه لا يحدد نوع المعلومات التي يمكن البحث عنها.</w:t>
            </w:r>
            <w:r w:rsidRPr="009204EA">
              <w:rPr>
                <w:sz w:val="20"/>
                <w:szCs w:val="20"/>
                <w:lang w:val="en-AU"/>
              </w:rPr>
              <w:t xml:space="preserve"> </w:t>
            </w:r>
          </w:p>
          <w:p w14:paraId="3C538775" w14:textId="77777777" w:rsidR="008D64F9" w:rsidRPr="009204EA" w:rsidRDefault="008D64F9">
            <w:pPr>
              <w:pStyle w:val="BodyText"/>
              <w:numPr>
                <w:ilvl w:val="0"/>
                <w:numId w:val="18"/>
              </w:numPr>
              <w:ind w:left="360"/>
              <w:rPr>
                <w:sz w:val="20"/>
                <w:szCs w:val="20"/>
                <w:rtl/>
                <w:lang w:bidi="ar-LB"/>
              </w:rPr>
            </w:pPr>
            <w:r w:rsidRPr="009204EA">
              <w:rPr>
                <w:sz w:val="20"/>
                <w:szCs w:val="20"/>
                <w:rtl/>
                <w:lang w:bidi="ar-LB"/>
              </w:rPr>
              <w:t>"الأشخاص ال</w:t>
            </w:r>
            <w:r w:rsidRPr="009204EA">
              <w:rPr>
                <w:rFonts w:hint="cs"/>
                <w:sz w:val="20"/>
                <w:szCs w:val="20"/>
                <w:rtl/>
                <w:lang w:bidi="ar-LB"/>
              </w:rPr>
              <w:t>مست</w:t>
            </w:r>
            <w:r w:rsidRPr="009204EA">
              <w:rPr>
                <w:sz w:val="20"/>
                <w:szCs w:val="20"/>
                <w:rtl/>
                <w:lang w:bidi="ar-LB"/>
              </w:rPr>
              <w:t>حق</w:t>
            </w:r>
            <w:r w:rsidRPr="009204EA">
              <w:rPr>
                <w:rFonts w:hint="cs"/>
                <w:sz w:val="20"/>
                <w:szCs w:val="20"/>
                <w:rtl/>
                <w:lang w:bidi="ar-LB"/>
              </w:rPr>
              <w:t>ين</w:t>
            </w:r>
            <w:r w:rsidRPr="009204EA">
              <w:rPr>
                <w:sz w:val="20"/>
                <w:szCs w:val="20"/>
                <w:rtl/>
                <w:lang w:bidi="ar-LB"/>
              </w:rPr>
              <w:t xml:space="preserve"> </w:t>
            </w:r>
            <w:r w:rsidRPr="009204EA">
              <w:rPr>
                <w:rFonts w:hint="cs"/>
                <w:sz w:val="20"/>
                <w:szCs w:val="20"/>
                <w:rtl/>
                <w:lang w:bidi="ar-LB"/>
              </w:rPr>
              <w:t>بموجب المادة 6"</w:t>
            </w:r>
            <w:r w:rsidRPr="009204EA">
              <w:rPr>
                <w:sz w:val="20"/>
                <w:szCs w:val="20"/>
                <w:rtl/>
                <w:lang w:bidi="ar-LB"/>
              </w:rPr>
              <w:t xml:space="preserve"> يغطي هذا النص الحالات التي يكون فيها هذا الشخص منظمة إدارة جماعية</w:t>
            </w:r>
            <w:r w:rsidRPr="009204EA">
              <w:rPr>
                <w:rFonts w:hint="cs"/>
                <w:sz w:val="20"/>
                <w:szCs w:val="20"/>
                <w:rtl/>
                <w:lang w:bidi="ar-LB"/>
              </w:rPr>
              <w:t xml:space="preserve"> ت</w:t>
            </w:r>
            <w:r w:rsidRPr="009204EA">
              <w:rPr>
                <w:sz w:val="20"/>
                <w:szCs w:val="20"/>
                <w:rtl/>
                <w:lang w:bidi="ar-LB"/>
              </w:rPr>
              <w:t>د</w:t>
            </w:r>
            <w:r w:rsidRPr="009204EA">
              <w:rPr>
                <w:rFonts w:hint="cs"/>
                <w:sz w:val="20"/>
                <w:szCs w:val="20"/>
                <w:rtl/>
                <w:lang w:bidi="ar-LB"/>
              </w:rPr>
              <w:t>ي</w:t>
            </w:r>
            <w:r w:rsidRPr="009204EA">
              <w:rPr>
                <w:sz w:val="20"/>
                <w:szCs w:val="20"/>
                <w:rtl/>
                <w:lang w:bidi="ar-LB"/>
              </w:rPr>
              <w:t>ر حق التتبع</w:t>
            </w:r>
            <w:r w:rsidRPr="009204EA">
              <w:rPr>
                <w:rFonts w:hint="cs"/>
                <w:sz w:val="20"/>
                <w:szCs w:val="20"/>
                <w:rtl/>
                <w:lang w:bidi="ar-LB"/>
              </w:rPr>
              <w:t xml:space="preserve"> </w:t>
            </w:r>
            <w:r w:rsidRPr="009204EA">
              <w:rPr>
                <w:sz w:val="20"/>
                <w:szCs w:val="20"/>
                <w:rtl/>
                <w:lang w:bidi="ar-LB"/>
              </w:rPr>
              <w:t>بالنيابة عن الشخص المستحق.</w:t>
            </w:r>
          </w:p>
          <w:p w14:paraId="6B8070F0" w14:textId="77777777" w:rsidR="008D64F9" w:rsidRPr="009204EA" w:rsidRDefault="008D64F9">
            <w:pPr>
              <w:pStyle w:val="BodyText"/>
              <w:numPr>
                <w:ilvl w:val="0"/>
                <w:numId w:val="18"/>
              </w:numPr>
              <w:ind w:left="360"/>
              <w:rPr>
                <w:sz w:val="20"/>
                <w:szCs w:val="20"/>
                <w:rtl/>
                <w:lang w:bidi="ar-LB"/>
              </w:rPr>
            </w:pPr>
            <w:r w:rsidRPr="009204EA">
              <w:rPr>
                <w:sz w:val="20"/>
                <w:szCs w:val="20"/>
                <w:rtl/>
                <w:lang w:bidi="ar-LB"/>
              </w:rPr>
              <w:t>إن التنفيذ الفعال لمثل هذا الحكم قد يستدعي مزيدًا من الارشادات من خلال اللوائح أو التوجيهات الإدارية (وذلك وفقًا للنظام القانوني الخاص بالبلد الذي يُشرع مخطط حق التتبع).</w:t>
            </w:r>
            <w:r w:rsidRPr="009204EA">
              <w:rPr>
                <w:sz w:val="20"/>
                <w:szCs w:val="20"/>
                <w:lang w:val="en-AU"/>
              </w:rPr>
              <w:t xml:space="preserve"> </w:t>
            </w:r>
            <w:r w:rsidRPr="009204EA">
              <w:rPr>
                <w:sz w:val="20"/>
                <w:szCs w:val="20"/>
                <w:rtl/>
                <w:lang w:bidi="ar-LB"/>
              </w:rPr>
              <w:t>ويمكن اقتراح مسودة حكم لهذا الغرض وفقا للنص التالي (إضافة فقرة جديدة إلى الحكم في العمود 2</w:t>
            </w:r>
            <w:r w:rsidRPr="009204EA">
              <w:rPr>
                <w:rFonts w:hint="cs"/>
                <w:sz w:val="20"/>
                <w:szCs w:val="20"/>
                <w:rtl/>
                <w:lang w:bidi="ar-LB"/>
              </w:rPr>
              <w:t>).</w:t>
            </w:r>
          </w:p>
          <w:p w14:paraId="3979946F" w14:textId="77777777" w:rsidR="008D64F9" w:rsidRPr="009204EA" w:rsidRDefault="008D64F9">
            <w:pPr>
              <w:pStyle w:val="BodyText"/>
              <w:numPr>
                <w:ilvl w:val="0"/>
                <w:numId w:val="18"/>
              </w:numPr>
              <w:ind w:left="360"/>
              <w:rPr>
                <w:sz w:val="20"/>
                <w:szCs w:val="20"/>
                <w:rtl/>
                <w:lang w:bidi="ar-LB"/>
              </w:rPr>
            </w:pPr>
            <w:r w:rsidRPr="009204EA">
              <w:rPr>
                <w:sz w:val="20"/>
                <w:szCs w:val="20"/>
                <w:rtl/>
                <w:lang w:bidi="ar-LB"/>
              </w:rPr>
              <w:t>ويمكن أن تحدد مثل هذه اللوائح/المراسيم/التوجيهات بمزيد من التفصيل الجوانب التشغيلية لمنظمات الإدارة الجماعية، بما في ذلك أي صلاحيات إضافية لطلب المعلومات من السلطات الأخرى، فضلا عن تحديد العقوبات المدنية أو الجنائية في حالة عدم الامتثال.</w:t>
            </w:r>
            <w:r w:rsidRPr="009204EA">
              <w:rPr>
                <w:sz w:val="20"/>
                <w:szCs w:val="20"/>
                <w:lang w:val="en-AU"/>
              </w:rPr>
              <w:t xml:space="preserve"> </w:t>
            </w:r>
          </w:p>
        </w:tc>
      </w:tr>
      <w:tr w:rsidR="008D64F9" w:rsidRPr="009204EA" w14:paraId="34F43FD3" w14:textId="77777777" w:rsidTr="00101B5A">
        <w:tc>
          <w:tcPr>
            <w:tcW w:w="1969" w:type="dxa"/>
          </w:tcPr>
          <w:p w14:paraId="22F8E7CC" w14:textId="77777777" w:rsidR="008D64F9" w:rsidRPr="009204EA" w:rsidRDefault="008D64F9" w:rsidP="009204EA">
            <w:pPr>
              <w:pStyle w:val="BodyText"/>
              <w:rPr>
                <w:sz w:val="20"/>
                <w:szCs w:val="20"/>
                <w:rtl/>
                <w:lang w:bidi="ar-LB"/>
              </w:rPr>
            </w:pPr>
            <w:r w:rsidRPr="009204EA">
              <w:rPr>
                <w:sz w:val="20"/>
                <w:szCs w:val="20"/>
                <w:rtl/>
                <w:lang w:bidi="ar-LB"/>
              </w:rPr>
              <w:t>الأحكام الواردة في القوانين الوطنية</w:t>
            </w:r>
          </w:p>
        </w:tc>
        <w:tc>
          <w:tcPr>
            <w:tcW w:w="3498" w:type="dxa"/>
          </w:tcPr>
          <w:p w14:paraId="41E13109" w14:textId="77777777" w:rsidR="008D64F9" w:rsidRPr="009204EA" w:rsidRDefault="008D64F9" w:rsidP="009204EA">
            <w:pPr>
              <w:pStyle w:val="BodyText"/>
              <w:rPr>
                <w:i/>
                <w:sz w:val="20"/>
                <w:szCs w:val="20"/>
                <w:rtl/>
                <w:lang w:bidi="ar-LB"/>
              </w:rPr>
            </w:pPr>
            <w:r w:rsidRPr="009204EA">
              <w:rPr>
                <w:i/>
                <w:sz w:val="20"/>
                <w:szCs w:val="20"/>
                <w:rtl/>
                <w:lang w:bidi="ar-LB"/>
              </w:rPr>
              <w:t>يرجى الاطلاع على الأحكام المستخرجة في الجدول رقم 23 في الجزء الثاني.</w:t>
            </w:r>
          </w:p>
          <w:p w14:paraId="7722FB63" w14:textId="77777777" w:rsidR="008D64F9" w:rsidRPr="009204EA" w:rsidRDefault="008D64F9" w:rsidP="009204EA">
            <w:pPr>
              <w:pStyle w:val="BodyText"/>
              <w:rPr>
                <w:sz w:val="20"/>
                <w:szCs w:val="20"/>
                <w:lang w:val="en-AU"/>
              </w:rPr>
            </w:pPr>
          </w:p>
        </w:tc>
        <w:tc>
          <w:tcPr>
            <w:tcW w:w="3518" w:type="dxa"/>
          </w:tcPr>
          <w:p w14:paraId="1412EBFF" w14:textId="77777777" w:rsidR="008D64F9" w:rsidRPr="009204EA" w:rsidRDefault="008D64F9" w:rsidP="009204EA">
            <w:pPr>
              <w:pStyle w:val="BodyText"/>
              <w:rPr>
                <w:sz w:val="20"/>
                <w:szCs w:val="20"/>
                <w:lang w:val="en-AU"/>
              </w:rPr>
            </w:pPr>
          </w:p>
        </w:tc>
      </w:tr>
    </w:tbl>
    <w:p w14:paraId="77241333" w14:textId="5C887A79" w:rsidR="008D64F9" w:rsidRPr="00803410" w:rsidRDefault="008D64F9" w:rsidP="00534856">
      <w:pPr>
        <w:pStyle w:val="Heading2"/>
        <w:rPr>
          <w:b/>
          <w:bCs w:val="0"/>
          <w:i w:val="0"/>
          <w:iCs/>
          <w:sz w:val="24"/>
          <w:szCs w:val="24"/>
          <w:rtl/>
        </w:rPr>
      </w:pPr>
      <w:r w:rsidRPr="00803410">
        <w:rPr>
          <w:b/>
          <w:bCs w:val="0"/>
          <w:i w:val="0"/>
          <w:iCs/>
          <w:sz w:val="24"/>
          <w:szCs w:val="24"/>
          <w:rtl/>
        </w:rPr>
        <w:t>متى ينبغي تطبيق مخطط حق التتبع والفترات الانتقالية.</w:t>
      </w:r>
    </w:p>
    <w:p w14:paraId="5966589E" w14:textId="77777777" w:rsidR="008D64F9" w:rsidRPr="008D64F9" w:rsidRDefault="008D64F9" w:rsidP="009204EA">
      <w:pPr>
        <w:pStyle w:val="ONUMA"/>
        <w:rPr>
          <w:rtl/>
          <w:lang w:bidi="ar-LB"/>
        </w:rPr>
      </w:pPr>
      <w:r w:rsidRPr="008D64F9">
        <w:rPr>
          <w:rtl/>
          <w:lang w:bidi="ar-LB"/>
        </w:rPr>
        <w:t>عند صياغة مخطط وطني جديد لحق التتبع ينبغي دراسة بعض المسائل الهامة بتأن، وبشكل خاص، الاجابة على الأسئلة التالية: هل سيتم تطبيقه بأثر رجعي لتغطية جميع المصنفات المحمية في البلد المعني قبل تاريخ اعتماده أم ينبغي أن ينطبق فقط على المصنفات التي تم إنشاؤها بعد تاريخ اعتماده؟</w:t>
      </w:r>
      <w:r w:rsidRPr="008D64F9">
        <w:rPr>
          <w:lang w:val="en-AU"/>
        </w:rPr>
        <w:t xml:space="preserve"> </w:t>
      </w:r>
      <w:r w:rsidRPr="008D64F9">
        <w:rPr>
          <w:rtl/>
          <w:lang w:bidi="ar-LB"/>
        </w:rPr>
        <w:t>إذا كان المخطط ينطبق على المصنفات المحمية بالفعل في تاريخ سريان مفعوله، فهل يجب أن ينطبق فقط على عمليات إعادة البيع التي تحدث بعد هذا التاريخ أم يجب أن ينطبق أيضا على عمليات إعادة البيع التي حدثت قبل هذا التاريخ وما هي الفترة الزمنية التي يجب أن نعود فيها إلى الوراء؟</w:t>
      </w:r>
      <w:r w:rsidRPr="008D64F9">
        <w:rPr>
          <w:lang w:val="en-AU"/>
        </w:rPr>
        <w:t xml:space="preserve"> </w:t>
      </w:r>
      <w:r w:rsidRPr="008D64F9">
        <w:rPr>
          <w:rtl/>
          <w:lang w:bidi="ar-LB"/>
        </w:rPr>
        <w:t>وهل ينبغي تحديد فترة انتقالية لا تخضع خلالها عمليات إعادة البيع لحق التتبع لأن هذا الأمر قد يؤثر بشكل سلبي على الترتيبات القائمة مع المعارض والوكلاء والجهات المعنية الأخرى؟</w:t>
      </w:r>
      <w:r w:rsidRPr="008D64F9">
        <w:rPr>
          <w:lang w:val="en-AU"/>
        </w:rPr>
        <w:t xml:space="preserve"> </w:t>
      </w:r>
      <w:r w:rsidRPr="008D64F9">
        <w:rPr>
          <w:rtl/>
          <w:lang w:bidi="ar-LB"/>
        </w:rPr>
        <w:t>وهل ينبغي تحديد فترة انتقالية لا يتم فيها تغطية المطالبات المتعلقة بإعادة بيع المصنفات التي تعود إلى ورثة المؤلفين المتوفين؟</w:t>
      </w:r>
      <w:r w:rsidRPr="008D64F9">
        <w:rPr>
          <w:lang w:val="en-AU"/>
        </w:rPr>
        <w:t xml:space="preserve"> </w:t>
      </w:r>
    </w:p>
    <w:p w14:paraId="46628874" w14:textId="77777777" w:rsidR="008D64F9" w:rsidRPr="008D64F9" w:rsidRDefault="008D64F9" w:rsidP="009204EA">
      <w:pPr>
        <w:pStyle w:val="ONUMA"/>
        <w:rPr>
          <w:rtl/>
          <w:lang w:bidi="ar-LB"/>
        </w:rPr>
      </w:pPr>
      <w:r w:rsidRPr="008D64F9">
        <w:rPr>
          <w:rtl/>
          <w:lang w:bidi="ar-LB"/>
        </w:rPr>
        <w:t>وبما أن أي مخطط مقترح لحق التتبع يجب أن يتوافق مع أحكام اتفاقية برن، فمن الضروري مراعاة المادة 18 من تلك الاتفاقية التي تنص على ما يلي:</w:t>
      </w:r>
      <w:r w:rsidRPr="008D64F9">
        <w:rPr>
          <w:lang w:val="en-AU"/>
        </w:rPr>
        <w:t xml:space="preserve"> </w:t>
      </w:r>
      <w:bookmarkStart w:id="7" w:name="P207_40951"/>
      <w:bookmarkStart w:id="8" w:name="P208_41165"/>
      <w:bookmarkStart w:id="9" w:name="P209_41505"/>
      <w:bookmarkEnd w:id="7"/>
      <w:bookmarkEnd w:id="8"/>
      <w:bookmarkEnd w:id="9"/>
    </w:p>
    <w:p w14:paraId="4D19A8ED" w14:textId="77777777" w:rsidR="008D64F9" w:rsidRPr="008D64F9" w:rsidRDefault="008D64F9" w:rsidP="003C4F15">
      <w:pPr>
        <w:pStyle w:val="BodyText"/>
        <w:ind w:left="562"/>
        <w:rPr>
          <w:rtl/>
          <w:lang w:bidi="ar-LB"/>
        </w:rPr>
      </w:pPr>
      <w:r w:rsidRPr="008D64F9">
        <w:rPr>
          <w:rtl/>
          <w:lang w:bidi="ar-LB"/>
        </w:rPr>
        <w:lastRenderedPageBreak/>
        <w:t>(1) تسري هذه الاتفاقية على جميع المصنفات التي لم تصبح، وقت دخول هذه الاتفاقية حيز التنفيذ، ملكاً عاماً في بلد المنشأ بعد انقضاء مدة الحماية.</w:t>
      </w:r>
    </w:p>
    <w:p w14:paraId="6C725D51" w14:textId="77777777" w:rsidR="008D64F9" w:rsidRPr="008D64F9" w:rsidRDefault="008D64F9" w:rsidP="003C4F15">
      <w:pPr>
        <w:pStyle w:val="BodyText"/>
        <w:ind w:left="562"/>
        <w:rPr>
          <w:rtl/>
          <w:lang w:bidi="ar-LB"/>
        </w:rPr>
      </w:pPr>
      <w:r w:rsidRPr="008D64F9">
        <w:rPr>
          <w:rtl/>
          <w:lang w:bidi="ar-LB"/>
        </w:rPr>
        <w:t>(2) ولكن، إذا أصبح العمل، نتيجة انتهاء مدة الحماية الممنوحة سابقاً، ملكاً عاماً للبلد الذي يُطلب فيه الحماية، فلا يجوز حماية هذا المصنف من جديد.</w:t>
      </w:r>
    </w:p>
    <w:p w14:paraId="7A72E8BB" w14:textId="77777777" w:rsidR="008D64F9" w:rsidRPr="008D64F9" w:rsidRDefault="008D64F9" w:rsidP="003C4F15">
      <w:pPr>
        <w:pStyle w:val="BodyText"/>
        <w:ind w:left="562"/>
        <w:rPr>
          <w:rtl/>
          <w:lang w:bidi="ar-LB"/>
        </w:rPr>
      </w:pPr>
      <w:r w:rsidRPr="008D64F9">
        <w:rPr>
          <w:rtl/>
          <w:lang w:bidi="ar-LB"/>
        </w:rPr>
        <w:t>(3) يخضع تطبيق هذا المبدأ لجميع الأحكام الواردة في الاتفاقيات الخاصة بهذا الشأن القائمة بين دول الاتحاد أو التي سيتم إبرامها فيما بينها.</w:t>
      </w:r>
      <w:r w:rsidRPr="008D64F9">
        <w:rPr>
          <w:lang w:val="en-AU"/>
        </w:rPr>
        <w:t xml:space="preserve"> </w:t>
      </w:r>
      <w:r w:rsidRPr="008D64F9">
        <w:rPr>
          <w:rtl/>
          <w:lang w:bidi="ar-LB"/>
        </w:rPr>
        <w:t>وفي حالة عدم وجود مثل هذه الأحكام، تحدد البلدان المعنية، كل فيما يخصها، شروط تطبيق هذا المبدأ.</w:t>
      </w:r>
    </w:p>
    <w:p w14:paraId="255734F6" w14:textId="70BC9FFC" w:rsidR="008D64F9" w:rsidRPr="008D64F9" w:rsidRDefault="008D64F9" w:rsidP="003C4F15">
      <w:pPr>
        <w:pStyle w:val="BodyText"/>
        <w:ind w:left="562"/>
        <w:rPr>
          <w:rtl/>
          <w:lang w:bidi="ar-LB"/>
        </w:rPr>
      </w:pPr>
      <w:r w:rsidRPr="008D64F9">
        <w:rPr>
          <w:rtl/>
          <w:lang w:bidi="ar-LB"/>
        </w:rPr>
        <w:t>(4) تسري الأحكام السابقة أيضاً في حالة انضمام دول جديدة إلى الاتحاد وفي الحالات التي يتم فيها تمديد فترة الحماية من خلال تطبيق</w:t>
      </w:r>
      <w:r w:rsidRPr="008D64F9">
        <w:rPr>
          <w:rFonts w:hint="cs"/>
          <w:rtl/>
          <w:lang w:bidi="ar-LB"/>
        </w:rPr>
        <w:t xml:space="preserve"> </w:t>
      </w:r>
      <w:hyperlink r:id="rId12" w:anchor="P127_22000" w:history="1">
        <w:r w:rsidRPr="008D64F9">
          <w:rPr>
            <w:rStyle w:val="Hyperlink"/>
            <w:rFonts w:asciiTheme="minorHAnsi" w:hAnsiTheme="minorHAnsi" w:cstheme="minorHAnsi"/>
            <w:iCs/>
            <w:rtl/>
            <w:lang w:bidi="ar-LB"/>
          </w:rPr>
          <w:t>المادة 7</w:t>
        </w:r>
      </w:hyperlink>
      <w:r w:rsidRPr="008D64F9">
        <w:rPr>
          <w:rtl/>
          <w:lang w:bidi="ar-LB"/>
        </w:rPr>
        <w:t> أو بسبب التنازل عن التحفظات.</w:t>
      </w:r>
    </w:p>
    <w:p w14:paraId="1D9791EB" w14:textId="77777777" w:rsidR="008D64F9" w:rsidRPr="008D64F9" w:rsidRDefault="008D64F9" w:rsidP="003C4F15">
      <w:pPr>
        <w:pStyle w:val="ONUMA"/>
        <w:rPr>
          <w:rtl/>
          <w:lang w:bidi="ar-LB"/>
        </w:rPr>
      </w:pPr>
      <w:r w:rsidRPr="008D64F9">
        <w:rPr>
          <w:rtl/>
          <w:lang w:bidi="ar-LB"/>
        </w:rPr>
        <w:t>وبالتالي، فإن أي حق تتبع يتم اعتماده في القانون الوطني يجب أن ينطبق على جميع المصنفات الفنية [والمخطوطات] المحمية في ذلك البلد في تاريخ سريان مفعوله - وسيكون من غير المتسق مع المادة 18(1)، على سبيل المثال، تطبيقه فقط على المصنفات التي تم إنشاؤها بعد هذا التاريخ.</w:t>
      </w:r>
      <w:r w:rsidRPr="008D64F9">
        <w:rPr>
          <w:lang w:val="en-AU"/>
        </w:rPr>
        <w:t xml:space="preserve"> </w:t>
      </w:r>
      <w:r w:rsidRPr="008D64F9">
        <w:rPr>
          <w:rtl/>
          <w:lang w:bidi="ar-LB"/>
        </w:rPr>
        <w:t>ولكن المادة 18(1) لا تنص عل تطبيق حق التتبع بأثر رجعي، أي على عمليات إعادة البيع التجاري التي حدثت قبل هذا التاريخ، حتى لو تمت هذه العمليات قبل تاريخ سريان مفعول حق التتبع بفترة قصيرة:</w:t>
      </w:r>
      <w:r w:rsidRPr="008D64F9">
        <w:rPr>
          <w:lang w:val="en-AU"/>
        </w:rPr>
        <w:t xml:space="preserve"> </w:t>
      </w:r>
      <w:r w:rsidRPr="008D64F9">
        <w:rPr>
          <w:rtl/>
          <w:lang w:bidi="ar-LB"/>
        </w:rPr>
        <w:t>لا ينطبق حق التتبع بأثر مستقبلي إلا على عمليات إعادة البيع التجاري للمصنفات المحمية بالفعل بموجب القانون الوطني.</w:t>
      </w:r>
      <w:r w:rsidRPr="008D64F9">
        <w:rPr>
          <w:lang w:val="en-AU"/>
        </w:rPr>
        <w:t xml:space="preserve"> </w:t>
      </w:r>
    </w:p>
    <w:p w14:paraId="5AC5A1F6" w14:textId="71B49812" w:rsidR="008D64F9" w:rsidRPr="008D64F9" w:rsidRDefault="008D64F9" w:rsidP="003C4F15">
      <w:pPr>
        <w:pStyle w:val="ONUMA"/>
        <w:rPr>
          <w:rtl/>
          <w:lang w:bidi="ar-LB"/>
        </w:rPr>
      </w:pPr>
      <w:r w:rsidRPr="008D64F9">
        <w:rPr>
          <w:rtl/>
          <w:lang w:bidi="ar-LB"/>
        </w:rPr>
        <w:t xml:space="preserve">وتجدر الإشارة إلى أن المادة 18(3) </w:t>
      </w:r>
      <w:r w:rsidRPr="008D64F9">
        <w:rPr>
          <w:rFonts w:hint="cs"/>
          <w:rtl/>
          <w:lang w:bidi="ar-LB"/>
        </w:rPr>
        <w:t xml:space="preserve">من اتفاقية برن </w:t>
      </w:r>
      <w:r w:rsidRPr="008D64F9">
        <w:rPr>
          <w:rtl/>
          <w:lang w:bidi="ar-LB"/>
        </w:rPr>
        <w:t>تتناول إمكانية اتخاذ ترتيبات انتقالية لتطبيق الحق الجديد، وبالتالي قد يكون من المسموح استثناء بعض عمليات إعادة البيع التجاري التي تحدث بعد تاريخ بدء سريان مفعول حق التتبع، على الرغم من أن صفة "انتقالي" تشير إلى أن هذا الأمر يجب أن يكون لفترة قصيرة نسبيًا.</w:t>
      </w:r>
      <w:r w:rsidRPr="008D64F9">
        <w:rPr>
          <w:vertAlign w:val="superscript"/>
          <w:lang w:val="en-AU"/>
        </w:rPr>
        <w:footnoteReference w:id="129"/>
      </w:r>
      <w:r w:rsidRPr="008D64F9">
        <w:rPr>
          <w:lang w:val="en-AU"/>
        </w:rPr>
        <w:t xml:space="preserve"> </w:t>
      </w:r>
      <w:r w:rsidRPr="008D64F9">
        <w:rPr>
          <w:rtl/>
          <w:lang w:bidi="ar-LB"/>
        </w:rPr>
        <w:t xml:space="preserve">وفي حالة حق التتبع، قد يكون من المعقول توفير فترة قصيرة من الوقت لأي عملية إعادة بيع تجاري تحدث بعد تاريخ سريان مفعول مخطط حق التتبع الوطني </w:t>
      </w:r>
      <w:r w:rsidR="003C4F15" w:rsidRPr="008D64F9">
        <w:rPr>
          <w:rFonts w:hint="cs"/>
          <w:rtl/>
          <w:lang w:bidi="ar-LB"/>
        </w:rPr>
        <w:t>إذا</w:t>
      </w:r>
      <w:r w:rsidRPr="008D64F9">
        <w:rPr>
          <w:rtl/>
          <w:lang w:bidi="ar-LB"/>
        </w:rPr>
        <w:t xml:space="preserve"> تم إدراج المصنف للبيع قبل هذا التاريخ.</w:t>
      </w:r>
      <w:r w:rsidRPr="008D64F9">
        <w:rPr>
          <w:lang w:val="en-AU"/>
        </w:rPr>
        <w:t xml:space="preserve"> </w:t>
      </w:r>
      <w:r w:rsidRPr="008D64F9">
        <w:rPr>
          <w:rtl/>
          <w:lang w:bidi="ar-LB"/>
        </w:rPr>
        <w:t>ويتضمن الجدول أدناه مسودة محتملة لهذا النوع من الأحكام.</w:t>
      </w:r>
      <w:r w:rsidRPr="008D64F9">
        <w:rPr>
          <w:lang w:val="en-AU"/>
        </w:rPr>
        <w:t xml:space="preserve"> </w:t>
      </w:r>
      <w:r w:rsidRPr="008D64F9">
        <w:rPr>
          <w:rtl/>
          <w:lang w:bidi="ar-LB"/>
        </w:rPr>
        <w:t xml:space="preserve">ولكن، قد يرى واضعو السياسات والمشرعون على المستوى الوطني أن النهج الأكثر بساطة هو اعتبار أن عمليات البيع التجاري </w:t>
      </w:r>
      <w:r w:rsidR="003C4F15" w:rsidRPr="008D64F9">
        <w:rPr>
          <w:rFonts w:hint="cs"/>
          <w:rtl/>
          <w:lang w:bidi="ar-LB"/>
        </w:rPr>
        <w:t>التي تخضع</w:t>
      </w:r>
      <w:r w:rsidRPr="008D64F9">
        <w:rPr>
          <w:rtl/>
          <w:lang w:bidi="ar-LB"/>
        </w:rPr>
        <w:t xml:space="preserve"> لحق التتبع هي فقط تلك التي تحدث بعد تاريخ سريان مفعول هذا الحق.  </w:t>
      </w:r>
    </w:p>
    <w:p w14:paraId="2B1CD27E" w14:textId="77777777" w:rsidR="008D64F9" w:rsidRPr="008D64F9" w:rsidRDefault="008D64F9" w:rsidP="003C4F15">
      <w:pPr>
        <w:spacing w:after="240"/>
        <w:rPr>
          <w:rFonts w:asciiTheme="minorHAnsi" w:hAnsiTheme="minorHAnsi" w:cstheme="minorHAnsi"/>
          <w:bCs/>
          <w:rtl/>
          <w:lang w:bidi="ar-LB"/>
        </w:rPr>
      </w:pPr>
      <w:r w:rsidRPr="008D64F9">
        <w:rPr>
          <w:rFonts w:asciiTheme="minorHAnsi" w:hAnsiTheme="minorHAnsi" w:cstheme="minorHAnsi"/>
          <w:bCs/>
          <w:rtl/>
          <w:lang w:bidi="ar-LB"/>
        </w:rPr>
        <w:t>الجدول 18</w:t>
      </w:r>
    </w:p>
    <w:tbl>
      <w:tblPr>
        <w:tblStyle w:val="TableGrid"/>
        <w:bidiVisual/>
        <w:tblW w:w="0" w:type="auto"/>
        <w:tblLook w:val="04A0" w:firstRow="1" w:lastRow="0" w:firstColumn="1" w:lastColumn="0" w:noHBand="0" w:noVBand="1"/>
      </w:tblPr>
      <w:tblGrid>
        <w:gridCol w:w="3003"/>
        <w:gridCol w:w="3003"/>
        <w:gridCol w:w="3004"/>
      </w:tblGrid>
      <w:tr w:rsidR="008D64F9" w:rsidRPr="003C4F15" w14:paraId="08C8A9C6" w14:textId="77777777" w:rsidTr="00101B5A">
        <w:tc>
          <w:tcPr>
            <w:tcW w:w="3003" w:type="dxa"/>
          </w:tcPr>
          <w:p w14:paraId="7A2F28AB" w14:textId="77777777" w:rsidR="008D64F9" w:rsidRPr="003C4F15" w:rsidRDefault="008D64F9" w:rsidP="003C4F15">
            <w:pPr>
              <w:pStyle w:val="BodyText"/>
              <w:rPr>
                <w:b/>
                <w:bCs/>
                <w:sz w:val="20"/>
                <w:szCs w:val="20"/>
                <w:rtl/>
                <w:lang w:bidi="ar-LB"/>
              </w:rPr>
            </w:pPr>
            <w:r w:rsidRPr="003C4F15">
              <w:rPr>
                <w:b/>
                <w:bCs/>
                <w:sz w:val="20"/>
                <w:szCs w:val="20"/>
                <w:rtl/>
                <w:lang w:bidi="ar-LB"/>
              </w:rPr>
              <w:t>نوع الحكم</w:t>
            </w:r>
          </w:p>
        </w:tc>
        <w:tc>
          <w:tcPr>
            <w:tcW w:w="3003" w:type="dxa"/>
          </w:tcPr>
          <w:p w14:paraId="7E382D44" w14:textId="77777777" w:rsidR="008D64F9" w:rsidRPr="003C4F15" w:rsidRDefault="008D64F9" w:rsidP="003C4F15">
            <w:pPr>
              <w:pStyle w:val="BodyText"/>
              <w:rPr>
                <w:b/>
                <w:bCs/>
                <w:sz w:val="20"/>
                <w:szCs w:val="20"/>
                <w:rtl/>
                <w:lang w:bidi="ar-LB"/>
              </w:rPr>
            </w:pPr>
            <w:r w:rsidRPr="003C4F15">
              <w:rPr>
                <w:b/>
                <w:bCs/>
                <w:sz w:val="20"/>
                <w:szCs w:val="20"/>
                <w:rtl/>
                <w:lang w:bidi="ar-LB"/>
              </w:rPr>
              <w:t>النص المقترح</w:t>
            </w:r>
          </w:p>
        </w:tc>
        <w:tc>
          <w:tcPr>
            <w:tcW w:w="3004" w:type="dxa"/>
          </w:tcPr>
          <w:p w14:paraId="4C2D815D" w14:textId="77777777" w:rsidR="008D64F9" w:rsidRPr="003C4F15" w:rsidRDefault="008D64F9" w:rsidP="003C4F15">
            <w:pPr>
              <w:pStyle w:val="BodyText"/>
              <w:rPr>
                <w:b/>
                <w:bCs/>
                <w:sz w:val="20"/>
                <w:szCs w:val="20"/>
                <w:rtl/>
                <w:lang w:bidi="ar-LB"/>
              </w:rPr>
            </w:pPr>
            <w:r w:rsidRPr="003C4F15">
              <w:rPr>
                <w:b/>
                <w:bCs/>
                <w:sz w:val="20"/>
                <w:szCs w:val="20"/>
                <w:rtl/>
                <w:lang w:bidi="ar-LB"/>
              </w:rPr>
              <w:t>تعليقات/ملاحظات</w:t>
            </w:r>
          </w:p>
        </w:tc>
      </w:tr>
      <w:tr w:rsidR="008D64F9" w:rsidRPr="003C4F15" w14:paraId="41920CD2" w14:textId="77777777" w:rsidTr="00101B5A">
        <w:tc>
          <w:tcPr>
            <w:tcW w:w="3003" w:type="dxa"/>
          </w:tcPr>
          <w:p w14:paraId="1525D45E" w14:textId="77777777" w:rsidR="008D64F9" w:rsidRPr="003C4F15" w:rsidRDefault="008D64F9" w:rsidP="003C4F15">
            <w:pPr>
              <w:pStyle w:val="BodyText"/>
              <w:rPr>
                <w:sz w:val="20"/>
                <w:szCs w:val="20"/>
                <w:rtl/>
                <w:lang w:bidi="ar-LB"/>
              </w:rPr>
            </w:pPr>
            <w:r w:rsidRPr="003C4F15">
              <w:rPr>
                <w:sz w:val="20"/>
                <w:szCs w:val="20"/>
                <w:rtl/>
                <w:lang w:bidi="ar-LB"/>
              </w:rPr>
              <w:t>حكم بسيط يتبع ما تنص عليه المادة 18(1) من اتفاقية برن</w:t>
            </w:r>
          </w:p>
        </w:tc>
        <w:tc>
          <w:tcPr>
            <w:tcW w:w="3003" w:type="dxa"/>
          </w:tcPr>
          <w:p w14:paraId="6750DFE8" w14:textId="77777777" w:rsidR="008D64F9" w:rsidRPr="003C4F15" w:rsidRDefault="008D64F9" w:rsidP="003C4F15">
            <w:pPr>
              <w:pStyle w:val="BodyText"/>
              <w:rPr>
                <w:sz w:val="20"/>
                <w:szCs w:val="20"/>
                <w:rtl/>
                <w:lang w:bidi="ar-LB"/>
              </w:rPr>
            </w:pPr>
            <w:r w:rsidRPr="003C4F15">
              <w:rPr>
                <w:sz w:val="20"/>
                <w:szCs w:val="20"/>
                <w:rtl/>
                <w:lang w:bidi="ar-LB"/>
              </w:rPr>
              <w:t>يسري هذا القانون على جميع المصنفات الفنية [والمخطوطات] المحمية بموجب القانون الوطني [أي قانون حق المؤلف العام للدولة المعنية] بدءا من تاريخ سريان مفعول هذا القانون، ولكنه ينطبق فقط على عمليات إعادة البيع التجاري للمصنفات التي يقع تاريخ عقد بيعها بعد بدء سريان مفعول هذا القانون.</w:t>
            </w:r>
            <w:r w:rsidRPr="003C4F15">
              <w:rPr>
                <w:sz w:val="20"/>
                <w:szCs w:val="20"/>
                <w:lang w:val="en-AU"/>
              </w:rPr>
              <w:t xml:space="preserve"> </w:t>
            </w:r>
          </w:p>
        </w:tc>
        <w:tc>
          <w:tcPr>
            <w:tcW w:w="3004" w:type="dxa"/>
          </w:tcPr>
          <w:p w14:paraId="24AAA53E" w14:textId="77777777" w:rsidR="008D64F9" w:rsidRPr="003C4F15" w:rsidRDefault="008D64F9" w:rsidP="00803410">
            <w:pPr>
              <w:pStyle w:val="BodyText"/>
              <w:ind w:left="562"/>
              <w:rPr>
                <w:sz w:val="20"/>
                <w:szCs w:val="20"/>
                <w:rtl/>
                <w:lang w:bidi="ar-LB"/>
              </w:rPr>
            </w:pPr>
            <w:r w:rsidRPr="003C4F15">
              <w:rPr>
                <w:sz w:val="20"/>
                <w:szCs w:val="20"/>
                <w:rtl/>
                <w:lang w:bidi="ar-LB"/>
              </w:rPr>
              <w:t>يجب تطبيق حق التتبع على جميع المصنفات المحمية في تاريخ بدء سريان مفعول مخطط حق التتبع ولكن فقط على عمليات إعادة البيع التجاري التي تحدث بعد هذا التاريخ</w:t>
            </w:r>
            <w:r w:rsidRPr="003C4F15">
              <w:rPr>
                <w:sz w:val="20"/>
                <w:szCs w:val="20"/>
                <w:lang w:val="en-AU"/>
              </w:rPr>
              <w:t xml:space="preserve"> </w:t>
            </w:r>
            <w:r w:rsidRPr="003C4F15">
              <w:rPr>
                <w:sz w:val="20"/>
                <w:szCs w:val="20"/>
                <w:rtl/>
                <w:lang w:bidi="ar-LB"/>
              </w:rPr>
              <w:t xml:space="preserve">  </w:t>
            </w:r>
          </w:p>
        </w:tc>
      </w:tr>
      <w:tr w:rsidR="008D64F9" w:rsidRPr="003C4F15" w14:paraId="2A861CB9" w14:textId="77777777" w:rsidTr="00101B5A">
        <w:tc>
          <w:tcPr>
            <w:tcW w:w="3003" w:type="dxa"/>
          </w:tcPr>
          <w:p w14:paraId="1B02B134" w14:textId="77777777" w:rsidR="008D64F9" w:rsidRPr="003C4F15" w:rsidRDefault="008D64F9" w:rsidP="003C4F15">
            <w:pPr>
              <w:pStyle w:val="BodyText"/>
              <w:rPr>
                <w:sz w:val="20"/>
                <w:szCs w:val="20"/>
                <w:rtl/>
                <w:lang w:bidi="ar-LB"/>
              </w:rPr>
            </w:pPr>
            <w:r w:rsidRPr="003C4F15">
              <w:rPr>
                <w:sz w:val="20"/>
                <w:szCs w:val="20"/>
                <w:rtl/>
                <w:lang w:bidi="ar-LB"/>
              </w:rPr>
              <w:t>حكم بديل يعتمد على توجيه المفوضية الأوروبية</w:t>
            </w:r>
          </w:p>
        </w:tc>
        <w:tc>
          <w:tcPr>
            <w:tcW w:w="3003" w:type="dxa"/>
          </w:tcPr>
          <w:p w14:paraId="5154D45B" w14:textId="77777777" w:rsidR="008D64F9" w:rsidRPr="003C4F15" w:rsidRDefault="008D64F9" w:rsidP="003C4F15">
            <w:pPr>
              <w:pStyle w:val="BodyText"/>
              <w:rPr>
                <w:sz w:val="20"/>
                <w:szCs w:val="20"/>
                <w:rtl/>
                <w:lang w:bidi="ar-LB"/>
              </w:rPr>
            </w:pPr>
            <w:r w:rsidRPr="003C4F15">
              <w:rPr>
                <w:sz w:val="20"/>
                <w:szCs w:val="20"/>
                <w:rtl/>
                <w:lang w:bidi="ar-LB"/>
              </w:rPr>
              <w:t>1) هذا القانون —</w:t>
            </w:r>
          </w:p>
          <w:p w14:paraId="3E63974D" w14:textId="77777777" w:rsidR="008D64F9" w:rsidRPr="003C4F15" w:rsidRDefault="008D64F9" w:rsidP="003C4F15">
            <w:pPr>
              <w:pStyle w:val="BodyText"/>
              <w:rPr>
                <w:sz w:val="20"/>
                <w:szCs w:val="20"/>
                <w:rtl/>
                <w:lang w:bidi="ar-LB"/>
              </w:rPr>
            </w:pPr>
            <w:r w:rsidRPr="003C4F15">
              <w:rPr>
                <w:sz w:val="20"/>
                <w:szCs w:val="20"/>
                <w:rtl/>
                <w:lang w:bidi="ar-LB"/>
              </w:rPr>
              <w:t>(أ) لا ينطبق على عمليات البيع التي يكون تاريخ العقد الخاص بها سابقًا لتاريخ بدء سريان مفعول القانون؛ ولكنه</w:t>
            </w:r>
          </w:p>
          <w:p w14:paraId="0DB04290" w14:textId="77777777" w:rsidR="008D64F9" w:rsidRPr="003C4F15" w:rsidDel="009E6CC0" w:rsidRDefault="008D64F9" w:rsidP="003C4F15">
            <w:pPr>
              <w:pStyle w:val="BodyText"/>
              <w:rPr>
                <w:sz w:val="20"/>
                <w:szCs w:val="20"/>
                <w:rtl/>
                <w:lang w:bidi="ar-LB"/>
              </w:rPr>
            </w:pPr>
            <w:r w:rsidRPr="003C4F15">
              <w:rPr>
                <w:sz w:val="20"/>
                <w:szCs w:val="20"/>
                <w:rtl/>
                <w:lang w:bidi="ar-LB"/>
              </w:rPr>
              <w:t>(ب) ينطبق على الرغم من أن المصنف تم بيعه قبل تاريخ بدء سريان مفعول القانون.</w:t>
            </w:r>
          </w:p>
        </w:tc>
        <w:tc>
          <w:tcPr>
            <w:tcW w:w="3004" w:type="dxa"/>
          </w:tcPr>
          <w:p w14:paraId="3DF63CC5" w14:textId="77777777" w:rsidR="008D64F9" w:rsidRPr="003C4F15" w:rsidDel="004E6C6E" w:rsidRDefault="008D64F9" w:rsidP="00803410">
            <w:pPr>
              <w:pStyle w:val="BodyText"/>
              <w:ind w:left="562"/>
              <w:rPr>
                <w:sz w:val="20"/>
                <w:szCs w:val="20"/>
                <w:rtl/>
                <w:lang w:bidi="ar-LB"/>
              </w:rPr>
            </w:pPr>
            <w:r w:rsidRPr="003C4F15">
              <w:rPr>
                <w:sz w:val="20"/>
                <w:szCs w:val="20"/>
                <w:rtl/>
                <w:lang w:bidi="ar-LB"/>
              </w:rPr>
              <w:t>يحقق نفس أهداف الحكم السابق.</w:t>
            </w:r>
          </w:p>
        </w:tc>
      </w:tr>
      <w:tr w:rsidR="008D64F9" w:rsidRPr="003C4F15" w14:paraId="317A235D" w14:textId="77777777" w:rsidTr="00101B5A">
        <w:tc>
          <w:tcPr>
            <w:tcW w:w="3003" w:type="dxa"/>
          </w:tcPr>
          <w:p w14:paraId="76089FCC" w14:textId="77777777" w:rsidR="008D64F9" w:rsidRPr="003C4F15" w:rsidRDefault="008D64F9" w:rsidP="003C4F15">
            <w:pPr>
              <w:pStyle w:val="BodyText"/>
              <w:rPr>
                <w:sz w:val="20"/>
                <w:szCs w:val="20"/>
                <w:rtl/>
                <w:lang w:bidi="ar-LB"/>
              </w:rPr>
            </w:pPr>
            <w:r w:rsidRPr="003C4F15">
              <w:rPr>
                <w:sz w:val="20"/>
                <w:szCs w:val="20"/>
                <w:rtl/>
                <w:lang w:bidi="ar-LB"/>
              </w:rPr>
              <w:t>حكم انتقالي محتمل</w:t>
            </w:r>
          </w:p>
        </w:tc>
        <w:tc>
          <w:tcPr>
            <w:tcW w:w="3003" w:type="dxa"/>
          </w:tcPr>
          <w:p w14:paraId="43E756F6" w14:textId="77777777" w:rsidR="008D64F9" w:rsidRPr="003C4F15" w:rsidRDefault="008D64F9" w:rsidP="003C4F15">
            <w:pPr>
              <w:pStyle w:val="BodyText"/>
              <w:rPr>
                <w:sz w:val="20"/>
                <w:szCs w:val="20"/>
                <w:rtl/>
                <w:lang w:bidi="ar-LB"/>
              </w:rPr>
            </w:pPr>
            <w:r w:rsidRPr="003C4F15">
              <w:rPr>
                <w:sz w:val="20"/>
                <w:szCs w:val="20"/>
                <w:rtl/>
                <w:lang w:bidi="ar-LB"/>
              </w:rPr>
              <w:t>لا ينطبق حق التتبع في الحالات التالية:</w:t>
            </w:r>
          </w:p>
          <w:p w14:paraId="1CFFECF7" w14:textId="77777777" w:rsidR="008D64F9" w:rsidRPr="003C4F15" w:rsidRDefault="008D64F9" w:rsidP="003C4F15">
            <w:pPr>
              <w:pStyle w:val="BodyText"/>
              <w:rPr>
                <w:sz w:val="20"/>
                <w:szCs w:val="20"/>
                <w:rtl/>
                <w:lang w:bidi="ar-LB"/>
              </w:rPr>
            </w:pPr>
            <w:r w:rsidRPr="003C4F15">
              <w:rPr>
                <w:sz w:val="20"/>
                <w:szCs w:val="20"/>
                <w:rtl/>
                <w:lang w:bidi="ar-LB"/>
              </w:rPr>
              <w:t xml:space="preserve">(أ) خلال ستة أشهر من تاريخ سريان مفعول هذا القانون، تم وضع المصنف الفني [والمخطوطة] لدى أحد الجهات </w:t>
            </w:r>
            <w:r w:rsidRPr="003C4F15">
              <w:rPr>
                <w:sz w:val="20"/>
                <w:szCs w:val="20"/>
                <w:rtl/>
                <w:lang w:bidi="ar-LB"/>
              </w:rPr>
              <w:lastRenderedPageBreak/>
              <w:t>المتخصصة في سوق المصنفات الفنية لأغراض إعادة البيع التجاري؛</w:t>
            </w:r>
          </w:p>
          <w:p w14:paraId="21329227" w14:textId="77777777" w:rsidR="008D64F9" w:rsidRPr="003C4F15" w:rsidRDefault="008D64F9" w:rsidP="003C4F15">
            <w:pPr>
              <w:pStyle w:val="BodyText"/>
              <w:rPr>
                <w:sz w:val="20"/>
                <w:szCs w:val="20"/>
                <w:rtl/>
                <w:lang w:bidi="ar-LB"/>
              </w:rPr>
            </w:pPr>
            <w:r w:rsidRPr="003C4F15">
              <w:rPr>
                <w:sz w:val="20"/>
                <w:szCs w:val="20"/>
                <w:rtl/>
                <w:lang w:bidi="ar-LB"/>
              </w:rPr>
              <w:t>و (ب) تتم عملية إعادة البيع التجاري بعد سريان مفعول هذا القانون.</w:t>
            </w:r>
          </w:p>
        </w:tc>
        <w:tc>
          <w:tcPr>
            <w:tcW w:w="3004" w:type="dxa"/>
          </w:tcPr>
          <w:p w14:paraId="2C1DB484" w14:textId="77777777" w:rsidR="008D64F9" w:rsidRPr="003C4F15" w:rsidRDefault="008D64F9">
            <w:pPr>
              <w:pStyle w:val="BodyText"/>
              <w:numPr>
                <w:ilvl w:val="0"/>
                <w:numId w:val="19"/>
              </w:numPr>
              <w:ind w:left="360"/>
              <w:rPr>
                <w:sz w:val="20"/>
                <w:szCs w:val="20"/>
                <w:rtl/>
                <w:lang w:bidi="ar-LB"/>
              </w:rPr>
            </w:pPr>
            <w:r w:rsidRPr="003C4F15">
              <w:rPr>
                <w:sz w:val="20"/>
                <w:szCs w:val="20"/>
                <w:rtl/>
                <w:lang w:bidi="ar-LB"/>
              </w:rPr>
              <w:lastRenderedPageBreak/>
              <w:t>يحدد  فترة زمنية قبل البدء في عرض المصنف لإعادة البيع</w:t>
            </w:r>
          </w:p>
          <w:p w14:paraId="0AA2F756" w14:textId="77777777" w:rsidR="008D64F9" w:rsidRPr="003C4F15" w:rsidRDefault="008D64F9">
            <w:pPr>
              <w:pStyle w:val="BodyText"/>
              <w:numPr>
                <w:ilvl w:val="0"/>
                <w:numId w:val="19"/>
              </w:numPr>
              <w:ind w:left="360"/>
              <w:rPr>
                <w:sz w:val="20"/>
                <w:szCs w:val="20"/>
                <w:rtl/>
                <w:lang w:bidi="ar-LB"/>
              </w:rPr>
            </w:pPr>
            <w:r w:rsidRPr="003C4F15">
              <w:rPr>
                <w:sz w:val="20"/>
                <w:szCs w:val="20"/>
                <w:rtl/>
                <w:lang w:bidi="ar-LB"/>
              </w:rPr>
              <w:lastRenderedPageBreak/>
              <w:t>هل ينبغي السماح بفترة أطول، على سبيل المثال في حالة المصنفات التي توفى مؤلفها؟</w:t>
            </w:r>
          </w:p>
          <w:p w14:paraId="28F74761" w14:textId="77777777" w:rsidR="008D64F9" w:rsidRPr="003C4F15" w:rsidRDefault="008D64F9">
            <w:pPr>
              <w:pStyle w:val="BodyText"/>
              <w:numPr>
                <w:ilvl w:val="0"/>
                <w:numId w:val="19"/>
              </w:numPr>
              <w:ind w:left="360"/>
              <w:rPr>
                <w:sz w:val="20"/>
                <w:szCs w:val="20"/>
                <w:rtl/>
                <w:lang w:bidi="ar-LB"/>
              </w:rPr>
            </w:pPr>
            <w:r w:rsidRPr="003C4F15">
              <w:rPr>
                <w:sz w:val="20"/>
                <w:szCs w:val="20"/>
                <w:rtl/>
                <w:lang w:bidi="ar-LB"/>
              </w:rPr>
              <w:t>هل يجب تحديد فترة محددة لبدء تطبيق حق التتبع على عمليات إعادة البيع التجاري بعد سريان مفعول القانون، مثل 6 أشهر، أو سنة، أو اي فترة أخرى؟</w:t>
            </w:r>
            <w:r w:rsidRPr="003C4F15">
              <w:rPr>
                <w:sz w:val="20"/>
                <w:szCs w:val="20"/>
                <w:lang w:val="en-AU"/>
              </w:rPr>
              <w:t xml:space="preserve"> </w:t>
            </w:r>
          </w:p>
        </w:tc>
      </w:tr>
    </w:tbl>
    <w:p w14:paraId="14C78C0D" w14:textId="77777777" w:rsidR="00803410" w:rsidRDefault="00803410" w:rsidP="00B96ED2">
      <w:pPr>
        <w:pStyle w:val="Endofdocument-Annex"/>
        <w:rPr>
          <w:rtl/>
          <w:lang w:bidi="ar-EG"/>
        </w:rPr>
      </w:pPr>
    </w:p>
    <w:p w14:paraId="7E0D767A" w14:textId="51DFE100" w:rsidR="008E4690" w:rsidRDefault="00B96ED2" w:rsidP="00B96ED2">
      <w:pPr>
        <w:pStyle w:val="Endofdocument-Annex"/>
        <w:rPr>
          <w:lang w:bidi="ar-EG"/>
        </w:rPr>
      </w:pPr>
      <w:r>
        <w:rPr>
          <w:rFonts w:hint="cs"/>
          <w:rtl/>
          <w:lang w:bidi="ar-EG"/>
        </w:rPr>
        <w:t>[نهاية الوثيقة]</w:t>
      </w:r>
    </w:p>
    <w:sectPr w:rsidR="008E4690" w:rsidSect="00CC3E2D">
      <w:headerReference w:type="default" r:id="rId13"/>
      <w:footerReference w:type="even" r:id="rId14"/>
      <w:footerReference w:type="default" r:id="rId15"/>
      <w:footerReference w:type="first" r:id="rId16"/>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D751A" w14:textId="77777777" w:rsidR="001B1B7C" w:rsidRDefault="001B1B7C">
      <w:r>
        <w:separator/>
      </w:r>
    </w:p>
  </w:endnote>
  <w:endnote w:type="continuationSeparator" w:id="0">
    <w:p w14:paraId="3309FAF3" w14:textId="77777777" w:rsidR="001B1B7C" w:rsidRDefault="001B1B7C" w:rsidP="003B38C1">
      <w:r>
        <w:separator/>
      </w:r>
    </w:p>
    <w:p w14:paraId="20ED1512" w14:textId="77777777" w:rsidR="001B1B7C" w:rsidRPr="003B38C1" w:rsidRDefault="001B1B7C" w:rsidP="003B38C1">
      <w:pPr>
        <w:spacing w:after="60"/>
        <w:rPr>
          <w:sz w:val="17"/>
        </w:rPr>
      </w:pPr>
      <w:r>
        <w:rPr>
          <w:sz w:val="17"/>
        </w:rPr>
        <w:t>[Endnote continued from previous page]</w:t>
      </w:r>
    </w:p>
  </w:endnote>
  <w:endnote w:type="continuationNotice" w:id="1">
    <w:p w14:paraId="47D745F6" w14:textId="77777777" w:rsidR="001B1B7C" w:rsidRPr="003B38C1" w:rsidRDefault="001B1B7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ms Rmn 12pt">
    <w:altName w:val="Footlight MT Light"/>
    <w:panose1 w:val="00000000000000000000"/>
    <w:charset w:val="00"/>
    <w:family w:val="roman"/>
    <w:notTrueType/>
    <w:pitch w:val="default"/>
    <w:sig w:usb0="00000003" w:usb1="00000000" w:usb2="00000000" w:usb3="00000000" w:csb0="00000001" w:csb1="00000000"/>
  </w:font>
  <w:font w:name="Times New Roman (Body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B96B8" w14:textId="62F0A9BC" w:rsidR="00104ED0" w:rsidRDefault="00104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03174" w14:textId="6E4EDFE8" w:rsidR="00104ED0" w:rsidRDefault="00104E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AB45C" w14:textId="4A104C60" w:rsidR="00104ED0" w:rsidRDefault="00104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5F769" w14:textId="77777777" w:rsidR="001B1B7C" w:rsidRDefault="001B1B7C">
      <w:r>
        <w:separator/>
      </w:r>
    </w:p>
  </w:footnote>
  <w:footnote w:type="continuationSeparator" w:id="0">
    <w:p w14:paraId="7698565C" w14:textId="77777777" w:rsidR="001B1B7C" w:rsidRDefault="001B1B7C" w:rsidP="008B60B2">
      <w:r>
        <w:separator/>
      </w:r>
    </w:p>
    <w:p w14:paraId="4D36006E" w14:textId="77777777" w:rsidR="001B1B7C" w:rsidRPr="00ED77FB" w:rsidRDefault="001B1B7C" w:rsidP="008B60B2">
      <w:pPr>
        <w:spacing w:after="60"/>
        <w:rPr>
          <w:sz w:val="17"/>
          <w:szCs w:val="17"/>
        </w:rPr>
      </w:pPr>
      <w:r w:rsidRPr="00ED77FB">
        <w:rPr>
          <w:sz w:val="17"/>
          <w:szCs w:val="17"/>
        </w:rPr>
        <w:t>[Footnote continued from previous page]</w:t>
      </w:r>
    </w:p>
  </w:footnote>
  <w:footnote w:type="continuationNotice" w:id="1">
    <w:p w14:paraId="4EDCD3DE" w14:textId="77777777" w:rsidR="001B1B7C" w:rsidRPr="00ED77FB" w:rsidRDefault="001B1B7C" w:rsidP="008B60B2">
      <w:pPr>
        <w:spacing w:before="60"/>
        <w:jc w:val="right"/>
        <w:rPr>
          <w:sz w:val="17"/>
          <w:szCs w:val="17"/>
        </w:rPr>
      </w:pPr>
      <w:r w:rsidRPr="00ED77FB">
        <w:rPr>
          <w:sz w:val="17"/>
          <w:szCs w:val="17"/>
        </w:rPr>
        <w:t>[Footnote continued on next page]</w:t>
      </w:r>
    </w:p>
  </w:footnote>
  <w:footnote w:id="2">
    <w:p w14:paraId="65FE721C" w14:textId="77777777" w:rsidR="008D64F9" w:rsidRPr="008D64F9" w:rsidRDefault="008D64F9" w:rsidP="008D64F9">
      <w:pPr>
        <w:pStyle w:val="Footnote"/>
        <w:bidi/>
        <w:rPr>
          <w:rFonts w:asciiTheme="minorHAnsi" w:hAnsiTheme="minorHAnsi" w:cstheme="minorHAnsi"/>
          <w:sz w:val="18"/>
          <w:szCs w:val="18"/>
          <w:rtl/>
        </w:rPr>
      </w:pPr>
      <w:r w:rsidRPr="004F3D56">
        <w:rPr>
          <w:rStyle w:val="FootnoteReference"/>
          <w:rFonts w:asciiTheme="minorBidi" w:hAnsiTheme="minorBidi" w:cstheme="minorBidi"/>
          <w:sz w:val="18"/>
          <w:szCs w:val="18"/>
        </w:rPr>
        <w:footnoteRef/>
      </w:r>
      <w:r w:rsidRPr="004F3D56">
        <w:rPr>
          <w:rFonts w:asciiTheme="minorBidi" w:hAnsiTheme="minorBidi" w:cstheme="minorBidi"/>
          <w:sz w:val="18"/>
          <w:szCs w:val="18"/>
        </w:rPr>
        <w:t xml:space="preserve"> </w:t>
      </w:r>
      <w:r w:rsidRPr="008D64F9">
        <w:rPr>
          <w:rFonts w:asciiTheme="minorHAnsi" w:hAnsiTheme="minorHAnsi" w:cstheme="minorHAnsi"/>
          <w:sz w:val="18"/>
          <w:szCs w:val="18"/>
          <w:rtl/>
        </w:rPr>
        <w:t>تُرجم المصطلح الفرنسي "</w:t>
      </w:r>
      <w:r w:rsidRPr="008D64F9">
        <w:rPr>
          <w:rFonts w:asciiTheme="minorHAnsi" w:hAnsiTheme="minorHAnsi" w:cstheme="minorHAnsi"/>
          <w:sz w:val="18"/>
          <w:szCs w:val="18"/>
        </w:rPr>
        <w:t>droit de suite</w:t>
      </w:r>
      <w:r w:rsidRPr="008D64F9">
        <w:rPr>
          <w:rFonts w:asciiTheme="minorHAnsi" w:hAnsiTheme="minorHAnsi" w:cstheme="minorHAnsi"/>
          <w:sz w:val="18"/>
          <w:szCs w:val="18"/>
          <w:rtl/>
        </w:rPr>
        <w:t>" مؤخرا في وثائق الويبو إلى "</w:t>
      </w:r>
      <w:r w:rsidRPr="008D64F9">
        <w:rPr>
          <w:rFonts w:asciiTheme="minorHAnsi" w:hAnsiTheme="minorHAnsi" w:cstheme="minorHAnsi"/>
          <w:sz w:val="18"/>
          <w:szCs w:val="18"/>
        </w:rPr>
        <w:t>resale right</w:t>
      </w:r>
      <w:r w:rsidRPr="008D64F9">
        <w:rPr>
          <w:rFonts w:asciiTheme="minorHAnsi" w:hAnsiTheme="minorHAnsi" w:cstheme="minorHAnsi"/>
          <w:sz w:val="18"/>
          <w:szCs w:val="18"/>
          <w:rtl/>
        </w:rPr>
        <w:t xml:space="preserve">" بالانكليزية (أي "حق إعادة البيع"): يرجى الاطلاع على الويبو، </w:t>
      </w:r>
      <w:r w:rsidRPr="008D64F9">
        <w:rPr>
          <w:rFonts w:asciiTheme="minorHAnsi" w:hAnsiTheme="minorHAnsi" w:cstheme="minorHAnsi"/>
          <w:i/>
          <w:iCs/>
          <w:sz w:val="18"/>
          <w:szCs w:val="18"/>
          <w:rtl/>
        </w:rPr>
        <w:t>دليل معاهدات حق المؤلف والحقوق المجاورة التي تديرها الويبو، ومسرد مصطلحات حق المؤلف والحقوق المجاورة،</w:t>
      </w:r>
      <w:r w:rsidRPr="008D64F9">
        <w:rPr>
          <w:rFonts w:asciiTheme="minorHAnsi" w:hAnsiTheme="minorHAnsi" w:cstheme="minorHAnsi"/>
          <w:sz w:val="18"/>
          <w:szCs w:val="18"/>
          <w:rtl/>
        </w:rPr>
        <w:t xml:space="preserve"> منشور الويبو رقم 891، 2003، ص 284.</w:t>
      </w:r>
      <w:r w:rsidRPr="008D64F9">
        <w:rPr>
          <w:rFonts w:asciiTheme="minorHAnsi" w:hAnsiTheme="minorHAnsi" w:cstheme="minorHAnsi"/>
          <w:sz w:val="18"/>
          <w:szCs w:val="18"/>
        </w:rPr>
        <w:t xml:space="preserve"> </w:t>
      </w:r>
      <w:r w:rsidRPr="008D64F9">
        <w:rPr>
          <w:rFonts w:asciiTheme="minorHAnsi" w:hAnsiTheme="minorHAnsi" w:cstheme="minorHAnsi"/>
          <w:sz w:val="18"/>
          <w:szCs w:val="18"/>
          <w:rtl/>
        </w:rPr>
        <w:t>تاريخيًا (وفعليًا) كان المصطلح الفرنسي "</w:t>
      </w:r>
      <w:r w:rsidRPr="008D64F9">
        <w:rPr>
          <w:rFonts w:asciiTheme="minorHAnsi" w:hAnsiTheme="minorHAnsi" w:cstheme="minorHAnsi"/>
          <w:sz w:val="18"/>
          <w:szCs w:val="18"/>
        </w:rPr>
        <w:t>droit de suite</w:t>
      </w:r>
      <w:r w:rsidRPr="008D64F9">
        <w:rPr>
          <w:rFonts w:asciiTheme="minorHAnsi" w:hAnsiTheme="minorHAnsi" w:cstheme="minorHAnsi"/>
          <w:sz w:val="18"/>
          <w:szCs w:val="18"/>
          <w:rtl/>
        </w:rPr>
        <w:t>" يعني‘</w:t>
      </w:r>
      <w:r w:rsidRPr="008D64F9">
        <w:rPr>
          <w:rFonts w:asciiTheme="minorHAnsi" w:hAnsiTheme="minorHAnsi" w:cstheme="minorHAnsi"/>
          <w:sz w:val="18"/>
          <w:szCs w:val="18"/>
        </w:rPr>
        <w:t>right of following on</w:t>
      </w:r>
      <w:r w:rsidRPr="008D64F9">
        <w:rPr>
          <w:rFonts w:asciiTheme="minorHAnsi" w:hAnsiTheme="minorHAnsi" w:cstheme="minorHAnsi"/>
          <w:sz w:val="18"/>
          <w:szCs w:val="18"/>
          <w:rtl/>
        </w:rPr>
        <w:t>’ بالانكليزية (أي "حق المتابعة") وكان مشتقًا من قانون الملكية العقارية الفرنسي؛ يرجى الاطلاع على هاوزر، "</w:t>
      </w:r>
      <w:r w:rsidRPr="008D64F9">
        <w:rPr>
          <w:rFonts w:asciiTheme="minorHAnsi" w:hAnsiTheme="minorHAnsi" w:cstheme="minorHAnsi"/>
          <w:i/>
          <w:iCs/>
          <w:sz w:val="18"/>
          <w:szCs w:val="18"/>
        </w:rPr>
        <w:t>droit de suite</w:t>
      </w:r>
      <w:r w:rsidRPr="008D64F9">
        <w:rPr>
          <w:rFonts w:asciiTheme="minorHAnsi" w:hAnsiTheme="minorHAnsi" w:cstheme="minorHAnsi"/>
          <w:sz w:val="18"/>
          <w:szCs w:val="18"/>
          <w:rtl/>
        </w:rPr>
        <w:t xml:space="preserve">: مشكلة حماية الفنان الفقير بموجب قانون حق المؤلف" (1959) </w:t>
      </w:r>
      <w:r w:rsidRPr="008D64F9">
        <w:rPr>
          <w:rFonts w:asciiTheme="minorHAnsi" w:hAnsiTheme="minorHAnsi" w:cstheme="minorHAnsi"/>
          <w:sz w:val="18"/>
          <w:szCs w:val="18"/>
        </w:rPr>
        <w:t xml:space="preserve">6 Bull Cop Soc USA 94، 97..  </w:t>
      </w:r>
      <w:r w:rsidRPr="008D64F9">
        <w:rPr>
          <w:rFonts w:asciiTheme="minorHAnsi" w:hAnsiTheme="minorHAnsi" w:cstheme="minorHAnsi"/>
          <w:sz w:val="18"/>
          <w:szCs w:val="18"/>
          <w:rtl/>
        </w:rPr>
        <w:t>ومن المثير للاهتمام أن النسخة الإنجليزية من حق إعادة البيع الذي تم اعتماده مؤخرًا في المملكة العربية السعودية يستخدم المصطلح "</w:t>
      </w:r>
      <w:r w:rsidRPr="008D64F9">
        <w:rPr>
          <w:rFonts w:asciiTheme="minorHAnsi" w:hAnsiTheme="minorHAnsi" w:cstheme="minorHAnsi"/>
          <w:sz w:val="18"/>
          <w:szCs w:val="18"/>
        </w:rPr>
        <w:t>right to trace</w:t>
      </w:r>
      <w:r w:rsidRPr="008D64F9">
        <w:rPr>
          <w:rFonts w:asciiTheme="minorHAnsi" w:hAnsiTheme="minorHAnsi" w:cstheme="minorHAnsi"/>
          <w:sz w:val="18"/>
          <w:szCs w:val="18"/>
          <w:rtl/>
        </w:rPr>
        <w:t>":</w:t>
      </w:r>
      <w:r w:rsidRPr="008D64F9">
        <w:rPr>
          <w:rFonts w:asciiTheme="minorHAnsi" w:hAnsiTheme="minorHAnsi" w:cstheme="minorHAnsi"/>
          <w:sz w:val="18"/>
          <w:szCs w:val="18"/>
        </w:rPr>
        <w:t xml:space="preserve"> </w:t>
      </w:r>
      <w:r w:rsidRPr="008D64F9">
        <w:rPr>
          <w:rFonts w:asciiTheme="minorHAnsi" w:hAnsiTheme="minorHAnsi" w:cstheme="minorHAnsi"/>
          <w:sz w:val="18"/>
          <w:szCs w:val="18"/>
          <w:rtl/>
        </w:rPr>
        <w:t xml:space="preserve">المملكة العربية السعودية، </w:t>
      </w:r>
      <w:r w:rsidRPr="008D64F9">
        <w:rPr>
          <w:rFonts w:asciiTheme="minorHAnsi" w:hAnsiTheme="minorHAnsi" w:cstheme="minorHAnsi"/>
          <w:i/>
          <w:iCs/>
          <w:sz w:val="18"/>
          <w:szCs w:val="18"/>
          <w:rtl/>
        </w:rPr>
        <w:t>اللائحة التنفيذية لقانون حماية حق المؤلف 1443هـ/2022،</w:t>
      </w:r>
      <w:r w:rsidRPr="008D64F9">
        <w:rPr>
          <w:rFonts w:asciiTheme="minorHAnsi" w:hAnsiTheme="minorHAnsi" w:cstheme="minorHAnsi"/>
          <w:sz w:val="18"/>
          <w:szCs w:val="18"/>
          <w:rtl/>
        </w:rPr>
        <w:t xml:space="preserve"> المادة 6.</w:t>
      </w:r>
      <w:r w:rsidRPr="008D64F9">
        <w:rPr>
          <w:rFonts w:asciiTheme="minorHAnsi" w:hAnsiTheme="minorHAnsi" w:cstheme="minorHAnsi"/>
          <w:sz w:val="18"/>
          <w:szCs w:val="18"/>
        </w:rPr>
        <w:t xml:space="preserve"> </w:t>
      </w:r>
    </w:p>
  </w:footnote>
  <w:footnote w:id="3">
    <w:p w14:paraId="6D6C890A" w14:textId="77777777" w:rsidR="008D64F9" w:rsidRPr="008D64F9" w:rsidRDefault="008D64F9" w:rsidP="008D64F9">
      <w:pPr>
        <w:pStyle w:val="FootnoteText"/>
        <w:jc w:val="both"/>
        <w:rPr>
          <w:rFonts w:asciiTheme="minorHAnsi" w:hAnsiTheme="minorHAnsi" w:cstheme="minorHAnsi"/>
          <w:rtl/>
        </w:rPr>
      </w:pPr>
      <w:r w:rsidRPr="008D64F9">
        <w:rPr>
          <w:rStyle w:val="FootnoteReference"/>
          <w:rFonts w:asciiTheme="minorHAnsi" w:hAnsiTheme="minorHAnsi" w:cstheme="minorHAnsi"/>
        </w:rPr>
        <w:footnoteRef/>
      </w:r>
      <w:r w:rsidRPr="008D64F9">
        <w:rPr>
          <w:rFonts w:asciiTheme="minorHAnsi" w:hAnsiTheme="minorHAnsi" w:cstheme="minorHAnsi"/>
          <w:rtl/>
        </w:rPr>
        <w:t xml:space="preserve"> إن الأدبيات المتعلقة</w:t>
      </w:r>
      <w:r w:rsidRPr="008D64F9">
        <w:rPr>
          <w:rFonts w:asciiTheme="minorHAnsi" w:hAnsiTheme="minorHAnsi" w:cstheme="minorHAnsi"/>
          <w:i/>
          <w:iCs/>
        </w:rPr>
        <w:t xml:space="preserve"> </w:t>
      </w:r>
      <w:r w:rsidRPr="008D64F9">
        <w:rPr>
          <w:rFonts w:asciiTheme="minorHAnsi" w:hAnsiTheme="minorHAnsi" w:cstheme="minorHAnsi"/>
          <w:i/>
          <w:iCs/>
          <w:rtl/>
        </w:rPr>
        <w:t>بحق التتبع (</w:t>
      </w:r>
      <w:r w:rsidRPr="008D64F9">
        <w:rPr>
          <w:rFonts w:asciiTheme="minorHAnsi" w:hAnsiTheme="minorHAnsi" w:cstheme="minorHAnsi"/>
          <w:i/>
          <w:iCs/>
        </w:rPr>
        <w:t xml:space="preserve">droit de suite) </w:t>
      </w:r>
      <w:r w:rsidRPr="008D64F9">
        <w:rPr>
          <w:rFonts w:asciiTheme="minorHAnsi" w:hAnsiTheme="minorHAnsi" w:cstheme="minorHAnsi"/>
          <w:rtl/>
        </w:rPr>
        <w:t xml:space="preserve">وتاريخه وتطوره واسعة النطاق.  للأغراض الحالية، يرجى الاطلاع على: ‘"من الحق إلى القيمة المضافة للمصنفات الفنية" [1914] حق </w:t>
      </w:r>
      <w:r w:rsidRPr="008D64F9">
        <w:rPr>
          <w:rFonts w:asciiTheme="minorHAnsi" w:hAnsiTheme="minorHAnsi" w:cstheme="minorHAnsi"/>
          <w:rtl/>
        </w:rPr>
        <w:t xml:space="preserve">المؤلف 34، 57؛ دوتشيمين، حق التتبع (1948)؛ ف. هيب، "الإتاوات من مصنفات الفنون الجميلة: أصل مفهوم حق التتبع في قانون حق المؤلف" (1959) </w:t>
      </w:r>
      <w:r w:rsidRPr="008D64F9">
        <w:rPr>
          <w:rFonts w:asciiTheme="minorHAnsi" w:hAnsiTheme="minorHAnsi" w:cstheme="minorHAnsi"/>
        </w:rPr>
        <w:t>6 Bull Cop Soc USA 91 ("Hepp")</w:t>
      </w:r>
      <w:r w:rsidRPr="008D64F9">
        <w:rPr>
          <w:rFonts w:asciiTheme="minorHAnsi" w:hAnsiTheme="minorHAnsi" w:cstheme="minorHAnsi"/>
          <w:rtl/>
        </w:rPr>
        <w:t xml:space="preserve">؛ هاوزر، حق التتبع: مشكلة حماية الفنان الفقير بموجب قانون حق المؤلف" (1959) </w:t>
      </w:r>
      <w:r w:rsidRPr="008D64F9">
        <w:rPr>
          <w:rFonts w:asciiTheme="minorHAnsi" w:hAnsiTheme="minorHAnsi" w:cstheme="minorHAnsi"/>
        </w:rPr>
        <w:t>6 Bull Cop Soc USA 94</w:t>
      </w:r>
      <w:r w:rsidRPr="008D64F9">
        <w:rPr>
          <w:rFonts w:asciiTheme="minorHAnsi" w:hAnsiTheme="minorHAnsi" w:cstheme="minorHAnsi"/>
          <w:rtl/>
        </w:rPr>
        <w:t>. دوتشيمين، حق التتبع (1967–1968) 54–</w:t>
      </w:r>
      <w:r w:rsidRPr="008D64F9">
        <w:rPr>
          <w:rFonts w:asciiTheme="minorHAnsi" w:hAnsiTheme="minorHAnsi" w:cstheme="minorHAnsi"/>
        </w:rPr>
        <w:t>55 RIDA 369</w:t>
      </w:r>
      <w:r w:rsidRPr="008D64F9">
        <w:rPr>
          <w:rFonts w:asciiTheme="minorHAnsi" w:hAnsiTheme="minorHAnsi" w:cstheme="minorHAnsi"/>
          <w:rtl/>
        </w:rPr>
        <w:t xml:space="preserve">؛ ر. بليزانت، "حق التتبع" [1969] حق المؤلف 157؛ دوتشيمين، "حق التتبع" (1969) </w:t>
      </w:r>
      <w:r w:rsidRPr="008D64F9">
        <w:rPr>
          <w:rFonts w:asciiTheme="minorHAnsi" w:hAnsiTheme="minorHAnsi" w:cstheme="minorHAnsi"/>
        </w:rPr>
        <w:t>62 RIDA 78</w:t>
      </w:r>
      <w:r w:rsidRPr="008D64F9">
        <w:rPr>
          <w:rFonts w:asciiTheme="minorHAnsi" w:hAnsiTheme="minorHAnsi" w:cstheme="minorHAnsi"/>
          <w:rtl/>
        </w:rPr>
        <w:t xml:space="preserve">؛  كاتزنبرجر، "حق التتبع في قانون حق المؤلف" [1973] </w:t>
      </w:r>
      <w:r w:rsidRPr="008D64F9">
        <w:rPr>
          <w:rFonts w:asciiTheme="minorHAnsi" w:hAnsiTheme="minorHAnsi" w:cstheme="minorHAnsi"/>
        </w:rPr>
        <w:t>4 IIC 361</w:t>
      </w:r>
      <w:r w:rsidRPr="008D64F9">
        <w:rPr>
          <w:rFonts w:asciiTheme="minorHAnsi" w:hAnsiTheme="minorHAnsi" w:cstheme="minorHAnsi"/>
          <w:rtl/>
        </w:rPr>
        <w:t xml:space="preserve">؛ دوتشيمين، "حق التتبع" (1974) </w:t>
      </w:r>
      <w:r w:rsidRPr="008D64F9">
        <w:rPr>
          <w:rFonts w:asciiTheme="minorHAnsi" w:hAnsiTheme="minorHAnsi" w:cstheme="minorHAnsi"/>
        </w:rPr>
        <w:t>80 RIDA 4</w:t>
      </w:r>
      <w:r w:rsidRPr="008D64F9">
        <w:rPr>
          <w:rFonts w:asciiTheme="minorHAnsi" w:hAnsiTheme="minorHAnsi" w:cstheme="minorHAnsi"/>
          <w:rtl/>
        </w:rPr>
        <w:t xml:space="preserve">؛ نوردمان " تعديل قانون حق المؤلف الألماني عام 1972 " (1973) </w:t>
      </w:r>
      <w:r w:rsidRPr="008D64F9">
        <w:rPr>
          <w:rFonts w:asciiTheme="minorHAnsi" w:hAnsiTheme="minorHAnsi" w:cstheme="minorHAnsi"/>
        </w:rPr>
        <w:t>4 IIC 179</w:t>
      </w:r>
      <w:r w:rsidRPr="008D64F9">
        <w:rPr>
          <w:rFonts w:asciiTheme="minorHAnsi" w:hAnsiTheme="minorHAnsi" w:cstheme="minorHAnsi"/>
          <w:rtl/>
        </w:rPr>
        <w:t xml:space="preserve">؛ أولمر، "حق التتبع وتنظيمه في اتفاقية برن" تكريما لهنري ديسبوا، دراسات الملكية الفكرية (1974)، 89؛ أولمر، "حق التتبع في قانون حق المؤلف الدولي" (1975) </w:t>
      </w:r>
      <w:r w:rsidRPr="008D64F9">
        <w:rPr>
          <w:rFonts w:asciiTheme="minorHAnsi" w:hAnsiTheme="minorHAnsi" w:cstheme="minorHAnsi"/>
        </w:rPr>
        <w:t>6 IIC 12</w:t>
      </w:r>
      <w:r w:rsidRPr="008D64F9">
        <w:rPr>
          <w:rFonts w:asciiTheme="minorHAnsi" w:hAnsiTheme="minorHAnsi" w:cstheme="minorHAnsi"/>
          <w:rtl/>
        </w:rPr>
        <w:t>؛ نوردمان، "حق التتبع" في المادة 14(ثالثا) من اتفاقية برن وفي قانون حق المؤلف لجمهورية ألمانيا الاتحادية [1977] حق المؤلف 342.  مكتب حق المؤلف الأمريكي، حق التتبع:</w:t>
      </w:r>
      <w:r w:rsidRPr="008D64F9">
        <w:rPr>
          <w:rFonts w:asciiTheme="minorHAnsi" w:hAnsiTheme="minorHAnsi" w:cstheme="minorHAnsi"/>
        </w:rPr>
        <w:t xml:space="preserve"> </w:t>
      </w:r>
      <w:r w:rsidRPr="008D64F9">
        <w:rPr>
          <w:rFonts w:asciiTheme="minorHAnsi" w:hAnsiTheme="minorHAnsi" w:cstheme="minorHAnsi"/>
          <w:rtl/>
        </w:rPr>
        <w:t>حق التبع (تقرير عام 1992)، ملخص في العمود 16.</w:t>
      </w:r>
      <w:r w:rsidRPr="008D64F9">
        <w:rPr>
          <w:rFonts w:asciiTheme="minorHAnsi" w:hAnsiTheme="minorHAnsi" w:cstheme="minorHAnsi"/>
        </w:rPr>
        <w:t xml:space="preserve"> </w:t>
      </w:r>
      <w:r w:rsidRPr="008D64F9">
        <w:rPr>
          <w:rFonts w:asciiTheme="minorHAnsi" w:hAnsiTheme="minorHAnsi" w:cstheme="minorHAnsi"/>
          <w:rtl/>
        </w:rPr>
        <w:t xml:space="preserve">– </w:t>
      </w:r>
      <w:r w:rsidRPr="008D64F9">
        <w:rPr>
          <w:rFonts w:asciiTheme="minorHAnsi" w:hAnsiTheme="minorHAnsi" w:cstheme="minorHAnsi"/>
        </w:rPr>
        <w:t>VLA</w:t>
      </w:r>
      <w:r w:rsidRPr="008D64F9">
        <w:rPr>
          <w:rFonts w:asciiTheme="minorHAnsi" w:hAnsiTheme="minorHAnsi" w:cstheme="minorHAnsi"/>
          <w:rtl/>
        </w:rPr>
        <w:t xml:space="preserve"> مجلة القانون والفنون 318 (1992); شيرا بيرلموتر، "حق التتبع:</w:t>
      </w:r>
      <w:r w:rsidRPr="008D64F9">
        <w:rPr>
          <w:rFonts w:asciiTheme="minorHAnsi" w:hAnsiTheme="minorHAnsi" w:cstheme="minorHAnsi"/>
        </w:rPr>
        <w:t xml:space="preserve"> </w:t>
      </w:r>
      <w:r w:rsidRPr="008D64F9">
        <w:rPr>
          <w:rFonts w:asciiTheme="minorHAnsi" w:hAnsiTheme="minorHAnsi" w:cstheme="minorHAnsi"/>
          <w:rtl/>
        </w:rPr>
        <w:t xml:space="preserve">تحليل تقرير سجل حق المؤلف، 16 عمودًا - </w:t>
      </w:r>
      <w:r w:rsidRPr="008D64F9">
        <w:rPr>
          <w:rFonts w:asciiTheme="minorHAnsi" w:hAnsiTheme="minorHAnsi" w:cstheme="minorHAnsi"/>
        </w:rPr>
        <w:t>VLA</w:t>
      </w:r>
      <w:r w:rsidRPr="008D64F9">
        <w:rPr>
          <w:rFonts w:asciiTheme="minorHAnsi" w:hAnsiTheme="minorHAnsi" w:cstheme="minorHAnsi"/>
          <w:rtl/>
        </w:rPr>
        <w:t xml:space="preserve"> مجلة القانون والفنون 157 (1992)؛ بييردون-فوسيت، حق التتبع في الملكية الأدبية والفنية:</w:t>
      </w:r>
      <w:r w:rsidRPr="008D64F9">
        <w:rPr>
          <w:rFonts w:asciiTheme="minorHAnsi" w:hAnsiTheme="minorHAnsi" w:cstheme="minorHAnsi"/>
          <w:i/>
          <w:iCs/>
        </w:rPr>
        <w:t xml:space="preserve"> </w:t>
      </w:r>
      <w:r w:rsidRPr="008D64F9">
        <w:rPr>
          <w:rFonts w:asciiTheme="minorHAnsi" w:hAnsiTheme="minorHAnsi" w:cstheme="minorHAnsi"/>
          <w:rtl/>
        </w:rPr>
        <w:t>دراسة مقارنة  في القانون (ترجمة من الفرنسية بقلم ل. مارين-فاليكيت)، مركز القانون والفنون، كلية الحقوق بجامعة كولومبيا، نيويورك، 1991 (‘بييردون-فوسيت’)؛ مايكل ب. ريدي "حق التتبع: لماذا يجب أن يحصل الفنانون التشكيليون الأمريكيون على حق ملكية إعادة البيع"، مراجعة قانون الترفيه في 15 لويولا أوف لوس أنجلوس 509.</w:t>
      </w:r>
    </w:p>
  </w:footnote>
  <w:footnote w:id="4">
    <w:p w14:paraId="77D241E9" w14:textId="68620F9A" w:rsidR="008D64F9" w:rsidRPr="008D64F9" w:rsidRDefault="008D64F9" w:rsidP="008D64F9">
      <w:pPr>
        <w:pStyle w:val="FootnoteText"/>
        <w:spacing w:before="120" w:after="120"/>
        <w:jc w:val="both"/>
        <w:rPr>
          <w:rFonts w:asciiTheme="minorHAnsi" w:hAnsiTheme="minorHAnsi" w:cstheme="minorHAnsi"/>
          <w:rtl/>
        </w:rPr>
      </w:pPr>
      <w:r w:rsidRPr="008D64F9">
        <w:rPr>
          <w:rStyle w:val="FootnoteReference"/>
          <w:rFonts w:asciiTheme="minorHAnsi" w:hAnsiTheme="minorHAnsi" w:cstheme="minorHAnsi"/>
        </w:rPr>
        <w:footnoteRef/>
      </w:r>
      <w:r w:rsidRPr="008D64F9">
        <w:rPr>
          <w:rFonts w:asciiTheme="minorHAnsi" w:hAnsiTheme="minorHAnsi" w:cstheme="minorHAnsi"/>
          <w:rtl/>
        </w:rPr>
        <w:t xml:space="preserve"> </w:t>
      </w:r>
      <w:r w:rsidRPr="008D64F9">
        <w:rPr>
          <w:rFonts w:asciiTheme="minorHAnsi" w:hAnsiTheme="minorHAnsi" w:cstheme="minorHAnsi"/>
          <w:rtl/>
        </w:rPr>
        <w:t>اعتبارًا من 1 يناير 2024، أدرجت جمعية فناني المصنفات البصرية الأوروبية</w:t>
      </w:r>
      <w:r w:rsidRPr="008D64F9">
        <w:rPr>
          <w:rFonts w:asciiTheme="minorHAnsi" w:hAnsiTheme="minorHAnsi" w:cstheme="minorHAnsi"/>
        </w:rPr>
        <w:t>(EVA) 106</w:t>
      </w:r>
      <w:r w:rsidRPr="008D64F9">
        <w:rPr>
          <w:rFonts w:asciiTheme="minorHAnsi" w:hAnsiTheme="minorHAnsi" w:cstheme="minorHAnsi"/>
          <w:rtl/>
        </w:rPr>
        <w:t xml:space="preserve"> دولة في لائحة الدول التي تطبق حق التتبع في قوانينها.</w:t>
      </w:r>
      <w:r w:rsidRPr="008D64F9">
        <w:rPr>
          <w:rFonts w:asciiTheme="minorHAnsi" w:hAnsiTheme="minorHAnsi" w:cstheme="minorHAnsi"/>
        </w:rPr>
        <w:t xml:space="preserve"> </w:t>
      </w:r>
      <w:r w:rsidRPr="008D64F9">
        <w:rPr>
          <w:rFonts w:asciiTheme="minorHAnsi" w:hAnsiTheme="minorHAnsi" w:cstheme="minorHAnsi"/>
          <w:rtl/>
        </w:rPr>
        <w:t xml:space="preserve">تم استخلاص هذه الأرقام من القوانين الوطنية الموجودة على موقع الويبو: يرجى الاطلاع على الرابط التالي: </w:t>
      </w:r>
      <w:hyperlink r:id="rId1" w:history="1">
        <w:r w:rsidRPr="008D64F9">
          <w:rPr>
            <w:rStyle w:val="Hyperlink"/>
            <w:rFonts w:asciiTheme="minorHAnsi" w:hAnsiTheme="minorHAnsi" w:cstheme="minorHAnsi"/>
          </w:rPr>
          <w:t>https://www.resale-right.org/countries-with-arr/</w:t>
        </w:r>
      </w:hyperlink>
      <w:r w:rsidRPr="008D64F9">
        <w:rPr>
          <w:rFonts w:asciiTheme="minorHAnsi" w:hAnsiTheme="minorHAnsi" w:cstheme="minorHAnsi"/>
          <w:rtl/>
        </w:rPr>
        <w:t xml:space="preserve">  (تاريخ الاطلاع: 10 يناير 2025).</w:t>
      </w:r>
      <w:r w:rsidRPr="008D64F9">
        <w:rPr>
          <w:rFonts w:asciiTheme="minorHAnsi" w:hAnsiTheme="minorHAnsi" w:cstheme="minorHAnsi"/>
        </w:rPr>
        <w:t xml:space="preserve"> </w:t>
      </w:r>
      <w:r w:rsidRPr="008D64F9">
        <w:rPr>
          <w:rFonts w:asciiTheme="minorHAnsi" w:hAnsiTheme="minorHAnsi" w:cstheme="minorHAnsi"/>
          <w:rtl/>
        </w:rPr>
        <w:t>ودولة إثيوبيا هي الدولة الوحيدة من بين هذه الدول التي لم توقع على اتفاقية برن.  يرجى الاطلاع على الملاحظة رقم 20 أدناه.</w:t>
      </w:r>
    </w:p>
  </w:footnote>
  <w:footnote w:id="5">
    <w:p w14:paraId="58377C75" w14:textId="77777777" w:rsidR="008D64F9" w:rsidRPr="008D64F9" w:rsidRDefault="008D64F9" w:rsidP="008D64F9">
      <w:pPr>
        <w:pStyle w:val="FootnoteText"/>
        <w:spacing w:before="120" w:after="120"/>
        <w:rPr>
          <w:rFonts w:asciiTheme="minorHAnsi" w:hAnsiTheme="minorHAnsi" w:cstheme="minorHAnsi"/>
          <w:i/>
          <w:rtl/>
        </w:rPr>
      </w:pPr>
      <w:r w:rsidRPr="008D64F9">
        <w:rPr>
          <w:rStyle w:val="FootnoteReference"/>
          <w:rFonts w:asciiTheme="minorHAnsi" w:hAnsiTheme="minorHAnsi" w:cstheme="minorHAnsi"/>
        </w:rPr>
        <w:footnoteRef/>
      </w:r>
      <w:r w:rsidRPr="008D64F9">
        <w:rPr>
          <w:rFonts w:asciiTheme="minorHAnsi" w:hAnsiTheme="minorHAnsi" w:cstheme="minorHAnsi"/>
          <w:rtl/>
        </w:rPr>
        <w:t xml:space="preserve"> يستند القسم التالي إلى المواد الموجودة في كتاب س. </w:t>
      </w:r>
      <w:r w:rsidRPr="008D64F9">
        <w:rPr>
          <w:rFonts w:asciiTheme="minorHAnsi" w:hAnsiTheme="minorHAnsi" w:cstheme="minorHAnsi"/>
          <w:rtl/>
        </w:rPr>
        <w:t xml:space="preserve">ريكتسون وج. جينسبيرج، </w:t>
      </w:r>
      <w:r w:rsidRPr="008D64F9">
        <w:rPr>
          <w:rFonts w:asciiTheme="minorHAnsi" w:hAnsiTheme="minorHAnsi" w:cstheme="minorHAnsi"/>
          <w:i/>
          <w:iCs/>
          <w:rtl/>
        </w:rPr>
        <w:t>حق المؤلف والحقوق المجاورة،</w:t>
      </w:r>
      <w:r w:rsidRPr="008D64F9">
        <w:rPr>
          <w:rFonts w:asciiTheme="minorHAnsi" w:hAnsiTheme="minorHAnsi" w:cstheme="minorHAnsi"/>
          <w:rtl/>
        </w:rPr>
        <w:t xml:space="preserve"> مطبعة جامعة أكسفورد، أكسفورد، الطبعة الثالثة، 2022 ("ريكتسون وجينسبيرج")، [11.59] وما يليه.</w:t>
      </w:r>
      <w:r w:rsidRPr="008D64F9">
        <w:rPr>
          <w:rFonts w:asciiTheme="minorHAnsi" w:hAnsiTheme="minorHAnsi" w:cstheme="minorHAnsi"/>
        </w:rPr>
        <w:t xml:space="preserve"> </w:t>
      </w:r>
      <w:r w:rsidRPr="008D64F9">
        <w:rPr>
          <w:rFonts w:asciiTheme="minorHAnsi" w:hAnsiTheme="minorHAnsi" w:cstheme="minorHAnsi"/>
          <w:rtl/>
        </w:rPr>
        <w:t xml:space="preserve">يرجى الاطلاع أيضًا على س. ريكيتسون، "المعاهدة الدولية المقترحة بشأن حق التتبع" (2015) 245 </w:t>
      </w:r>
      <w:r w:rsidRPr="008D64F9">
        <w:rPr>
          <w:rFonts w:asciiTheme="minorHAnsi" w:hAnsiTheme="minorHAnsi" w:cstheme="minorHAnsi"/>
          <w:i/>
          <w:iCs/>
        </w:rPr>
        <w:t xml:space="preserve">Revue </w:t>
      </w:r>
      <w:proofErr w:type="spellStart"/>
      <w:r w:rsidRPr="008D64F9">
        <w:rPr>
          <w:rFonts w:asciiTheme="minorHAnsi" w:hAnsiTheme="minorHAnsi" w:cstheme="minorHAnsi"/>
          <w:i/>
          <w:iCs/>
        </w:rPr>
        <w:t>Internationale</w:t>
      </w:r>
      <w:proofErr w:type="spellEnd"/>
      <w:r w:rsidRPr="008D64F9">
        <w:rPr>
          <w:rFonts w:asciiTheme="minorHAnsi" w:hAnsiTheme="minorHAnsi" w:cstheme="minorHAnsi"/>
          <w:i/>
          <w:iCs/>
        </w:rPr>
        <w:t xml:space="preserve"> du Droit </w:t>
      </w:r>
      <w:proofErr w:type="spellStart"/>
      <w:r w:rsidRPr="008D64F9">
        <w:rPr>
          <w:rFonts w:asciiTheme="minorHAnsi" w:hAnsiTheme="minorHAnsi" w:cstheme="minorHAnsi"/>
          <w:i/>
          <w:iCs/>
        </w:rPr>
        <w:t>d'Auteur</w:t>
      </w:r>
      <w:proofErr w:type="spellEnd"/>
      <w:r w:rsidRPr="008D64F9">
        <w:rPr>
          <w:rFonts w:asciiTheme="minorHAnsi" w:hAnsiTheme="minorHAnsi" w:cstheme="minorHAnsi"/>
        </w:rPr>
        <w:t xml:space="preserve"> </w:t>
      </w:r>
      <w:r w:rsidRPr="008D64F9">
        <w:rPr>
          <w:rFonts w:asciiTheme="minorHAnsi" w:hAnsiTheme="minorHAnsi" w:cstheme="minorHAnsi"/>
          <w:rtl/>
        </w:rPr>
        <w:t>3-263 ('</w:t>
      </w:r>
      <w:r w:rsidRPr="008D64F9">
        <w:rPr>
          <w:rFonts w:asciiTheme="minorHAnsi" w:hAnsiTheme="minorHAnsi" w:cstheme="minorHAnsi"/>
        </w:rPr>
        <w:t>Ricketson').</w:t>
      </w:r>
    </w:p>
  </w:footnote>
  <w:footnote w:id="6">
    <w:p w14:paraId="63AE753C" w14:textId="77777777" w:rsidR="008D64F9" w:rsidRPr="008D64F9" w:rsidRDefault="008D64F9" w:rsidP="008D64F9">
      <w:pPr>
        <w:pStyle w:val="FootnoteText"/>
        <w:spacing w:before="120" w:after="120"/>
        <w:rPr>
          <w:rFonts w:asciiTheme="minorHAnsi" w:hAnsiTheme="minorHAnsi" w:cstheme="minorHAnsi"/>
          <w:rtl/>
        </w:rPr>
      </w:pPr>
      <w:r w:rsidRPr="008D64F9">
        <w:rPr>
          <w:rStyle w:val="FootnoteReference"/>
          <w:rFonts w:asciiTheme="minorHAnsi" w:hAnsiTheme="minorHAnsi" w:cstheme="minorHAnsi"/>
        </w:rPr>
        <w:footnoteRef/>
      </w:r>
      <w:r w:rsidRPr="008D64F9">
        <w:rPr>
          <w:rFonts w:asciiTheme="minorHAnsi" w:hAnsiTheme="minorHAnsi" w:cstheme="minorHAnsi"/>
          <w:rtl/>
        </w:rPr>
        <w:t xml:space="preserve"> كما ورد في الطباعة الحجرية الشهيرة لجان لويس فوران من ميليه وعائلته في الصفحة الافتتاحية لـ ج. فارشي، </w:t>
      </w:r>
      <w:r w:rsidRPr="008D64F9">
        <w:rPr>
          <w:rFonts w:asciiTheme="minorHAnsi" w:hAnsiTheme="minorHAnsi" w:cstheme="minorHAnsi"/>
          <w:i/>
          <w:iCs/>
          <w:rtl/>
        </w:rPr>
        <w:t>هل حق إعادة البيع قابل للتحلل في التحليل الاقتصادي؟</w:t>
      </w:r>
      <w:r w:rsidRPr="008D64F9">
        <w:rPr>
          <w:rFonts w:asciiTheme="minorHAnsi" w:hAnsiTheme="minorHAnsi" w:cstheme="minorHAnsi"/>
          <w:i/>
          <w:iCs/>
        </w:rPr>
        <w:t xml:space="preserve"> </w:t>
      </w:r>
      <w:r w:rsidRPr="008D64F9">
        <w:rPr>
          <w:rFonts w:asciiTheme="minorHAnsi" w:hAnsiTheme="minorHAnsi" w:cstheme="minorHAnsi"/>
          <w:rtl/>
        </w:rPr>
        <w:t xml:space="preserve">مارس 2011 ("فارشي")؛ يرى </w:t>
      </w:r>
      <w:r w:rsidRPr="008D64F9">
        <w:rPr>
          <w:rFonts w:asciiTheme="minorHAnsi" w:hAnsiTheme="minorHAnsi" w:cstheme="minorHAnsi"/>
          <w:rtl/>
        </w:rPr>
        <w:t>الاطلاع أيضًا على كاتزينبيرجر، ص 364 وما يليها؛ دوتشيمين، ص 17 وما يليها.</w:t>
      </w:r>
      <w:r w:rsidRPr="008D64F9">
        <w:rPr>
          <w:rFonts w:asciiTheme="minorHAnsi" w:hAnsiTheme="minorHAnsi" w:cstheme="minorHAnsi"/>
        </w:rPr>
        <w:t xml:space="preserve"> </w:t>
      </w:r>
      <w:r w:rsidRPr="008D64F9">
        <w:rPr>
          <w:rFonts w:asciiTheme="minorHAnsi" w:hAnsiTheme="minorHAnsi" w:cstheme="minorHAnsi"/>
          <w:rtl/>
        </w:rPr>
        <w:t xml:space="preserve">ومن الفنانين المشهورين الآخرين المتوفين الذين تم الاستشهاد بهم في هذا الصدد ديغا وبولين.  </w:t>
      </w:r>
    </w:p>
  </w:footnote>
  <w:footnote w:id="7">
    <w:p w14:paraId="36D46BBE" w14:textId="77777777" w:rsidR="008D64F9" w:rsidRPr="008D64F9" w:rsidRDefault="008D64F9" w:rsidP="008D64F9">
      <w:pPr>
        <w:pStyle w:val="FootnoteText"/>
        <w:spacing w:before="120" w:after="120"/>
        <w:rPr>
          <w:rFonts w:asciiTheme="minorHAnsi" w:hAnsiTheme="minorHAnsi" w:cstheme="minorHAnsi"/>
          <w:rtl/>
        </w:rPr>
      </w:pPr>
      <w:r w:rsidRPr="008D64F9">
        <w:rPr>
          <w:rStyle w:val="FootnoteReference"/>
          <w:rFonts w:asciiTheme="minorHAnsi" w:hAnsiTheme="minorHAnsi" w:cstheme="minorHAnsi"/>
        </w:rPr>
        <w:footnoteRef/>
      </w:r>
      <w:r w:rsidRPr="008D64F9">
        <w:rPr>
          <w:rFonts w:asciiTheme="minorHAnsi" w:hAnsiTheme="minorHAnsi" w:cstheme="minorHAnsi"/>
        </w:rPr>
        <w:t xml:space="preserve"> </w:t>
      </w:r>
      <w:r w:rsidRPr="008D64F9">
        <w:rPr>
          <w:rFonts w:asciiTheme="minorHAnsi" w:hAnsiTheme="minorHAnsi" w:cstheme="minorHAnsi"/>
          <w:i/>
          <w:iCs/>
          <w:rtl/>
        </w:rPr>
        <w:t>كرونيك دي باريس</w:t>
      </w:r>
      <w:r w:rsidRPr="008D64F9">
        <w:rPr>
          <w:rFonts w:asciiTheme="minorHAnsi" w:hAnsiTheme="minorHAnsi" w:cstheme="minorHAnsi"/>
          <w:rtl/>
        </w:rPr>
        <w:t xml:space="preserve">، 25 فبراير 1893؛ يرجى الاطلاع </w:t>
      </w:r>
      <w:r w:rsidRPr="008D64F9">
        <w:rPr>
          <w:rFonts w:asciiTheme="minorHAnsi" w:hAnsiTheme="minorHAnsi" w:cstheme="minorHAnsi"/>
          <w:rtl/>
        </w:rPr>
        <w:t>أيضا على أيضًا هاوزر، ص. 96 وما يليها، ودوشمين، ص. 35 وما يليها، وبييردون-فوسيت، ص. 2 و3 والمصادر الأخرى المذكورة في الملاحظة 2.</w:t>
      </w:r>
    </w:p>
  </w:footnote>
  <w:footnote w:id="8">
    <w:p w14:paraId="0E3635E9" w14:textId="77777777" w:rsidR="008D64F9" w:rsidRPr="008D64F9" w:rsidRDefault="008D64F9" w:rsidP="008D64F9">
      <w:pPr>
        <w:pStyle w:val="FootnoteText"/>
        <w:spacing w:before="120" w:after="120"/>
        <w:rPr>
          <w:rFonts w:asciiTheme="minorHAnsi" w:hAnsiTheme="minorHAnsi" w:cstheme="minorHAnsi"/>
          <w:rtl/>
        </w:rPr>
      </w:pPr>
      <w:r w:rsidRPr="008D64F9">
        <w:rPr>
          <w:rStyle w:val="FootnoteReference"/>
          <w:rFonts w:asciiTheme="minorHAnsi" w:hAnsiTheme="minorHAnsi" w:cstheme="minorHAnsi"/>
        </w:rPr>
        <w:footnoteRef/>
      </w:r>
      <w:r w:rsidRPr="008D64F9">
        <w:rPr>
          <w:rFonts w:asciiTheme="minorHAnsi" w:hAnsiTheme="minorHAnsi" w:cstheme="minorHAnsi"/>
          <w:rtl/>
        </w:rPr>
        <w:t xml:space="preserve"> للمزيد من المعلومات </w:t>
      </w:r>
      <w:r w:rsidRPr="008D64F9">
        <w:rPr>
          <w:rFonts w:asciiTheme="minorHAnsi" w:hAnsiTheme="minorHAnsi" w:cstheme="minorHAnsi"/>
          <w:rtl/>
        </w:rPr>
        <w:t>يرجى الاطلاع على بييردون-فوسيت، من ص. 2 إلى 5.</w:t>
      </w:r>
      <w:r w:rsidRPr="008D64F9">
        <w:rPr>
          <w:rFonts w:asciiTheme="minorHAnsi" w:hAnsiTheme="minorHAnsi" w:cstheme="minorHAnsi"/>
        </w:rPr>
        <w:t xml:space="preserve"> </w:t>
      </w:r>
      <w:r w:rsidRPr="008D64F9">
        <w:rPr>
          <w:rFonts w:asciiTheme="minorHAnsi" w:hAnsiTheme="minorHAnsi" w:cstheme="minorHAnsi"/>
          <w:rtl/>
        </w:rPr>
        <w:t xml:space="preserve">للاطلاع على مسودة اقتراح قديمة كان يمكن أن توفر للفنانين حصة ربع القيمة الاضافية للمصنفات الفنية الأصلية عند إعادة بيعها، يرجى الاطلاع على حق المؤلف </w:t>
      </w:r>
      <w:r w:rsidRPr="008D64F9">
        <w:rPr>
          <w:rFonts w:asciiTheme="minorHAnsi" w:hAnsiTheme="minorHAnsi" w:cstheme="minorHAnsi"/>
          <w:i/>
          <w:iCs/>
        </w:rPr>
        <w:t xml:space="preserve">Le Droit </w:t>
      </w:r>
      <w:proofErr w:type="spellStart"/>
      <w:r w:rsidRPr="008D64F9">
        <w:rPr>
          <w:rFonts w:asciiTheme="minorHAnsi" w:hAnsiTheme="minorHAnsi" w:cstheme="minorHAnsi"/>
          <w:i/>
          <w:iCs/>
        </w:rPr>
        <w:t>d'Auteur</w:t>
      </w:r>
      <w:proofErr w:type="spellEnd"/>
      <w:r w:rsidRPr="008D64F9">
        <w:rPr>
          <w:rFonts w:asciiTheme="minorHAnsi" w:hAnsiTheme="minorHAnsi" w:cstheme="minorHAnsi"/>
        </w:rPr>
        <w:t xml:space="preserve">  </w:t>
      </w:r>
      <w:r w:rsidRPr="008D64F9">
        <w:rPr>
          <w:rFonts w:asciiTheme="minorHAnsi" w:hAnsiTheme="minorHAnsi" w:cstheme="minorHAnsi"/>
          <w:rtl/>
        </w:rPr>
        <w:t>34-36.</w:t>
      </w:r>
      <w:r w:rsidRPr="008D64F9">
        <w:rPr>
          <w:rFonts w:asciiTheme="minorHAnsi" w:hAnsiTheme="minorHAnsi" w:cstheme="minorHAnsi"/>
        </w:rPr>
        <w:t xml:space="preserve"> </w:t>
      </w:r>
    </w:p>
  </w:footnote>
  <w:footnote w:id="9">
    <w:p w14:paraId="50BEF5F9" w14:textId="77777777" w:rsidR="008D64F9" w:rsidRPr="008D64F9" w:rsidRDefault="008D64F9" w:rsidP="008D64F9">
      <w:pPr>
        <w:pStyle w:val="FootnoteText"/>
        <w:spacing w:before="120" w:after="120"/>
        <w:rPr>
          <w:rFonts w:asciiTheme="minorHAnsi" w:hAnsiTheme="minorHAnsi" w:cstheme="minorHAnsi"/>
          <w:rtl/>
        </w:rPr>
      </w:pPr>
      <w:r w:rsidRPr="008D64F9">
        <w:rPr>
          <w:rStyle w:val="FootnoteReference"/>
          <w:rFonts w:asciiTheme="minorHAnsi" w:hAnsiTheme="minorHAnsi" w:cstheme="minorHAnsi"/>
        </w:rPr>
        <w:footnoteRef/>
      </w:r>
      <w:r w:rsidRPr="008D64F9">
        <w:rPr>
          <w:rFonts w:asciiTheme="minorHAnsi" w:hAnsiTheme="minorHAnsi" w:cstheme="minorHAnsi"/>
          <w:rtl/>
        </w:rPr>
        <w:t xml:space="preserve"> </w:t>
      </w:r>
      <w:r w:rsidRPr="008D64F9">
        <w:rPr>
          <w:rFonts w:asciiTheme="minorHAnsi" w:hAnsiTheme="minorHAnsi" w:cstheme="minorHAnsi"/>
          <w:rtl/>
        </w:rPr>
        <w:t xml:space="preserve">قانون 20 مايو 1920؛ أعيد إنتاجه في [1920] حق المؤلف  </w:t>
      </w:r>
      <w:r w:rsidRPr="008D64F9">
        <w:rPr>
          <w:rFonts w:asciiTheme="minorHAnsi" w:hAnsiTheme="minorHAnsi" w:cstheme="minorHAnsi"/>
        </w:rPr>
        <w:t xml:space="preserve">Le Droit </w:t>
      </w:r>
      <w:proofErr w:type="spellStart"/>
      <w:r w:rsidRPr="008D64F9">
        <w:rPr>
          <w:rFonts w:asciiTheme="minorHAnsi" w:hAnsiTheme="minorHAnsi" w:cstheme="minorHAnsi"/>
        </w:rPr>
        <w:t>d'Auteur</w:t>
      </w:r>
      <w:proofErr w:type="spellEnd"/>
      <w:r w:rsidRPr="008D64F9">
        <w:rPr>
          <w:rFonts w:asciiTheme="minorHAnsi" w:hAnsiTheme="minorHAnsi" w:cstheme="minorHAnsi"/>
        </w:rPr>
        <w:t xml:space="preserve"> 61</w:t>
      </w:r>
      <w:r w:rsidRPr="008D64F9">
        <w:rPr>
          <w:rFonts w:asciiTheme="minorHAnsi" w:hAnsiTheme="minorHAnsi" w:cstheme="minorHAnsi"/>
          <w:rtl/>
        </w:rPr>
        <w:t xml:space="preserve"> وفيما يتعلق بتحليل القانون، يرجى الاطلاع على فونوا، [1920] حق المؤلف </w:t>
      </w:r>
      <w:r w:rsidRPr="008D64F9">
        <w:rPr>
          <w:rFonts w:asciiTheme="minorHAnsi" w:hAnsiTheme="minorHAnsi" w:cstheme="minorHAnsi"/>
        </w:rPr>
        <w:t xml:space="preserve">Le Droit </w:t>
      </w:r>
      <w:proofErr w:type="spellStart"/>
      <w:r w:rsidRPr="008D64F9">
        <w:rPr>
          <w:rFonts w:asciiTheme="minorHAnsi" w:hAnsiTheme="minorHAnsi" w:cstheme="minorHAnsi"/>
        </w:rPr>
        <w:t>d'Auteur</w:t>
      </w:r>
      <w:proofErr w:type="spellEnd"/>
      <w:r w:rsidRPr="008D64F9">
        <w:rPr>
          <w:rFonts w:asciiTheme="minorHAnsi" w:hAnsiTheme="minorHAnsi" w:cstheme="minorHAnsi"/>
        </w:rPr>
        <w:t xml:space="preserve"> 161</w:t>
      </w:r>
      <w:r w:rsidRPr="008D64F9">
        <w:rPr>
          <w:rFonts w:asciiTheme="minorHAnsi" w:hAnsiTheme="minorHAnsi" w:cstheme="minorHAnsi"/>
          <w:rtl/>
        </w:rPr>
        <w:t>.</w:t>
      </w:r>
      <w:r w:rsidRPr="008D64F9">
        <w:rPr>
          <w:rFonts w:asciiTheme="minorHAnsi" w:hAnsiTheme="minorHAnsi" w:cstheme="minorHAnsi"/>
        </w:rPr>
        <w:t xml:space="preserve"> </w:t>
      </w:r>
      <w:r w:rsidRPr="008D64F9">
        <w:rPr>
          <w:rFonts w:asciiTheme="minorHAnsi" w:hAnsiTheme="minorHAnsi" w:cstheme="minorHAnsi"/>
          <w:rtl/>
        </w:rPr>
        <w:t>للمزيد من المعلومات يرجى الاطلاع على  دوشيمين، ص. 36 وما يليها.</w:t>
      </w:r>
    </w:p>
  </w:footnote>
  <w:footnote w:id="10">
    <w:p w14:paraId="48EF327D" w14:textId="77777777" w:rsidR="008D64F9" w:rsidRPr="008D64F9" w:rsidRDefault="008D64F9" w:rsidP="008D64F9">
      <w:pPr>
        <w:pStyle w:val="FootnoteText"/>
        <w:spacing w:before="120" w:after="120"/>
        <w:rPr>
          <w:rFonts w:asciiTheme="minorHAnsi" w:hAnsiTheme="minorHAnsi" w:cstheme="minorHAnsi"/>
          <w:rtl/>
        </w:rPr>
      </w:pPr>
      <w:r w:rsidRPr="008D64F9">
        <w:rPr>
          <w:rStyle w:val="FootnoteReference"/>
          <w:rFonts w:asciiTheme="minorHAnsi" w:hAnsiTheme="minorHAnsi" w:cstheme="minorHAnsi"/>
        </w:rPr>
        <w:footnoteRef/>
      </w:r>
      <w:r w:rsidRPr="008D64F9">
        <w:rPr>
          <w:rFonts w:asciiTheme="minorHAnsi" w:hAnsiTheme="minorHAnsi" w:cstheme="minorHAnsi"/>
          <w:rtl/>
        </w:rPr>
        <w:t xml:space="preserve"> قانون 20 مايو 1920، المادة 2.</w:t>
      </w:r>
      <w:r w:rsidRPr="008D64F9">
        <w:rPr>
          <w:rFonts w:asciiTheme="minorHAnsi" w:hAnsiTheme="minorHAnsi" w:cstheme="minorHAnsi"/>
        </w:rPr>
        <w:t xml:space="preserve"> </w:t>
      </w:r>
      <w:r w:rsidRPr="008D64F9">
        <w:rPr>
          <w:rFonts w:asciiTheme="minorHAnsi" w:hAnsiTheme="minorHAnsi" w:cstheme="minorHAnsi"/>
          <w:rtl/>
        </w:rPr>
        <w:t>كان المقياس 1% للمصنفات المباعة بين 1000 و10000 فرنك فرنسي؛ و1.5% للمصنفات المباعة بين 10000 و20000 فرنك فرنسي؛ و2%</w:t>
      </w:r>
      <w:r w:rsidRPr="008D64F9">
        <w:rPr>
          <w:rFonts w:asciiTheme="minorHAnsi" w:hAnsiTheme="minorHAnsi" w:cstheme="minorHAnsi"/>
        </w:rPr>
        <w:t xml:space="preserve"> </w:t>
      </w:r>
      <w:r w:rsidRPr="008D64F9">
        <w:rPr>
          <w:rFonts w:asciiTheme="minorHAnsi" w:hAnsiTheme="minorHAnsi" w:cstheme="minorHAnsi"/>
          <w:rtl/>
        </w:rPr>
        <w:t>للمصنفات بين 20000 و50000 فرنك فرنسي؛ و3% للمصنفات التي تزيد قيمة بيعها عن 50000 فرنك فرنسي.</w:t>
      </w:r>
      <w:r w:rsidRPr="008D64F9">
        <w:rPr>
          <w:rFonts w:asciiTheme="minorHAnsi" w:hAnsiTheme="minorHAnsi" w:cstheme="minorHAnsi"/>
        </w:rPr>
        <w:t xml:space="preserve"> </w:t>
      </w:r>
      <w:r w:rsidRPr="008D64F9">
        <w:rPr>
          <w:rFonts w:asciiTheme="minorHAnsi" w:hAnsiTheme="minorHAnsi" w:cstheme="minorHAnsi"/>
          <w:rtl/>
        </w:rPr>
        <w:t>وفي 17 كانون الأول/ديسمبر 1920، تم اعتماد مرسوم تنفيذي آخر:</w:t>
      </w:r>
      <w:r w:rsidRPr="008D64F9">
        <w:rPr>
          <w:rFonts w:asciiTheme="minorHAnsi" w:hAnsiTheme="minorHAnsi" w:cstheme="minorHAnsi"/>
        </w:rPr>
        <w:t xml:space="preserve"> </w:t>
      </w:r>
      <w:r w:rsidRPr="008D64F9">
        <w:rPr>
          <w:rFonts w:asciiTheme="minorHAnsi" w:hAnsiTheme="minorHAnsi" w:cstheme="minorHAnsi"/>
          <w:rtl/>
        </w:rPr>
        <w:t>[</w:t>
      </w:r>
      <w:r w:rsidRPr="008D64F9">
        <w:rPr>
          <w:rFonts w:asciiTheme="minorHAnsi" w:hAnsiTheme="minorHAnsi" w:cstheme="minorHAnsi"/>
          <w:i/>
          <w:iCs/>
          <w:rtl/>
        </w:rPr>
        <w:t xml:space="preserve">1921] حق التتبع </w:t>
      </w:r>
      <w:r w:rsidRPr="008D64F9">
        <w:rPr>
          <w:rFonts w:asciiTheme="minorHAnsi" w:hAnsiTheme="minorHAnsi" w:cstheme="minorHAnsi"/>
          <w:rtl/>
        </w:rPr>
        <w:t>4.</w:t>
      </w:r>
    </w:p>
  </w:footnote>
  <w:footnote w:id="11">
    <w:p w14:paraId="1B70C7DE" w14:textId="77777777" w:rsidR="008D64F9" w:rsidRPr="008D64F9" w:rsidRDefault="008D64F9" w:rsidP="008D64F9">
      <w:pPr>
        <w:pStyle w:val="FootnoteText"/>
        <w:spacing w:before="120" w:after="120"/>
        <w:rPr>
          <w:rFonts w:asciiTheme="minorHAnsi" w:hAnsiTheme="minorHAnsi" w:cstheme="minorHAnsi"/>
          <w:rtl/>
        </w:rPr>
      </w:pPr>
      <w:r w:rsidRPr="008D64F9">
        <w:rPr>
          <w:rStyle w:val="FootnoteReference"/>
          <w:rFonts w:asciiTheme="minorHAnsi" w:hAnsiTheme="minorHAnsi" w:cstheme="minorHAnsi"/>
        </w:rPr>
        <w:footnoteRef/>
      </w:r>
      <w:r w:rsidRPr="008D64F9">
        <w:rPr>
          <w:rFonts w:asciiTheme="minorHAnsi" w:hAnsiTheme="minorHAnsi" w:cstheme="minorHAnsi"/>
          <w:rtl/>
        </w:rPr>
        <w:t xml:space="preserve"> </w:t>
      </w:r>
      <w:r w:rsidRPr="008D64F9">
        <w:rPr>
          <w:rFonts w:asciiTheme="minorHAnsi" w:hAnsiTheme="minorHAnsi" w:cstheme="minorHAnsi"/>
          <w:rtl/>
        </w:rPr>
        <w:t xml:space="preserve">للمزيد من المعلومات يرجى الاطلاع على فونوا، [192] حق المؤلف </w:t>
      </w:r>
      <w:r w:rsidRPr="008D64F9">
        <w:rPr>
          <w:rFonts w:asciiTheme="minorHAnsi" w:hAnsiTheme="minorHAnsi" w:cstheme="minorHAnsi"/>
          <w:i/>
          <w:iCs/>
        </w:rPr>
        <w:t xml:space="preserve">Le Droit </w:t>
      </w:r>
      <w:proofErr w:type="spellStart"/>
      <w:r w:rsidRPr="008D64F9">
        <w:rPr>
          <w:rFonts w:asciiTheme="minorHAnsi" w:hAnsiTheme="minorHAnsi" w:cstheme="minorHAnsi"/>
          <w:i/>
          <w:iCs/>
        </w:rPr>
        <w:t>d'Auteur</w:t>
      </w:r>
      <w:proofErr w:type="spellEnd"/>
      <w:r w:rsidRPr="008D64F9">
        <w:rPr>
          <w:rFonts w:asciiTheme="minorHAnsi" w:hAnsiTheme="minorHAnsi" w:cstheme="minorHAnsi"/>
          <w:i/>
          <w:iCs/>
        </w:rPr>
        <w:t xml:space="preserve"> </w:t>
      </w:r>
      <w:r w:rsidRPr="008D64F9">
        <w:rPr>
          <w:rFonts w:asciiTheme="minorHAnsi" w:hAnsiTheme="minorHAnsi" w:cstheme="minorHAnsi"/>
        </w:rPr>
        <w:t xml:space="preserve"> </w:t>
      </w:r>
      <w:r w:rsidRPr="008D64F9">
        <w:rPr>
          <w:rFonts w:asciiTheme="minorHAnsi" w:hAnsiTheme="minorHAnsi" w:cstheme="minorHAnsi"/>
          <w:rtl/>
        </w:rPr>
        <w:t xml:space="preserve">106-107؛ </w:t>
      </w:r>
      <w:r w:rsidRPr="008D64F9">
        <w:rPr>
          <w:rFonts w:asciiTheme="minorHAnsi" w:hAnsiTheme="minorHAnsi" w:cstheme="minorHAnsi"/>
          <w:i/>
          <w:iCs/>
          <w:rtl/>
        </w:rPr>
        <w:t>وهاوزر</w:t>
      </w:r>
      <w:r w:rsidRPr="008D64F9">
        <w:rPr>
          <w:rFonts w:asciiTheme="minorHAnsi" w:hAnsiTheme="minorHAnsi" w:cstheme="minorHAnsi"/>
          <w:rtl/>
        </w:rPr>
        <w:t>، 99-101.</w:t>
      </w:r>
    </w:p>
  </w:footnote>
  <w:footnote w:id="12">
    <w:p w14:paraId="50B05D0C" w14:textId="77777777" w:rsidR="008D64F9" w:rsidRPr="008D64F9" w:rsidRDefault="008D64F9" w:rsidP="008D64F9">
      <w:pPr>
        <w:pStyle w:val="FootnoteText"/>
        <w:spacing w:before="120" w:after="120"/>
        <w:rPr>
          <w:rFonts w:asciiTheme="minorHAnsi" w:hAnsiTheme="minorHAnsi" w:cstheme="minorHAnsi"/>
          <w:rtl/>
        </w:rPr>
      </w:pPr>
      <w:r w:rsidRPr="008D64F9">
        <w:rPr>
          <w:rStyle w:val="FootnoteReference"/>
          <w:rFonts w:asciiTheme="minorHAnsi" w:hAnsiTheme="minorHAnsi" w:cstheme="minorHAnsi"/>
        </w:rPr>
        <w:footnoteRef/>
      </w:r>
      <w:r w:rsidRPr="008D64F9">
        <w:rPr>
          <w:rFonts w:asciiTheme="minorHAnsi" w:hAnsiTheme="minorHAnsi" w:cstheme="minorHAnsi"/>
          <w:rtl/>
        </w:rPr>
        <w:t xml:space="preserve"> </w:t>
      </w:r>
      <w:r w:rsidRPr="008D64F9">
        <w:rPr>
          <w:rFonts w:asciiTheme="minorHAnsi" w:hAnsiTheme="minorHAnsi" w:cstheme="minorHAnsi"/>
          <w:rtl/>
        </w:rPr>
        <w:t xml:space="preserve">قانون 25 يونيو 1921 (تم نشره في [1921] حق المؤلف </w:t>
      </w:r>
      <w:r w:rsidRPr="008D64F9">
        <w:rPr>
          <w:rFonts w:asciiTheme="minorHAnsi" w:hAnsiTheme="minorHAnsi" w:cstheme="minorHAnsi"/>
        </w:rPr>
        <w:t xml:space="preserve">Le Droit </w:t>
      </w:r>
      <w:proofErr w:type="spellStart"/>
      <w:r w:rsidRPr="008D64F9">
        <w:rPr>
          <w:rFonts w:asciiTheme="minorHAnsi" w:hAnsiTheme="minorHAnsi" w:cstheme="minorHAnsi"/>
        </w:rPr>
        <w:t>d’Auteur</w:t>
      </w:r>
      <w:proofErr w:type="spellEnd"/>
      <w:r w:rsidRPr="008D64F9">
        <w:rPr>
          <w:rFonts w:asciiTheme="minorHAnsi" w:hAnsiTheme="minorHAnsi" w:cstheme="minorHAnsi"/>
        </w:rPr>
        <w:t xml:space="preserve">  97</w:t>
      </w:r>
      <w:r w:rsidRPr="008D64F9">
        <w:rPr>
          <w:rFonts w:asciiTheme="minorHAnsi" w:hAnsiTheme="minorHAnsi" w:cstheme="minorHAnsi"/>
          <w:rtl/>
        </w:rPr>
        <w:t>).</w:t>
      </w:r>
      <w:r w:rsidRPr="008D64F9">
        <w:rPr>
          <w:rFonts w:asciiTheme="minorHAnsi" w:hAnsiTheme="minorHAnsi" w:cstheme="minorHAnsi"/>
        </w:rPr>
        <w:t xml:space="preserve"> </w:t>
      </w:r>
      <w:r w:rsidRPr="008D64F9">
        <w:rPr>
          <w:rFonts w:asciiTheme="minorHAnsi" w:hAnsiTheme="minorHAnsi" w:cstheme="minorHAnsi"/>
          <w:rtl/>
        </w:rPr>
        <w:t>يتراوح المقياس بين 2% و6%:</w:t>
      </w:r>
      <w:r w:rsidRPr="008D64F9">
        <w:rPr>
          <w:rFonts w:asciiTheme="minorHAnsi" w:hAnsiTheme="minorHAnsi" w:cstheme="minorHAnsi"/>
        </w:rPr>
        <w:t xml:space="preserve"> </w:t>
      </w:r>
      <w:r w:rsidRPr="008D64F9">
        <w:rPr>
          <w:rFonts w:asciiTheme="minorHAnsi" w:hAnsiTheme="minorHAnsi" w:cstheme="minorHAnsi"/>
          <w:rtl/>
        </w:rPr>
        <w:t>المادة 2.</w:t>
      </w:r>
    </w:p>
  </w:footnote>
  <w:footnote w:id="13">
    <w:p w14:paraId="18EE878E" w14:textId="77777777" w:rsidR="008D64F9" w:rsidRPr="008D64F9" w:rsidRDefault="008D64F9" w:rsidP="008D64F9">
      <w:pPr>
        <w:pStyle w:val="FootnoteText"/>
        <w:spacing w:before="120" w:after="120"/>
        <w:rPr>
          <w:rFonts w:asciiTheme="minorHAnsi" w:hAnsiTheme="minorHAnsi" w:cstheme="minorHAnsi"/>
          <w:rtl/>
        </w:rPr>
      </w:pPr>
      <w:r w:rsidRPr="008D64F9">
        <w:rPr>
          <w:rStyle w:val="FootnoteReference"/>
          <w:rFonts w:asciiTheme="minorHAnsi" w:hAnsiTheme="minorHAnsi" w:cstheme="minorHAnsi"/>
        </w:rPr>
        <w:footnoteRef/>
      </w:r>
      <w:r w:rsidRPr="008D64F9">
        <w:rPr>
          <w:rFonts w:asciiTheme="minorHAnsi" w:hAnsiTheme="minorHAnsi" w:cstheme="minorHAnsi"/>
          <w:rtl/>
        </w:rPr>
        <w:t xml:space="preserve"> </w:t>
      </w:r>
      <w:r w:rsidRPr="008D64F9">
        <w:rPr>
          <w:rFonts w:asciiTheme="minorHAnsi" w:hAnsiTheme="minorHAnsi" w:cstheme="minorHAnsi"/>
          <w:rtl/>
        </w:rPr>
        <w:t xml:space="preserve">قانون 24 نوفمبر 1926، المادة 35 (تم نشره في [1926] </w:t>
      </w:r>
      <w:r w:rsidRPr="008D64F9">
        <w:rPr>
          <w:rFonts w:asciiTheme="minorHAnsi" w:hAnsiTheme="minorHAnsi" w:cstheme="minorHAnsi"/>
          <w:i/>
          <w:iCs/>
          <w:rtl/>
        </w:rPr>
        <w:t xml:space="preserve">حق المؤلف </w:t>
      </w:r>
      <w:r w:rsidRPr="008D64F9">
        <w:rPr>
          <w:rFonts w:asciiTheme="minorHAnsi" w:hAnsiTheme="minorHAnsi" w:cstheme="minorHAnsi"/>
          <w:i/>
          <w:iCs/>
        </w:rPr>
        <w:t xml:space="preserve">Le Droit </w:t>
      </w:r>
      <w:proofErr w:type="spellStart"/>
      <w:r w:rsidRPr="008D64F9">
        <w:rPr>
          <w:rFonts w:asciiTheme="minorHAnsi" w:hAnsiTheme="minorHAnsi" w:cstheme="minorHAnsi"/>
          <w:i/>
          <w:iCs/>
        </w:rPr>
        <w:t>d’Auteur</w:t>
      </w:r>
      <w:proofErr w:type="spellEnd"/>
      <w:r w:rsidRPr="008D64F9">
        <w:rPr>
          <w:rFonts w:asciiTheme="minorHAnsi" w:hAnsiTheme="minorHAnsi" w:cstheme="minorHAnsi"/>
          <w:i/>
          <w:iCs/>
          <w:rtl/>
        </w:rPr>
        <w:t xml:space="preserve"> </w:t>
      </w:r>
      <w:r w:rsidRPr="008D64F9">
        <w:rPr>
          <w:rFonts w:asciiTheme="minorHAnsi" w:hAnsiTheme="minorHAnsi" w:cstheme="minorHAnsi"/>
          <w:rtl/>
        </w:rPr>
        <w:t xml:space="preserve"> 33-34).</w:t>
      </w:r>
    </w:p>
  </w:footnote>
  <w:footnote w:id="14">
    <w:p w14:paraId="11D2FF2C" w14:textId="77777777" w:rsidR="008D64F9" w:rsidRPr="008D64F9" w:rsidRDefault="008D64F9" w:rsidP="008D64F9">
      <w:pPr>
        <w:pStyle w:val="FootnoteText"/>
        <w:spacing w:before="120" w:after="120"/>
        <w:rPr>
          <w:rFonts w:asciiTheme="minorHAnsi" w:hAnsiTheme="minorHAnsi" w:cstheme="minorHAnsi"/>
          <w:rtl/>
        </w:rPr>
      </w:pPr>
      <w:r w:rsidRPr="008D64F9">
        <w:rPr>
          <w:rStyle w:val="FootnoteReference"/>
          <w:rFonts w:asciiTheme="minorHAnsi" w:hAnsiTheme="minorHAnsi" w:cstheme="minorHAnsi"/>
        </w:rPr>
        <w:footnoteRef/>
      </w:r>
      <w:r w:rsidRPr="008D64F9">
        <w:rPr>
          <w:rFonts w:asciiTheme="minorHAnsi" w:hAnsiTheme="minorHAnsi" w:cstheme="minorHAnsi"/>
          <w:rtl/>
        </w:rPr>
        <w:t xml:space="preserve"> </w:t>
      </w:r>
      <w:r w:rsidRPr="008D64F9">
        <w:rPr>
          <w:rFonts w:asciiTheme="minorHAnsi" w:hAnsiTheme="minorHAnsi" w:cstheme="minorHAnsi"/>
          <w:rtl/>
        </w:rPr>
        <w:t xml:space="preserve">قانون 22 مارس 1935، المادة الجديدة 29، التي أدخلت تعديلات على قانون 29 مارس 1926 (تم نشره في [1935] حق المؤلف </w:t>
      </w:r>
      <w:r w:rsidRPr="008D64F9">
        <w:rPr>
          <w:rFonts w:asciiTheme="minorHAnsi" w:hAnsiTheme="minorHAnsi" w:cstheme="minorHAnsi"/>
        </w:rPr>
        <w:t xml:space="preserve">Le Droit </w:t>
      </w:r>
      <w:proofErr w:type="spellStart"/>
      <w:r w:rsidRPr="008D64F9">
        <w:rPr>
          <w:rFonts w:asciiTheme="minorHAnsi" w:hAnsiTheme="minorHAnsi" w:cstheme="minorHAnsi"/>
        </w:rPr>
        <w:t>d’Auteur</w:t>
      </w:r>
      <w:proofErr w:type="spellEnd"/>
      <w:r w:rsidRPr="008D64F9">
        <w:rPr>
          <w:rFonts w:asciiTheme="minorHAnsi" w:hAnsiTheme="minorHAnsi" w:cstheme="minorHAnsi"/>
        </w:rPr>
        <w:t xml:space="preserve">  63</w:t>
      </w:r>
      <w:r w:rsidRPr="008D64F9">
        <w:rPr>
          <w:rFonts w:asciiTheme="minorHAnsi" w:hAnsiTheme="minorHAnsi" w:cstheme="minorHAnsi"/>
          <w:rtl/>
        </w:rPr>
        <w:t>).</w:t>
      </w:r>
    </w:p>
  </w:footnote>
  <w:footnote w:id="15">
    <w:p w14:paraId="6693F161" w14:textId="77777777" w:rsidR="008D64F9" w:rsidRPr="008D64F9" w:rsidRDefault="008D64F9" w:rsidP="008D64F9">
      <w:pPr>
        <w:pStyle w:val="FootnoteText"/>
        <w:spacing w:before="120" w:after="120"/>
        <w:rPr>
          <w:rFonts w:asciiTheme="minorHAnsi" w:hAnsiTheme="minorHAnsi" w:cstheme="minorHAnsi"/>
          <w:rtl/>
        </w:rPr>
      </w:pPr>
      <w:r w:rsidRPr="008D64F9">
        <w:rPr>
          <w:rStyle w:val="FootnoteReference"/>
          <w:rFonts w:asciiTheme="minorHAnsi" w:hAnsiTheme="minorHAnsi" w:cstheme="minorHAnsi"/>
        </w:rPr>
        <w:footnoteRef/>
      </w:r>
      <w:r w:rsidRPr="008D64F9">
        <w:rPr>
          <w:rFonts w:asciiTheme="minorHAnsi" w:hAnsiTheme="minorHAnsi" w:cstheme="minorHAnsi"/>
          <w:rtl/>
        </w:rPr>
        <w:t xml:space="preserve"> قانون 22 أبريل 1941، المواد 144-155.</w:t>
      </w:r>
    </w:p>
  </w:footnote>
  <w:footnote w:id="16">
    <w:p w14:paraId="54A0117F" w14:textId="77777777" w:rsidR="008D64F9" w:rsidRPr="008D64F9" w:rsidRDefault="008D64F9" w:rsidP="008D64F9">
      <w:pPr>
        <w:pStyle w:val="FootnoteText"/>
        <w:spacing w:before="120" w:after="120"/>
        <w:rPr>
          <w:rFonts w:asciiTheme="minorHAnsi" w:hAnsiTheme="minorHAnsi" w:cstheme="minorHAnsi"/>
          <w:rtl/>
        </w:rPr>
      </w:pPr>
      <w:r w:rsidRPr="008D64F9">
        <w:rPr>
          <w:rStyle w:val="FootnoteReference"/>
          <w:rFonts w:asciiTheme="minorHAnsi" w:hAnsiTheme="minorHAnsi" w:cstheme="minorHAnsi"/>
        </w:rPr>
        <w:footnoteRef/>
      </w:r>
      <w:r w:rsidRPr="008D64F9">
        <w:rPr>
          <w:rFonts w:asciiTheme="minorHAnsi" w:hAnsiTheme="minorHAnsi" w:cstheme="minorHAnsi"/>
          <w:rtl/>
        </w:rPr>
        <w:t xml:space="preserve"> قانون 17 ديسمبر 1937، المادة 9 (حصة 25%).</w:t>
      </w:r>
    </w:p>
  </w:footnote>
  <w:footnote w:id="17">
    <w:p w14:paraId="1BCC0743" w14:textId="77777777" w:rsidR="008D64F9" w:rsidRPr="008D64F9" w:rsidRDefault="008D64F9" w:rsidP="008D64F9">
      <w:pPr>
        <w:pStyle w:val="FootnoteText"/>
        <w:spacing w:before="120" w:after="120"/>
        <w:rPr>
          <w:rFonts w:asciiTheme="minorHAnsi" w:hAnsiTheme="minorHAnsi" w:cstheme="minorHAnsi"/>
          <w:rtl/>
        </w:rPr>
      </w:pPr>
      <w:r w:rsidRPr="008D64F9">
        <w:rPr>
          <w:rStyle w:val="FootnoteReference"/>
          <w:rFonts w:asciiTheme="minorHAnsi" w:hAnsiTheme="minorHAnsi" w:cstheme="minorHAnsi"/>
        </w:rPr>
        <w:footnoteRef/>
      </w:r>
      <w:r w:rsidRPr="008D64F9">
        <w:rPr>
          <w:rFonts w:asciiTheme="minorHAnsi" w:hAnsiTheme="minorHAnsi" w:cstheme="minorHAnsi"/>
          <w:rtl/>
        </w:rPr>
        <w:t xml:space="preserve"> يرجى </w:t>
      </w:r>
      <w:r w:rsidRPr="008D64F9">
        <w:rPr>
          <w:rFonts w:asciiTheme="minorHAnsi" w:hAnsiTheme="minorHAnsi" w:cstheme="minorHAnsi"/>
          <w:rtl/>
        </w:rPr>
        <w:t>الاطلاع أيضا على ريكتسون، 17-19.</w:t>
      </w:r>
    </w:p>
  </w:footnote>
  <w:footnote w:id="18">
    <w:p w14:paraId="7D3F4BCF" w14:textId="77777777" w:rsidR="008D64F9" w:rsidRPr="008D64F9" w:rsidRDefault="008D64F9" w:rsidP="008D64F9">
      <w:pPr>
        <w:pStyle w:val="FootnoteText"/>
        <w:spacing w:before="120" w:after="120"/>
        <w:rPr>
          <w:rFonts w:asciiTheme="minorHAnsi" w:hAnsiTheme="minorHAnsi" w:cstheme="minorHAnsi"/>
          <w:rtl/>
        </w:rPr>
      </w:pPr>
      <w:r w:rsidRPr="004F3D56">
        <w:rPr>
          <w:rStyle w:val="FootnoteReference"/>
          <w:rFonts w:asciiTheme="minorBidi" w:hAnsiTheme="minorBidi" w:cstheme="minorBidi"/>
        </w:rPr>
        <w:footnoteRef/>
      </w:r>
      <w:r w:rsidRPr="004F3D56">
        <w:rPr>
          <w:rFonts w:asciiTheme="minorBidi" w:hAnsiTheme="minorBidi" w:cstheme="minorBidi"/>
          <w:rtl/>
        </w:rPr>
        <w:t xml:space="preserve"> </w:t>
      </w:r>
      <w:r w:rsidRPr="008D64F9">
        <w:rPr>
          <w:rFonts w:asciiTheme="minorHAnsi" w:hAnsiTheme="minorHAnsi" w:cstheme="minorHAnsi"/>
          <w:rtl/>
        </w:rPr>
        <w:t xml:space="preserve">ريكيتسون </w:t>
      </w:r>
      <w:r w:rsidRPr="008D64F9">
        <w:rPr>
          <w:rFonts w:asciiTheme="minorHAnsi" w:hAnsiTheme="minorHAnsi" w:cstheme="minorHAnsi"/>
          <w:rtl/>
        </w:rPr>
        <w:t>وجينسبيرج، الفقرة 11.64.</w:t>
      </w:r>
    </w:p>
  </w:footnote>
  <w:footnote w:id="19">
    <w:p w14:paraId="004C466E" w14:textId="77777777" w:rsidR="008D64F9" w:rsidRPr="008D64F9" w:rsidRDefault="008D64F9" w:rsidP="008D64F9">
      <w:pPr>
        <w:pStyle w:val="FootnoteText"/>
        <w:spacing w:before="120" w:after="120"/>
        <w:rPr>
          <w:rFonts w:asciiTheme="minorHAnsi" w:hAnsiTheme="minorHAnsi" w:cstheme="minorHAnsi"/>
          <w:rtl/>
        </w:rPr>
      </w:pPr>
      <w:r w:rsidRPr="008D64F9">
        <w:rPr>
          <w:rStyle w:val="FootnoteReference"/>
          <w:rFonts w:asciiTheme="minorHAnsi" w:hAnsiTheme="minorHAnsi" w:cstheme="minorHAnsi"/>
        </w:rPr>
        <w:footnoteRef/>
      </w:r>
      <w:r w:rsidRPr="008D64F9">
        <w:rPr>
          <w:rFonts w:asciiTheme="minorHAnsi" w:hAnsiTheme="minorHAnsi" w:cstheme="minorHAnsi"/>
          <w:rtl/>
        </w:rPr>
        <w:t xml:space="preserve"> يرجى </w:t>
      </w:r>
      <w:r w:rsidRPr="008D64F9">
        <w:rPr>
          <w:rFonts w:asciiTheme="minorHAnsi" w:hAnsiTheme="minorHAnsi" w:cstheme="minorHAnsi"/>
          <w:rtl/>
        </w:rPr>
        <w:t>الاطلاع على ريكتسون وجينسبيرج، الفقرة 11.64.</w:t>
      </w:r>
      <w:r w:rsidRPr="008D64F9">
        <w:rPr>
          <w:rFonts w:asciiTheme="minorHAnsi" w:hAnsiTheme="minorHAnsi" w:cstheme="minorHAnsi"/>
        </w:rPr>
        <w:t xml:space="preserve"> </w:t>
      </w:r>
      <w:r w:rsidRPr="008D64F9">
        <w:rPr>
          <w:rFonts w:asciiTheme="minorHAnsi" w:hAnsiTheme="minorHAnsi" w:cstheme="minorHAnsi"/>
          <w:rtl/>
        </w:rPr>
        <w:t>قد نص القرار على ما يلي:</w:t>
      </w:r>
      <w:r w:rsidRPr="008D64F9">
        <w:rPr>
          <w:rFonts w:asciiTheme="minorHAnsi" w:hAnsiTheme="minorHAnsi" w:cstheme="minorHAnsi"/>
        </w:rPr>
        <w:t xml:space="preserve"> </w:t>
      </w:r>
    </w:p>
    <w:p w14:paraId="093691C0" w14:textId="77777777" w:rsidR="008D64F9" w:rsidRPr="008D64F9" w:rsidRDefault="008D64F9" w:rsidP="008D64F9">
      <w:pPr>
        <w:pStyle w:val="FootnoteText"/>
        <w:spacing w:before="120" w:after="120"/>
        <w:ind w:left="720"/>
        <w:rPr>
          <w:rFonts w:asciiTheme="minorHAnsi" w:hAnsiTheme="minorHAnsi" w:cstheme="minorHAnsi"/>
          <w:rtl/>
        </w:rPr>
      </w:pPr>
      <w:r w:rsidRPr="008D64F9">
        <w:rPr>
          <w:rFonts w:asciiTheme="minorHAnsi" w:hAnsiTheme="minorHAnsi" w:cstheme="minorHAnsi"/>
          <w:rtl/>
        </w:rPr>
        <w:t>يُعبر المؤتمر عن رغبته في أن تقوم بلدان الاتحاد التي لم تتبنى بعد أحكاماً تشريعية تضمن للفنانين حقاً غير قابل للتصرف في الحصول على حصة من عائدات المبيعات العامة المتتالية لمصنفاتهم الأصلية بالأخذ في الاعتبار إمكانية النظر في اعتماد مثل هذه الأحكام.</w:t>
      </w:r>
    </w:p>
  </w:footnote>
  <w:footnote w:id="20">
    <w:p w14:paraId="0D82378A" w14:textId="77777777" w:rsidR="008D64F9" w:rsidRPr="008D64F9" w:rsidRDefault="008D64F9" w:rsidP="008D64F9">
      <w:pPr>
        <w:pStyle w:val="FootnoteText"/>
        <w:spacing w:before="120" w:after="120"/>
        <w:jc w:val="both"/>
        <w:rPr>
          <w:rFonts w:asciiTheme="minorHAnsi" w:hAnsiTheme="minorHAnsi" w:cstheme="minorHAnsi"/>
          <w:rtl/>
        </w:rPr>
      </w:pPr>
      <w:r w:rsidRPr="008D64F9">
        <w:rPr>
          <w:rStyle w:val="FootnoteReference"/>
          <w:rFonts w:asciiTheme="minorHAnsi" w:hAnsiTheme="minorHAnsi" w:cstheme="minorHAnsi"/>
        </w:rPr>
        <w:footnoteRef/>
      </w:r>
      <w:r w:rsidRPr="008D64F9">
        <w:rPr>
          <w:rFonts w:asciiTheme="minorHAnsi" w:hAnsiTheme="minorHAnsi" w:cstheme="minorHAnsi"/>
          <w:rtl/>
        </w:rPr>
        <w:t xml:space="preserve"> </w:t>
      </w:r>
      <w:r w:rsidRPr="008D64F9">
        <w:rPr>
          <w:rFonts w:asciiTheme="minorHAnsi" w:hAnsiTheme="minorHAnsi" w:cstheme="minorHAnsi"/>
          <w:rtl/>
        </w:rPr>
        <w:t xml:space="preserve">بما في ذلك مسودة اتفاقية بشأن الموضوع أعده مدير </w:t>
      </w:r>
      <w:r w:rsidRPr="008D64F9">
        <w:rPr>
          <w:rFonts w:asciiTheme="minorHAnsi" w:hAnsiTheme="minorHAnsi" w:cstheme="minorHAnsi"/>
          <w:rtl/>
        </w:rPr>
        <w:t xml:space="preserve">مكتب برن الدولي، فريتز أوستيرتاج، في عام 1939: يرجى الاطلاع أيضًا على  دوشيمين (1948)، ص 299-301، و[1940] </w:t>
      </w:r>
      <w:r w:rsidRPr="008D64F9">
        <w:rPr>
          <w:rFonts w:asciiTheme="minorHAnsi" w:hAnsiTheme="minorHAnsi" w:cstheme="minorHAnsi"/>
        </w:rPr>
        <w:t>DA 138</w:t>
      </w:r>
      <w:r w:rsidRPr="008D64F9">
        <w:rPr>
          <w:rFonts w:asciiTheme="minorHAnsi" w:hAnsiTheme="minorHAnsi" w:cstheme="minorHAnsi"/>
          <w:rtl/>
        </w:rPr>
        <w:t>.</w:t>
      </w:r>
      <w:r w:rsidRPr="008D64F9">
        <w:rPr>
          <w:rFonts w:asciiTheme="minorHAnsi" w:hAnsiTheme="minorHAnsi" w:cstheme="minorHAnsi"/>
        </w:rPr>
        <w:t xml:space="preserve"> </w:t>
      </w:r>
      <w:r w:rsidRPr="008D64F9">
        <w:rPr>
          <w:rFonts w:asciiTheme="minorHAnsi" w:hAnsiTheme="minorHAnsi" w:cstheme="minorHAnsi"/>
          <w:rtl/>
        </w:rPr>
        <w:t>يرجى الاطلاع أيضًا على ريكتسون، 65-67، وريكتسون وجينسبيرج، الفقرتين 11.65و11.66.</w:t>
      </w:r>
    </w:p>
  </w:footnote>
  <w:footnote w:id="21">
    <w:p w14:paraId="5799613E" w14:textId="58FADF3B" w:rsidR="008D64F9" w:rsidRPr="008D64F9" w:rsidRDefault="008D64F9" w:rsidP="008D64F9">
      <w:pPr>
        <w:pStyle w:val="FootnoteText"/>
        <w:spacing w:before="120" w:after="120"/>
        <w:jc w:val="both"/>
        <w:rPr>
          <w:rFonts w:asciiTheme="minorHAnsi" w:hAnsiTheme="minorHAnsi" w:cstheme="minorHAnsi"/>
          <w:rtl/>
        </w:rPr>
      </w:pPr>
      <w:r w:rsidRPr="008D64F9">
        <w:rPr>
          <w:rStyle w:val="FootnoteReference"/>
          <w:rFonts w:asciiTheme="minorHAnsi" w:hAnsiTheme="minorHAnsi" w:cstheme="minorHAnsi"/>
        </w:rPr>
        <w:footnoteRef/>
      </w:r>
      <w:r w:rsidRPr="008D64F9">
        <w:rPr>
          <w:rFonts w:asciiTheme="minorHAnsi" w:hAnsiTheme="minorHAnsi" w:cstheme="minorHAnsi"/>
          <w:rtl/>
        </w:rPr>
        <w:t xml:space="preserve"> يرجى </w:t>
      </w:r>
      <w:r w:rsidRPr="008D64F9">
        <w:rPr>
          <w:rFonts w:asciiTheme="minorHAnsi" w:hAnsiTheme="minorHAnsi" w:cstheme="minorHAnsi"/>
          <w:rtl/>
        </w:rPr>
        <w:t>الاطلاع أيضًا على ريكتسون، 19.</w:t>
      </w:r>
      <w:r w:rsidRPr="008D64F9">
        <w:rPr>
          <w:rFonts w:asciiTheme="minorHAnsi" w:hAnsiTheme="minorHAnsi" w:cstheme="minorHAnsi"/>
        </w:rPr>
        <w:t xml:space="preserve"> </w:t>
      </w:r>
      <w:r w:rsidRPr="008D64F9">
        <w:rPr>
          <w:rFonts w:asciiTheme="minorHAnsi" w:hAnsiTheme="minorHAnsi" w:cstheme="minorHAnsi"/>
          <w:rtl/>
        </w:rPr>
        <w:t>أجريت هذه الدراسة في عام 2015، وتبين أن هناك 81 بلداً يطبق أحد أشكال حق التتبع.</w:t>
      </w:r>
      <w:r w:rsidRPr="008D64F9">
        <w:rPr>
          <w:rFonts w:asciiTheme="minorHAnsi" w:hAnsiTheme="minorHAnsi" w:cstheme="minorHAnsi"/>
        </w:rPr>
        <w:t xml:space="preserve"> </w:t>
      </w:r>
      <w:r w:rsidRPr="008D64F9">
        <w:rPr>
          <w:rFonts w:asciiTheme="minorHAnsi" w:hAnsiTheme="minorHAnsi" w:cstheme="minorHAnsi"/>
          <w:rtl/>
        </w:rPr>
        <w:t>واعتبارًا من عام 2023، قدر المؤلف أن هذا العدد أصبح 95 تقريبا، ولكن تم الآن تقديم رقم أعلى بكثير من قبل جمعية فناني المصنفات البصرية الأوروبية (</w:t>
      </w:r>
      <w:r w:rsidRPr="008D64F9">
        <w:rPr>
          <w:rFonts w:asciiTheme="minorHAnsi" w:hAnsiTheme="minorHAnsi" w:cstheme="minorHAnsi"/>
        </w:rPr>
        <w:t>EVA)</w:t>
      </w:r>
      <w:r w:rsidRPr="008D64F9">
        <w:rPr>
          <w:rFonts w:asciiTheme="minorHAnsi" w:hAnsiTheme="minorHAnsi" w:cstheme="minorHAnsi"/>
          <w:rtl/>
        </w:rPr>
        <w:t>، والتي نشرت لائحة تتألف من 106 دولة تتضمن قوانينها  حق التتبع.</w:t>
      </w:r>
      <w:r w:rsidRPr="008D64F9">
        <w:rPr>
          <w:rFonts w:asciiTheme="minorHAnsi" w:hAnsiTheme="minorHAnsi" w:cstheme="minorHAnsi"/>
        </w:rPr>
        <w:t xml:space="preserve"> </w:t>
      </w:r>
      <w:r w:rsidRPr="008D64F9">
        <w:rPr>
          <w:rFonts w:asciiTheme="minorHAnsi" w:hAnsiTheme="minorHAnsi" w:cstheme="minorHAnsi"/>
          <w:rtl/>
        </w:rPr>
        <w:t xml:space="preserve">تم استخلاص هذه الأرقام من القوانين الوطنية الموجودة على موقع الويبو: يرجى الاطلاع على الرابط التالي: </w:t>
      </w:r>
      <w:hyperlink r:id="rId2" w:history="1">
        <w:r w:rsidRPr="008D64F9">
          <w:rPr>
            <w:rStyle w:val="Hyperlink"/>
            <w:rFonts w:asciiTheme="minorHAnsi" w:hAnsiTheme="minorHAnsi" w:cstheme="minorHAnsi"/>
          </w:rPr>
          <w:t>https://</w:t>
        </w:r>
        <w:proofErr w:type="spellStart"/>
        <w:r w:rsidRPr="008D64F9">
          <w:rPr>
            <w:rStyle w:val="Hyperlink"/>
            <w:rFonts w:asciiTheme="minorHAnsi" w:hAnsiTheme="minorHAnsi" w:cstheme="minorHAnsi"/>
          </w:rPr>
          <w:t>www.resale-right.org</w:t>
        </w:r>
        <w:proofErr w:type="spellEnd"/>
        <w:r w:rsidRPr="008D64F9">
          <w:rPr>
            <w:rStyle w:val="Hyperlink"/>
            <w:rFonts w:asciiTheme="minorHAnsi" w:hAnsiTheme="minorHAnsi" w:cstheme="minorHAnsi"/>
          </w:rPr>
          <w:t>/countries-with-</w:t>
        </w:r>
        <w:proofErr w:type="spellStart"/>
        <w:r w:rsidRPr="008D64F9">
          <w:rPr>
            <w:rStyle w:val="Hyperlink"/>
            <w:rFonts w:asciiTheme="minorHAnsi" w:hAnsiTheme="minorHAnsi" w:cstheme="minorHAnsi"/>
          </w:rPr>
          <w:t>arr</w:t>
        </w:r>
        <w:proofErr w:type="spellEnd"/>
        <w:r w:rsidRPr="008D64F9">
          <w:rPr>
            <w:rStyle w:val="Hyperlink"/>
            <w:rFonts w:asciiTheme="minorHAnsi" w:hAnsiTheme="minorHAnsi" w:cstheme="minorHAnsi"/>
          </w:rPr>
          <w:t>/</w:t>
        </w:r>
      </w:hyperlink>
      <w:r w:rsidRPr="008D64F9">
        <w:rPr>
          <w:rFonts w:asciiTheme="minorHAnsi" w:hAnsiTheme="minorHAnsi" w:cstheme="minorHAnsi"/>
          <w:rtl/>
        </w:rPr>
        <w:t xml:space="preserve">  (تاريخ الاطلاع: 10 يناير 2025).</w:t>
      </w:r>
      <w:r w:rsidRPr="008D64F9">
        <w:rPr>
          <w:rFonts w:asciiTheme="minorHAnsi" w:hAnsiTheme="minorHAnsi" w:cstheme="minorHAnsi"/>
        </w:rPr>
        <w:t xml:space="preserve"> </w:t>
      </w:r>
      <w:r w:rsidRPr="008D64F9">
        <w:rPr>
          <w:rFonts w:asciiTheme="minorHAnsi" w:hAnsiTheme="minorHAnsi" w:cstheme="minorHAnsi"/>
          <w:rtl/>
        </w:rPr>
        <w:t>ودولة إثيوبيا هي الدولة الوحيدة من بين هذه الدول التي لم توقع على اتفاقية برن.</w:t>
      </w:r>
      <w:r w:rsidRPr="008D64F9">
        <w:rPr>
          <w:rFonts w:asciiTheme="minorHAnsi" w:hAnsiTheme="minorHAnsi" w:cstheme="minorHAnsi"/>
        </w:rPr>
        <w:t xml:space="preserve"> </w:t>
      </w:r>
      <w:r w:rsidRPr="008D64F9">
        <w:rPr>
          <w:rFonts w:asciiTheme="minorHAnsi" w:hAnsiTheme="minorHAnsi" w:cstheme="minorHAnsi"/>
          <w:rtl/>
        </w:rPr>
        <w:t>ولكن، تجدر الإشارة أيضًا إلى أنه على الرغم من أن قوانين العديد من البلدان تحتوي على أحكام تتعلق بحق التتبع، فهذا لا يعني بالضرورة وجود نظام فاعل لجمع وتوزيع إيصالات حق التتبع في جميع هذه البلدان.</w:t>
      </w:r>
      <w:r w:rsidRPr="008D64F9">
        <w:rPr>
          <w:rFonts w:asciiTheme="minorHAnsi" w:hAnsiTheme="minorHAnsi" w:cstheme="minorHAnsi"/>
        </w:rPr>
        <w:t xml:space="preserve"> </w:t>
      </w:r>
    </w:p>
  </w:footnote>
  <w:footnote w:id="22">
    <w:p w14:paraId="32347A5A" w14:textId="77777777" w:rsidR="008D64F9" w:rsidRPr="008D64F9" w:rsidRDefault="008D64F9" w:rsidP="008D64F9">
      <w:pPr>
        <w:pStyle w:val="Footnote"/>
        <w:bidi/>
        <w:rPr>
          <w:rFonts w:asciiTheme="minorHAnsi" w:hAnsiTheme="minorHAnsi" w:cstheme="minorHAnsi"/>
          <w:sz w:val="18"/>
          <w:szCs w:val="18"/>
          <w:rtl/>
        </w:rPr>
      </w:pPr>
      <w:r w:rsidRPr="008D64F9">
        <w:rPr>
          <w:rStyle w:val="FootnoteReference"/>
          <w:rFonts w:asciiTheme="minorHAnsi" w:hAnsiTheme="minorHAnsi" w:cstheme="minorHAnsi"/>
          <w:sz w:val="18"/>
          <w:szCs w:val="18"/>
        </w:rPr>
        <w:footnoteRef/>
      </w:r>
      <w:r w:rsidRPr="008D64F9">
        <w:rPr>
          <w:rFonts w:asciiTheme="minorHAnsi" w:hAnsiTheme="minorHAnsi" w:cstheme="minorHAnsi"/>
          <w:sz w:val="18"/>
          <w:szCs w:val="18"/>
          <w:rtl/>
        </w:rPr>
        <w:t xml:space="preserve"> </w:t>
      </w:r>
      <w:r w:rsidRPr="008D64F9">
        <w:rPr>
          <w:rFonts w:asciiTheme="minorHAnsi" w:hAnsiTheme="minorHAnsi" w:cstheme="minorHAnsi"/>
          <w:sz w:val="18"/>
          <w:szCs w:val="18"/>
          <w:rtl/>
        </w:rPr>
        <w:t>اليونسكو والويبو، قانون تونس النموذجي بشأن حق المؤلف في البلدان النامية، 1976، منشور الويبو 812 (</w:t>
      </w:r>
      <w:r w:rsidRPr="008D64F9">
        <w:rPr>
          <w:rFonts w:asciiTheme="minorHAnsi" w:hAnsiTheme="minorHAnsi" w:cstheme="minorHAnsi"/>
          <w:sz w:val="18"/>
          <w:szCs w:val="18"/>
        </w:rPr>
        <w:t>E)</w:t>
      </w:r>
      <w:r w:rsidRPr="008D64F9">
        <w:rPr>
          <w:rFonts w:asciiTheme="minorHAnsi" w:hAnsiTheme="minorHAnsi" w:cstheme="minorHAnsi"/>
          <w:sz w:val="18"/>
          <w:szCs w:val="18"/>
          <w:rtl/>
        </w:rPr>
        <w:t>، ص 8.</w:t>
      </w:r>
    </w:p>
  </w:footnote>
  <w:footnote w:id="23">
    <w:p w14:paraId="2246A35E" w14:textId="77777777" w:rsidR="008D64F9" w:rsidRPr="008D64F9" w:rsidRDefault="008D64F9" w:rsidP="008D64F9">
      <w:pPr>
        <w:pStyle w:val="Footnote"/>
        <w:bidi/>
        <w:rPr>
          <w:rFonts w:asciiTheme="minorHAnsi" w:hAnsiTheme="minorHAnsi" w:cstheme="minorHAnsi"/>
          <w:sz w:val="18"/>
          <w:szCs w:val="18"/>
          <w:rtl/>
        </w:rPr>
      </w:pPr>
      <w:r w:rsidRPr="008D64F9">
        <w:rPr>
          <w:rStyle w:val="FootnoteReference"/>
          <w:rFonts w:asciiTheme="minorHAnsi" w:hAnsiTheme="minorHAnsi" w:cstheme="minorHAnsi"/>
          <w:sz w:val="18"/>
          <w:szCs w:val="18"/>
        </w:rPr>
        <w:footnoteRef/>
      </w:r>
      <w:r w:rsidRPr="008D64F9">
        <w:rPr>
          <w:rFonts w:asciiTheme="minorHAnsi" w:hAnsiTheme="minorHAnsi" w:cstheme="minorHAnsi"/>
          <w:sz w:val="18"/>
          <w:szCs w:val="18"/>
          <w:rtl/>
        </w:rPr>
        <w:t xml:space="preserve"> يرجى </w:t>
      </w:r>
      <w:r w:rsidRPr="008D64F9">
        <w:rPr>
          <w:rFonts w:asciiTheme="minorHAnsi" w:hAnsiTheme="minorHAnsi" w:cstheme="minorHAnsi"/>
          <w:sz w:val="18"/>
          <w:szCs w:val="18"/>
          <w:rtl/>
        </w:rPr>
        <w:t>الاطلاع أيضا على ريكتسون، 23-27.</w:t>
      </w:r>
      <w:r w:rsidRPr="008D64F9">
        <w:rPr>
          <w:rFonts w:asciiTheme="minorHAnsi" w:hAnsiTheme="minorHAnsi" w:cstheme="minorHAnsi"/>
          <w:sz w:val="18"/>
          <w:szCs w:val="18"/>
        </w:rPr>
        <w:t xml:space="preserve"> </w:t>
      </w:r>
      <w:r w:rsidRPr="008D64F9">
        <w:rPr>
          <w:rFonts w:asciiTheme="minorHAnsi" w:hAnsiTheme="minorHAnsi" w:cstheme="minorHAnsi"/>
          <w:sz w:val="18"/>
          <w:szCs w:val="18"/>
          <w:rtl/>
        </w:rPr>
        <w:t>سيتم التطرق إلى هذا الموضوع في القسمين التاليين من مجموعة الأدوات هذه.</w:t>
      </w:r>
    </w:p>
  </w:footnote>
  <w:footnote w:id="24">
    <w:p w14:paraId="0AF60A5E" w14:textId="5E8D7374" w:rsidR="008D64F9" w:rsidRPr="008D64F9" w:rsidRDefault="008D64F9" w:rsidP="008D64F9">
      <w:pPr>
        <w:pStyle w:val="Footnote"/>
        <w:bidi/>
        <w:rPr>
          <w:rFonts w:asciiTheme="minorHAnsi" w:hAnsiTheme="minorHAnsi" w:cstheme="minorHAnsi"/>
          <w:color w:val="333333"/>
          <w:sz w:val="18"/>
          <w:szCs w:val="18"/>
          <w:rtl/>
        </w:rPr>
      </w:pPr>
      <w:r w:rsidRPr="008D64F9">
        <w:rPr>
          <w:rStyle w:val="FootnoteReference"/>
          <w:rFonts w:asciiTheme="minorHAnsi" w:hAnsiTheme="minorHAnsi" w:cstheme="minorHAnsi"/>
          <w:sz w:val="18"/>
          <w:szCs w:val="18"/>
        </w:rPr>
        <w:footnoteRef/>
      </w:r>
      <w:r w:rsidRPr="008D64F9">
        <w:rPr>
          <w:rFonts w:asciiTheme="minorHAnsi" w:hAnsiTheme="minorHAnsi" w:cstheme="minorHAnsi"/>
          <w:sz w:val="18"/>
          <w:szCs w:val="18"/>
          <w:rtl/>
        </w:rPr>
        <w:t xml:space="preserve"> في هذا الصدد، يبدو أنه في المملكة المتحدة يمكن أن يكون الحق في صنع النقوش ذا قيمة كبيرة للرسامين وغيرهم من الفنانين الذين لم يحصلوا على حماية لأعمالهم بموجب حق المؤلف حتى عام 1862 بموجب </w:t>
      </w:r>
      <w:r w:rsidRPr="008D64F9">
        <w:rPr>
          <w:rFonts w:asciiTheme="minorHAnsi" w:hAnsiTheme="minorHAnsi" w:cstheme="minorHAnsi"/>
          <w:i/>
          <w:iCs/>
          <w:sz w:val="18"/>
          <w:szCs w:val="18"/>
          <w:rtl/>
        </w:rPr>
        <w:t>قانون حق المؤلف للفنون الجميلة</w:t>
      </w:r>
      <w:r w:rsidRPr="008D64F9">
        <w:rPr>
          <w:rFonts w:asciiTheme="minorHAnsi" w:hAnsiTheme="minorHAnsi" w:cstheme="minorHAnsi"/>
          <w:sz w:val="18"/>
          <w:szCs w:val="18"/>
        </w:rPr>
        <w:t xml:space="preserve"> </w:t>
      </w:r>
      <w:r w:rsidRPr="008D64F9">
        <w:rPr>
          <w:rFonts w:asciiTheme="minorHAnsi" w:hAnsiTheme="minorHAnsi" w:cstheme="minorHAnsi"/>
          <w:sz w:val="18"/>
          <w:szCs w:val="18"/>
          <w:rtl/>
        </w:rPr>
        <w:t>الصادر في نفس السنة.</w:t>
      </w:r>
      <w:r w:rsidRPr="008D64F9">
        <w:rPr>
          <w:rFonts w:asciiTheme="minorHAnsi" w:hAnsiTheme="minorHAnsi" w:cstheme="minorHAnsi"/>
          <w:sz w:val="18"/>
          <w:szCs w:val="18"/>
        </w:rPr>
        <w:t xml:space="preserve"> </w:t>
      </w:r>
      <w:r w:rsidRPr="008D64F9">
        <w:rPr>
          <w:rFonts w:asciiTheme="minorHAnsi" w:hAnsiTheme="minorHAnsi" w:cstheme="minorHAnsi"/>
          <w:sz w:val="18"/>
          <w:szCs w:val="18"/>
          <w:rtl/>
        </w:rPr>
        <w:t xml:space="preserve">ولكن قبل أكثر من 120 عامًا، تم منحهم الحق في صنع نقوش لأعمالهم، وقد ثبت أن هذا الأمر مربح بشكل خاص للرسامين وصانعي </w:t>
      </w:r>
      <w:r w:rsidRPr="008D64F9">
        <w:rPr>
          <w:rFonts w:asciiTheme="minorHAnsi" w:hAnsiTheme="minorHAnsi" w:cstheme="minorHAnsi"/>
          <w:sz w:val="18"/>
          <w:szCs w:val="18"/>
          <w:rtl/>
        </w:rPr>
        <w:t xml:space="preserve">النقوش مثل ويليام هوغارث: يرجى الاطلاع على </w:t>
      </w:r>
      <w:r w:rsidRPr="008D64F9">
        <w:rPr>
          <w:rFonts w:asciiTheme="minorHAnsi" w:hAnsiTheme="minorHAnsi" w:cstheme="minorHAnsi"/>
          <w:i/>
          <w:iCs/>
          <w:sz w:val="18"/>
          <w:szCs w:val="18"/>
          <w:rtl/>
        </w:rPr>
        <w:t>قوانين حق المؤلف لصانعي النقوش لعامي 1735</w:t>
      </w:r>
      <w:r w:rsidRPr="008D64F9">
        <w:rPr>
          <w:rFonts w:asciiTheme="minorHAnsi" w:hAnsiTheme="minorHAnsi" w:cstheme="minorHAnsi"/>
          <w:sz w:val="18"/>
          <w:szCs w:val="18"/>
          <w:rtl/>
        </w:rPr>
        <w:t xml:space="preserve"> و1766، ويرجى الاطلاع أيضًا على </w:t>
      </w:r>
      <w:r w:rsidRPr="008D64F9">
        <w:rPr>
          <w:rFonts w:asciiTheme="minorHAnsi" w:hAnsiTheme="minorHAnsi" w:cstheme="minorHAnsi"/>
          <w:color w:val="333333"/>
          <w:sz w:val="18"/>
          <w:szCs w:val="18"/>
          <w:rtl/>
        </w:rPr>
        <w:t xml:space="preserve">ديازلي، ر. </w:t>
      </w:r>
      <w:r w:rsidRPr="008D64F9">
        <w:rPr>
          <w:rFonts w:asciiTheme="minorHAnsi" w:hAnsiTheme="minorHAnsi" w:cstheme="minorHAnsi"/>
          <w:color w:val="333333"/>
          <w:sz w:val="18"/>
          <w:szCs w:val="18"/>
          <w:rtl/>
        </w:rPr>
        <w:t>(2008) 'تعليق على قانون صانعي النقوش' (1735)'، في</w:t>
      </w:r>
      <w:r w:rsidRPr="008D64F9">
        <w:rPr>
          <w:rFonts w:asciiTheme="minorHAnsi" w:hAnsiTheme="minorHAnsi" w:cstheme="minorHAnsi"/>
          <w:sz w:val="18"/>
          <w:szCs w:val="18"/>
        </w:rPr>
        <w:t xml:space="preserve"> </w:t>
      </w:r>
      <w:r w:rsidRPr="008D64F9">
        <w:rPr>
          <w:rStyle w:val="Emphasis"/>
          <w:rFonts w:asciiTheme="minorHAnsi" w:hAnsiTheme="minorHAnsi" w:cstheme="minorHAnsi"/>
          <w:sz w:val="18"/>
          <w:szCs w:val="18"/>
          <w:rtl/>
        </w:rPr>
        <w:t>المصادر الأساسية لحق المؤلف (1450-1900)</w:t>
      </w:r>
      <w:r w:rsidRPr="008D64F9">
        <w:rPr>
          <w:rFonts w:asciiTheme="minorHAnsi" w:hAnsiTheme="minorHAnsi" w:cstheme="minorHAnsi"/>
          <w:color w:val="333333"/>
          <w:sz w:val="18"/>
          <w:szCs w:val="18"/>
          <w:rtl/>
        </w:rPr>
        <w:t>، المحرران  ل. بنتلي وم. كريتشمر،</w:t>
      </w:r>
      <w:r w:rsidRPr="008D64F9">
        <w:rPr>
          <w:rFonts w:asciiTheme="minorHAnsi" w:hAnsiTheme="minorHAnsi" w:cstheme="minorHAnsi"/>
          <w:sz w:val="18"/>
          <w:szCs w:val="18"/>
        </w:rPr>
        <w:t xml:space="preserve"> </w:t>
      </w:r>
      <w:hyperlink r:id="rId3" w:history="1">
        <w:proofErr w:type="spellStart"/>
        <w:r w:rsidRPr="008D64F9">
          <w:rPr>
            <w:rStyle w:val="Hyperlink"/>
            <w:rFonts w:asciiTheme="minorHAnsi" w:hAnsiTheme="minorHAnsi" w:cstheme="minorHAnsi"/>
            <w:sz w:val="18"/>
            <w:szCs w:val="18"/>
          </w:rPr>
          <w:t>www.copyrighthistory.org</w:t>
        </w:r>
        <w:proofErr w:type="spellEnd"/>
      </w:hyperlink>
      <w:r w:rsidRPr="008D64F9">
        <w:rPr>
          <w:rFonts w:asciiTheme="minorHAnsi" w:hAnsiTheme="minorHAnsi" w:cstheme="minorHAnsi"/>
          <w:sz w:val="18"/>
          <w:szCs w:val="18"/>
        </w:rPr>
        <w:t xml:space="preserve"> </w:t>
      </w:r>
      <w:r w:rsidRPr="008D64F9">
        <w:rPr>
          <w:rFonts w:asciiTheme="minorHAnsi" w:hAnsiTheme="minorHAnsi" w:cstheme="minorHAnsi"/>
          <w:sz w:val="18"/>
          <w:szCs w:val="18"/>
          <w:rtl/>
        </w:rPr>
        <w:t xml:space="preserve">ويرجى الاطلاع أيضًا على ديازلي، ر. (2008) 'تعليق على </w:t>
      </w:r>
      <w:r w:rsidRPr="008D64F9">
        <w:rPr>
          <w:rStyle w:val="Emphasis"/>
          <w:rFonts w:asciiTheme="minorHAnsi" w:hAnsiTheme="minorHAnsi" w:cstheme="minorHAnsi"/>
          <w:sz w:val="18"/>
          <w:szCs w:val="18"/>
          <w:rtl/>
        </w:rPr>
        <w:t>قانون حق المؤلف للفنون الجميلة</w:t>
      </w:r>
      <w:r w:rsidRPr="008D64F9">
        <w:rPr>
          <w:rFonts w:asciiTheme="minorHAnsi" w:hAnsiTheme="minorHAnsi" w:cstheme="minorHAnsi"/>
          <w:sz w:val="18"/>
          <w:szCs w:val="18"/>
        </w:rPr>
        <w:t xml:space="preserve"> </w:t>
      </w:r>
      <w:r w:rsidRPr="008D64F9">
        <w:rPr>
          <w:rFonts w:asciiTheme="minorHAnsi" w:hAnsiTheme="minorHAnsi" w:cstheme="minorHAnsi"/>
          <w:sz w:val="18"/>
          <w:szCs w:val="18"/>
          <w:rtl/>
        </w:rPr>
        <w:t>1862'، في</w:t>
      </w:r>
      <w:r w:rsidRPr="008D64F9">
        <w:rPr>
          <w:rFonts w:asciiTheme="minorHAnsi" w:hAnsiTheme="minorHAnsi" w:cstheme="minorHAnsi"/>
          <w:sz w:val="18"/>
          <w:szCs w:val="18"/>
        </w:rPr>
        <w:t xml:space="preserve"> </w:t>
      </w:r>
      <w:r w:rsidRPr="008D64F9">
        <w:rPr>
          <w:rStyle w:val="Emphasis"/>
          <w:rFonts w:asciiTheme="minorHAnsi" w:hAnsiTheme="minorHAnsi" w:cstheme="minorHAnsi"/>
          <w:sz w:val="18"/>
          <w:szCs w:val="18"/>
          <w:rtl/>
        </w:rPr>
        <w:t>المصادر الأساسية لحق المؤلف (1450-1900))</w:t>
      </w:r>
      <w:r w:rsidRPr="008D64F9">
        <w:rPr>
          <w:rFonts w:asciiTheme="minorHAnsi" w:hAnsiTheme="minorHAnsi" w:cstheme="minorHAnsi"/>
          <w:color w:val="333333"/>
          <w:sz w:val="18"/>
          <w:szCs w:val="18"/>
          <w:rtl/>
        </w:rPr>
        <w:t xml:space="preserve">، المحرران ل. بنتلي وم. كريتشمر، </w:t>
      </w:r>
      <w:r w:rsidRPr="008D64F9">
        <w:rPr>
          <w:rFonts w:asciiTheme="minorHAnsi" w:hAnsiTheme="minorHAnsi" w:cstheme="minorHAnsi"/>
          <w:sz w:val="18"/>
          <w:szCs w:val="18"/>
        </w:rPr>
        <w:fldChar w:fldCharType="begin"/>
      </w:r>
      <w:r w:rsidRPr="008D64F9">
        <w:rPr>
          <w:rFonts w:asciiTheme="minorHAnsi" w:hAnsiTheme="minorHAnsi" w:cstheme="minorHAnsi"/>
          <w:sz w:val="18"/>
          <w:szCs w:val="18"/>
        </w:rPr>
        <w:instrText>HYPERLINK "http://www.copyrighthistory.org/"</w:instrText>
      </w:r>
      <w:r w:rsidRPr="008D64F9">
        <w:rPr>
          <w:rFonts w:asciiTheme="minorHAnsi" w:hAnsiTheme="minorHAnsi" w:cstheme="minorHAnsi"/>
          <w:sz w:val="18"/>
          <w:szCs w:val="18"/>
        </w:rPr>
      </w:r>
      <w:r w:rsidRPr="008D64F9">
        <w:rPr>
          <w:rFonts w:asciiTheme="minorHAnsi" w:hAnsiTheme="minorHAnsi" w:cstheme="minorHAnsi"/>
          <w:sz w:val="18"/>
          <w:szCs w:val="18"/>
        </w:rPr>
        <w:fldChar w:fldCharType="separate"/>
      </w:r>
      <w:proofErr w:type="spellStart"/>
      <w:r w:rsidRPr="008D64F9">
        <w:rPr>
          <w:rStyle w:val="Hyperlink"/>
          <w:rFonts w:asciiTheme="minorHAnsi" w:hAnsiTheme="minorHAnsi" w:cstheme="minorHAnsi"/>
          <w:sz w:val="18"/>
          <w:szCs w:val="18"/>
        </w:rPr>
        <w:t>www.copyrighthistory.org</w:t>
      </w:r>
      <w:proofErr w:type="spellEnd"/>
      <w:r w:rsidRPr="008D64F9">
        <w:rPr>
          <w:rFonts w:asciiTheme="minorHAnsi" w:hAnsiTheme="minorHAnsi" w:cstheme="minorHAnsi"/>
          <w:sz w:val="18"/>
          <w:szCs w:val="18"/>
        </w:rPr>
        <w:fldChar w:fldCharType="end"/>
      </w:r>
    </w:p>
  </w:footnote>
  <w:footnote w:id="25">
    <w:p w14:paraId="1BF87AFD" w14:textId="77777777" w:rsidR="008D64F9" w:rsidRPr="008D64F9" w:rsidRDefault="008D64F9" w:rsidP="008D64F9">
      <w:pPr>
        <w:pStyle w:val="Footnote"/>
        <w:bidi/>
        <w:rPr>
          <w:rFonts w:asciiTheme="minorHAnsi" w:hAnsiTheme="minorHAnsi" w:cstheme="minorHAnsi"/>
          <w:sz w:val="18"/>
          <w:szCs w:val="18"/>
          <w:rtl/>
        </w:rPr>
      </w:pPr>
      <w:r w:rsidRPr="008D64F9">
        <w:rPr>
          <w:rStyle w:val="FootnoteReference"/>
          <w:rFonts w:asciiTheme="minorHAnsi" w:hAnsiTheme="minorHAnsi" w:cstheme="minorHAnsi"/>
          <w:sz w:val="18"/>
          <w:szCs w:val="18"/>
        </w:rPr>
        <w:footnoteRef/>
      </w:r>
      <w:r w:rsidRPr="008D64F9">
        <w:rPr>
          <w:rFonts w:asciiTheme="minorHAnsi" w:hAnsiTheme="minorHAnsi" w:cstheme="minorHAnsi"/>
          <w:sz w:val="18"/>
          <w:szCs w:val="18"/>
          <w:rtl/>
        </w:rPr>
        <w:t xml:space="preserve"> </w:t>
      </w:r>
      <w:r w:rsidRPr="008D64F9">
        <w:rPr>
          <w:rFonts w:asciiTheme="minorHAnsi" w:hAnsiTheme="minorHAnsi" w:cstheme="minorHAnsi"/>
          <w:sz w:val="18"/>
          <w:szCs w:val="18"/>
          <w:rtl/>
        </w:rPr>
        <w:t>يرجى الاطلاع على كاتزنبرجر، 367-368؛ وهاوزر، 106-107.</w:t>
      </w:r>
    </w:p>
  </w:footnote>
  <w:footnote w:id="26">
    <w:p w14:paraId="2692F049" w14:textId="77777777" w:rsidR="008D64F9" w:rsidRPr="008D64F9" w:rsidRDefault="008D64F9" w:rsidP="008D64F9">
      <w:pPr>
        <w:pStyle w:val="FootnoteText"/>
        <w:rPr>
          <w:rFonts w:asciiTheme="minorHAnsi" w:hAnsiTheme="minorHAnsi" w:cstheme="minorHAnsi"/>
          <w:rtl/>
        </w:rPr>
      </w:pPr>
      <w:r w:rsidRPr="008D64F9">
        <w:rPr>
          <w:rStyle w:val="FootnoteReference"/>
          <w:rFonts w:asciiTheme="minorHAnsi" w:hAnsiTheme="minorHAnsi" w:cstheme="minorHAnsi"/>
        </w:rPr>
        <w:footnoteRef/>
      </w:r>
      <w:r w:rsidRPr="008D64F9">
        <w:rPr>
          <w:rFonts w:asciiTheme="minorHAnsi" w:hAnsiTheme="minorHAnsi" w:cstheme="minorHAnsi"/>
        </w:rPr>
        <w:t xml:space="preserve"> </w:t>
      </w:r>
      <w:r w:rsidRPr="008D64F9">
        <w:rPr>
          <w:rFonts w:asciiTheme="minorHAnsi" w:hAnsiTheme="minorHAnsi" w:cstheme="minorHAnsi"/>
          <w:rtl/>
        </w:rPr>
        <w:t>التوجيه 2001/84/</w:t>
      </w:r>
      <w:r w:rsidRPr="008D64F9">
        <w:rPr>
          <w:rFonts w:asciiTheme="minorHAnsi" w:hAnsiTheme="minorHAnsi" w:cstheme="minorHAnsi"/>
        </w:rPr>
        <w:t>EC</w:t>
      </w:r>
      <w:r w:rsidRPr="008D64F9">
        <w:rPr>
          <w:rFonts w:asciiTheme="minorHAnsi" w:hAnsiTheme="minorHAnsi" w:cstheme="minorHAnsi"/>
          <w:rtl/>
        </w:rPr>
        <w:t xml:space="preserve"> للبرلمان الأوروبي والمجلس المؤرخ 27 سبتمبر 2001 بشأن حق التتبع لصالح مؤلف عمل فني اصلي، الفقرة 3، الجريدة الرسمية </w:t>
      </w:r>
      <w:r w:rsidRPr="008D64F9">
        <w:rPr>
          <w:rFonts w:asciiTheme="minorHAnsi" w:hAnsiTheme="minorHAnsi" w:cstheme="minorHAnsi"/>
        </w:rPr>
        <w:t>L 272</w:t>
      </w:r>
      <w:r w:rsidRPr="008D64F9">
        <w:rPr>
          <w:rFonts w:asciiTheme="minorHAnsi" w:hAnsiTheme="minorHAnsi" w:cstheme="minorHAnsi"/>
          <w:rtl/>
        </w:rPr>
        <w:t>، 13/10/2001 ص. 0032 – 0036 ("توجيه المفوضية الأوروبية").</w:t>
      </w:r>
    </w:p>
  </w:footnote>
  <w:footnote w:id="27">
    <w:p w14:paraId="6E18F915" w14:textId="77777777" w:rsidR="008D64F9" w:rsidRPr="008D64F9" w:rsidRDefault="008D64F9" w:rsidP="008D64F9">
      <w:pPr>
        <w:pStyle w:val="Footnote"/>
        <w:bidi/>
        <w:rPr>
          <w:rFonts w:asciiTheme="minorHAnsi" w:hAnsiTheme="minorHAnsi" w:cstheme="minorHAnsi"/>
          <w:sz w:val="18"/>
          <w:szCs w:val="18"/>
          <w:rtl/>
        </w:rPr>
      </w:pPr>
      <w:r w:rsidRPr="008D64F9">
        <w:rPr>
          <w:rStyle w:val="FootnoteReference"/>
          <w:rFonts w:asciiTheme="minorHAnsi" w:hAnsiTheme="minorHAnsi" w:cstheme="minorHAnsi"/>
          <w:sz w:val="18"/>
          <w:szCs w:val="18"/>
        </w:rPr>
        <w:footnoteRef/>
      </w:r>
      <w:r w:rsidRPr="008D64F9">
        <w:rPr>
          <w:rFonts w:asciiTheme="minorHAnsi" w:hAnsiTheme="minorHAnsi" w:cstheme="minorHAnsi"/>
          <w:sz w:val="18"/>
          <w:szCs w:val="18"/>
          <w:rtl/>
        </w:rPr>
        <w:t xml:space="preserve"> يرجى </w:t>
      </w:r>
      <w:r w:rsidRPr="008D64F9">
        <w:rPr>
          <w:rFonts w:asciiTheme="minorHAnsi" w:hAnsiTheme="minorHAnsi" w:cstheme="minorHAnsi"/>
          <w:sz w:val="18"/>
          <w:szCs w:val="18"/>
          <w:rtl/>
        </w:rPr>
        <w:t>الاطلاع أيضًا على ريكيتسون وجينسبيرج، [11.15] وما يليها.</w:t>
      </w:r>
    </w:p>
  </w:footnote>
  <w:footnote w:id="28">
    <w:p w14:paraId="4F188F4B" w14:textId="77777777" w:rsidR="008D64F9" w:rsidRPr="008D64F9" w:rsidRDefault="008D64F9" w:rsidP="008D64F9">
      <w:pPr>
        <w:pStyle w:val="Footnote"/>
        <w:bidi/>
        <w:rPr>
          <w:rFonts w:asciiTheme="minorHAnsi" w:hAnsiTheme="minorHAnsi" w:cstheme="minorHAnsi"/>
          <w:sz w:val="18"/>
          <w:szCs w:val="18"/>
          <w:rtl/>
        </w:rPr>
      </w:pPr>
      <w:r w:rsidRPr="008D64F9">
        <w:rPr>
          <w:rStyle w:val="FootnoteReference"/>
          <w:rFonts w:asciiTheme="minorHAnsi" w:hAnsiTheme="minorHAnsi" w:cstheme="minorHAnsi"/>
          <w:sz w:val="18"/>
          <w:szCs w:val="18"/>
        </w:rPr>
        <w:footnoteRef/>
      </w:r>
      <w:r w:rsidRPr="008D64F9">
        <w:rPr>
          <w:rFonts w:asciiTheme="minorHAnsi" w:hAnsiTheme="minorHAnsi" w:cstheme="minorHAnsi"/>
          <w:sz w:val="18"/>
          <w:szCs w:val="18"/>
          <w:rtl/>
        </w:rPr>
        <w:t xml:space="preserve"> معاهدة الويبو بشأن حق المؤلف، المادتان 6 و7.</w:t>
      </w:r>
    </w:p>
  </w:footnote>
  <w:footnote w:id="29">
    <w:p w14:paraId="7C3E030A" w14:textId="6E5B5583" w:rsidR="008D64F9" w:rsidRPr="008D64F9" w:rsidRDefault="008D64F9" w:rsidP="008D64F9">
      <w:pPr>
        <w:pStyle w:val="Footnote"/>
        <w:bidi/>
        <w:jc w:val="left"/>
        <w:rPr>
          <w:rFonts w:asciiTheme="minorHAnsi" w:hAnsiTheme="minorHAnsi" w:cstheme="minorHAnsi"/>
          <w:sz w:val="18"/>
          <w:szCs w:val="18"/>
          <w:rtl/>
        </w:rPr>
      </w:pPr>
      <w:r w:rsidRPr="008D64F9">
        <w:rPr>
          <w:rStyle w:val="FootnoteReference"/>
          <w:rFonts w:asciiTheme="minorHAnsi" w:hAnsiTheme="minorHAnsi" w:cstheme="minorHAnsi"/>
          <w:sz w:val="18"/>
          <w:szCs w:val="18"/>
        </w:rPr>
        <w:footnoteRef/>
      </w:r>
      <w:r w:rsidRPr="008D64F9">
        <w:rPr>
          <w:rFonts w:asciiTheme="minorHAnsi" w:hAnsiTheme="minorHAnsi" w:cstheme="minorHAnsi"/>
          <w:sz w:val="18"/>
          <w:szCs w:val="18"/>
          <w:rtl/>
        </w:rPr>
        <w:t xml:space="preserve"> يرجى الاطلاع على خطاب وزير البيئة والتراث والفنون (السيد ب. </w:t>
      </w:r>
      <w:r w:rsidRPr="008D64F9">
        <w:rPr>
          <w:rFonts w:asciiTheme="minorHAnsi" w:hAnsiTheme="minorHAnsi" w:cstheme="minorHAnsi"/>
          <w:sz w:val="18"/>
          <w:szCs w:val="18"/>
          <w:rtl/>
        </w:rPr>
        <w:t>جاريت) عند تقديم مشروع قانون حق التتبع لفناني المصنفات البصرية لعام 2008 في البرلمان الأسترالي في 27 نوفمبر 2008: يرجى الاطلاع على</w:t>
      </w:r>
      <w:r w:rsidRPr="008D64F9">
        <w:rPr>
          <w:rFonts w:asciiTheme="minorHAnsi" w:hAnsiTheme="minorHAnsi" w:cstheme="minorHAnsi"/>
          <w:sz w:val="18"/>
          <w:szCs w:val="18"/>
        </w:rPr>
        <w:t xml:space="preserve"> </w:t>
      </w:r>
      <w:r w:rsidRPr="008D64F9">
        <w:rPr>
          <w:rFonts w:asciiTheme="minorHAnsi" w:hAnsiTheme="minorHAnsi" w:cstheme="minorHAnsi"/>
          <w:sz w:val="18"/>
          <w:szCs w:val="18"/>
          <w:rtl/>
        </w:rPr>
        <w:t xml:space="preserve"> </w:t>
      </w:r>
      <w:hyperlink r:id="rId4" w:history="1">
        <w:r w:rsidRPr="008D64F9">
          <w:rPr>
            <w:rStyle w:val="Hyperlink"/>
            <w:rFonts w:asciiTheme="minorHAnsi" w:hAnsiTheme="minorHAnsi" w:cstheme="minorHAnsi"/>
            <w:sz w:val="18"/>
            <w:szCs w:val="18"/>
          </w:rPr>
          <w:t xml:space="preserve">http://parlinfo.aph.gov.au/parlInfo/search/display/display.w3p;query=BillId_Phrase%3Ar4010%20Title%3A%22 Second%20reading%22%20Content%3A%22 I%20move%22%7C%22and%20move%22%20Content%3A%22be%20now%20read%20a%20 Second%20time%22%20(Dataset%3Ahansardr%20%7C%20Dataset%3Ahansards);rec=1 </w:t>
        </w:r>
      </w:hyperlink>
      <w:r w:rsidRPr="008D64F9">
        <w:rPr>
          <w:rFonts w:asciiTheme="minorHAnsi" w:hAnsiTheme="minorHAnsi" w:cstheme="minorHAnsi"/>
          <w:sz w:val="18"/>
          <w:szCs w:val="18"/>
        </w:rPr>
        <w:t xml:space="preserve">. </w:t>
      </w:r>
      <w:r w:rsidRPr="008D64F9">
        <w:rPr>
          <w:rFonts w:asciiTheme="minorHAnsi" w:hAnsiTheme="minorHAnsi" w:cstheme="minorHAnsi"/>
          <w:sz w:val="18"/>
          <w:szCs w:val="18"/>
          <w:rtl/>
        </w:rPr>
        <w:t>ويمكن العثور على وجهة نظر مماثلة في التقرير الكندي التالي:</w:t>
      </w:r>
      <w:r w:rsidRPr="008D64F9">
        <w:rPr>
          <w:rFonts w:asciiTheme="minorHAnsi" w:hAnsiTheme="minorHAnsi" w:cstheme="minorHAnsi"/>
          <w:sz w:val="18"/>
          <w:szCs w:val="18"/>
        </w:rPr>
        <w:t xml:space="preserve"> </w:t>
      </w:r>
      <w:r w:rsidRPr="008D64F9">
        <w:rPr>
          <w:rFonts w:asciiTheme="minorHAnsi" w:hAnsiTheme="minorHAnsi" w:cstheme="minorHAnsi"/>
          <w:sz w:val="18"/>
          <w:szCs w:val="18"/>
          <w:rtl/>
        </w:rPr>
        <w:t xml:space="preserve">"جبهة تمثيل الفنانين الكنديين" و"تجمع فناني </w:t>
      </w:r>
      <w:r w:rsidRPr="008D64F9">
        <w:rPr>
          <w:rFonts w:asciiTheme="minorHAnsi" w:hAnsiTheme="minorHAnsi" w:cstheme="minorHAnsi"/>
          <w:sz w:val="18"/>
          <w:szCs w:val="18"/>
          <w:rtl/>
        </w:rPr>
        <w:t xml:space="preserve">المصنفات البصرية في كيبيك"، </w:t>
      </w:r>
      <w:r w:rsidRPr="008D64F9">
        <w:rPr>
          <w:rFonts w:asciiTheme="minorHAnsi" w:hAnsiTheme="minorHAnsi" w:cstheme="minorHAnsi"/>
          <w:i/>
          <w:iCs/>
          <w:sz w:val="18"/>
          <w:szCs w:val="18"/>
          <w:rtl/>
        </w:rPr>
        <w:t xml:space="preserve">توصيات بشأن حق التتبع للفنانين في </w:t>
      </w:r>
      <w:r w:rsidR="00850727" w:rsidRPr="008D64F9">
        <w:rPr>
          <w:rFonts w:asciiTheme="minorHAnsi" w:hAnsiTheme="minorHAnsi" w:cstheme="minorHAnsi" w:hint="cs"/>
          <w:i/>
          <w:iCs/>
          <w:sz w:val="18"/>
          <w:szCs w:val="18"/>
          <w:rtl/>
        </w:rPr>
        <w:t>كندا</w:t>
      </w:r>
      <w:r w:rsidR="00850727" w:rsidRPr="008D64F9">
        <w:rPr>
          <w:rFonts w:asciiTheme="minorHAnsi" w:hAnsiTheme="minorHAnsi" w:cstheme="minorHAnsi" w:hint="cs"/>
          <w:sz w:val="18"/>
          <w:szCs w:val="18"/>
          <w:rtl/>
        </w:rPr>
        <w:t>،</w:t>
      </w:r>
      <w:r w:rsidRPr="008D64F9">
        <w:rPr>
          <w:rFonts w:asciiTheme="minorHAnsi" w:hAnsiTheme="minorHAnsi" w:cstheme="minorHAnsi"/>
          <w:sz w:val="18"/>
          <w:szCs w:val="18"/>
          <w:rtl/>
        </w:rPr>
        <w:t xml:space="preserve"> أبريل 2013، الملحق ج. لاحظ أيضاً الإشارة المحددة إلى فناني أصحاب الأرض في التشريع النيوزيلندي الذي تم اعتماده مؤخراً:  قانون حق التتبع للفناني المصنفات البصرية لعام 2023، المادة 3(1) (نيوزيلندا).</w:t>
      </w:r>
    </w:p>
  </w:footnote>
  <w:footnote w:id="30">
    <w:p w14:paraId="72078BD1" w14:textId="77777777" w:rsidR="008D64F9" w:rsidRPr="008D64F9" w:rsidRDefault="008D64F9" w:rsidP="008D64F9">
      <w:pPr>
        <w:pStyle w:val="Footnote"/>
        <w:bidi/>
        <w:rPr>
          <w:rFonts w:asciiTheme="minorHAnsi" w:hAnsiTheme="minorHAnsi" w:cstheme="minorHAnsi"/>
          <w:sz w:val="18"/>
          <w:szCs w:val="18"/>
          <w:rtl/>
        </w:rPr>
      </w:pPr>
      <w:r w:rsidRPr="008D64F9">
        <w:rPr>
          <w:rStyle w:val="FootnoteReference"/>
          <w:rFonts w:asciiTheme="minorHAnsi" w:hAnsiTheme="minorHAnsi" w:cstheme="minorHAnsi"/>
          <w:sz w:val="18"/>
          <w:szCs w:val="18"/>
        </w:rPr>
        <w:footnoteRef/>
      </w:r>
      <w:r w:rsidRPr="008D64F9">
        <w:rPr>
          <w:rFonts w:asciiTheme="minorHAnsi" w:hAnsiTheme="minorHAnsi" w:cstheme="minorHAnsi"/>
          <w:sz w:val="18"/>
          <w:szCs w:val="18"/>
          <w:rtl/>
        </w:rPr>
        <w:t xml:space="preserve"> الويبو واليونسكو، </w:t>
      </w:r>
      <w:r w:rsidRPr="008D64F9">
        <w:rPr>
          <w:rFonts w:asciiTheme="minorHAnsi" w:hAnsiTheme="minorHAnsi" w:cstheme="minorHAnsi"/>
          <w:i/>
          <w:iCs/>
          <w:sz w:val="18"/>
          <w:szCs w:val="18"/>
          <w:rtl/>
        </w:rPr>
        <w:t>قانون تونس النموذجي بشأن قانون حق المؤلف في الدول النامية،</w:t>
      </w:r>
      <w:r w:rsidRPr="008D64F9">
        <w:rPr>
          <w:rFonts w:asciiTheme="minorHAnsi" w:hAnsiTheme="minorHAnsi" w:cstheme="minorHAnsi"/>
          <w:sz w:val="18"/>
          <w:szCs w:val="18"/>
        </w:rPr>
        <w:t xml:space="preserve"> </w:t>
      </w:r>
      <w:r w:rsidRPr="008D64F9">
        <w:rPr>
          <w:rFonts w:asciiTheme="minorHAnsi" w:hAnsiTheme="minorHAnsi" w:cstheme="minorHAnsi"/>
          <w:sz w:val="18"/>
          <w:szCs w:val="18"/>
          <w:rtl/>
        </w:rPr>
        <w:t>جنيف، 1976، القسم 4(ثانيا)</w:t>
      </w:r>
      <w:r w:rsidRPr="008D64F9">
        <w:rPr>
          <w:rFonts w:asciiTheme="minorHAnsi" w:hAnsiTheme="minorHAnsi" w:cstheme="minorHAnsi"/>
          <w:i/>
          <w:iCs/>
          <w:sz w:val="18"/>
          <w:szCs w:val="18"/>
          <w:rtl/>
        </w:rPr>
        <w:t>.</w:t>
      </w:r>
      <w:r w:rsidRPr="008D64F9">
        <w:rPr>
          <w:rFonts w:asciiTheme="minorHAnsi" w:hAnsiTheme="minorHAnsi" w:cstheme="minorHAnsi"/>
          <w:sz w:val="18"/>
          <w:szCs w:val="18"/>
        </w:rPr>
        <w:t xml:space="preserve"> </w:t>
      </w:r>
    </w:p>
  </w:footnote>
  <w:footnote w:id="31">
    <w:p w14:paraId="268BD46D" w14:textId="2C495311" w:rsidR="008D64F9" w:rsidRPr="008D64F9" w:rsidRDefault="008D64F9" w:rsidP="008D64F9">
      <w:pPr>
        <w:pStyle w:val="Footnote"/>
        <w:bidi/>
        <w:rPr>
          <w:rFonts w:asciiTheme="minorHAnsi" w:hAnsiTheme="minorHAnsi" w:cstheme="minorHAnsi"/>
          <w:sz w:val="18"/>
          <w:szCs w:val="18"/>
          <w:rtl/>
        </w:rPr>
      </w:pPr>
      <w:r w:rsidRPr="008D64F9">
        <w:rPr>
          <w:rStyle w:val="FootnoteReference"/>
          <w:rFonts w:asciiTheme="minorHAnsi" w:hAnsiTheme="minorHAnsi" w:cstheme="minorHAnsi"/>
          <w:sz w:val="18"/>
          <w:szCs w:val="18"/>
        </w:rPr>
        <w:footnoteRef/>
      </w:r>
      <w:r w:rsidRPr="008D64F9">
        <w:rPr>
          <w:rFonts w:asciiTheme="minorHAnsi" w:hAnsiTheme="minorHAnsi" w:cstheme="minorHAnsi"/>
          <w:sz w:val="18"/>
          <w:szCs w:val="18"/>
        </w:rPr>
        <w:t xml:space="preserve"> </w:t>
      </w:r>
      <w:r w:rsidRPr="008D64F9">
        <w:rPr>
          <w:rFonts w:asciiTheme="minorHAnsi" w:hAnsiTheme="minorHAnsi" w:cstheme="minorHAnsi"/>
          <w:sz w:val="18"/>
          <w:szCs w:val="18"/>
          <w:rtl/>
        </w:rPr>
        <w:t>قد لا تشير بعض البلدان التي تطبق القانون العام حتى إلى الأغراض ذات الصلة في تشريعاتها المعدلة التي تتضمن مخطط لحق التتبع، فعلى سبيل المثال، قامت كينيا بذلك في التشريع الذي قدمته في عام 2019 والذي يحمل عنوان "</w:t>
      </w:r>
      <w:r w:rsidRPr="008D64F9">
        <w:rPr>
          <w:rFonts w:asciiTheme="minorHAnsi" w:hAnsiTheme="minorHAnsi" w:cstheme="minorHAnsi"/>
          <w:sz w:val="18"/>
          <w:szCs w:val="18"/>
        </w:rPr>
        <w:t xml:space="preserve"> </w:t>
      </w:r>
      <w:r w:rsidRPr="008D64F9">
        <w:rPr>
          <w:rFonts w:asciiTheme="minorHAnsi" w:hAnsiTheme="minorHAnsi" w:cstheme="minorHAnsi"/>
          <w:i/>
          <w:iCs/>
          <w:sz w:val="18"/>
          <w:szCs w:val="18"/>
          <w:rtl/>
        </w:rPr>
        <w:t>قانون تعديل حق المؤلف لعام 2019".</w:t>
      </w:r>
      <w:r w:rsidRPr="008D64F9">
        <w:rPr>
          <w:rFonts w:asciiTheme="minorHAnsi" w:hAnsiTheme="minorHAnsi" w:cstheme="minorHAnsi"/>
          <w:sz w:val="18"/>
          <w:szCs w:val="18"/>
          <w:rtl/>
        </w:rPr>
        <w:t xml:space="preserve">  </w:t>
      </w:r>
    </w:p>
  </w:footnote>
  <w:footnote w:id="32">
    <w:p w14:paraId="5D612B0B" w14:textId="77777777" w:rsidR="008D64F9" w:rsidRPr="008D64F9" w:rsidRDefault="008D64F9" w:rsidP="008D64F9">
      <w:pPr>
        <w:pStyle w:val="FootnoteText"/>
        <w:spacing w:before="120" w:after="120"/>
        <w:rPr>
          <w:rFonts w:asciiTheme="minorHAnsi" w:hAnsiTheme="minorHAnsi" w:cstheme="minorHAnsi"/>
          <w:rtl/>
        </w:rPr>
      </w:pPr>
      <w:r w:rsidRPr="008D64F9">
        <w:rPr>
          <w:rStyle w:val="FootnoteReference"/>
          <w:rFonts w:asciiTheme="minorHAnsi" w:hAnsiTheme="minorHAnsi" w:cstheme="minorHAnsi"/>
        </w:rPr>
        <w:footnoteRef/>
      </w:r>
      <w:r w:rsidRPr="008D64F9">
        <w:rPr>
          <w:rFonts w:asciiTheme="minorHAnsi" w:hAnsiTheme="minorHAnsi" w:cstheme="minorHAnsi"/>
          <w:rtl/>
        </w:rPr>
        <w:t xml:space="preserve"> يرجى الاطلاع على قانون الملكية الفكرية الفرنسي، المادة </w:t>
      </w:r>
      <w:r w:rsidRPr="008D64F9">
        <w:rPr>
          <w:rFonts w:asciiTheme="minorHAnsi" w:hAnsiTheme="minorHAnsi" w:cstheme="minorHAnsi"/>
        </w:rPr>
        <w:t>L122-8</w:t>
      </w:r>
      <w:r w:rsidRPr="008D64F9">
        <w:rPr>
          <w:rFonts w:asciiTheme="minorHAnsi" w:hAnsiTheme="minorHAnsi" w:cstheme="minorHAnsi"/>
          <w:rtl/>
        </w:rPr>
        <w:t>، والمرسوم رقم 2007-756 المؤرخ 9 مايو 2007.</w:t>
      </w:r>
    </w:p>
  </w:footnote>
  <w:footnote w:id="33">
    <w:p w14:paraId="73BD2FD7" w14:textId="77777777" w:rsidR="008D64F9" w:rsidRPr="008D64F9" w:rsidRDefault="008D64F9" w:rsidP="008D64F9">
      <w:pPr>
        <w:pStyle w:val="FootnoteText"/>
        <w:spacing w:before="120" w:after="120"/>
        <w:jc w:val="both"/>
        <w:rPr>
          <w:rFonts w:asciiTheme="minorHAnsi" w:hAnsiTheme="minorHAnsi" w:cstheme="minorHAnsi"/>
          <w:rtl/>
        </w:rPr>
      </w:pPr>
      <w:r w:rsidRPr="008D64F9">
        <w:rPr>
          <w:rStyle w:val="FootnoteReference"/>
          <w:rFonts w:asciiTheme="minorHAnsi" w:hAnsiTheme="minorHAnsi" w:cstheme="minorHAnsi"/>
        </w:rPr>
        <w:footnoteRef/>
      </w:r>
      <w:r w:rsidRPr="008D64F9">
        <w:rPr>
          <w:rFonts w:asciiTheme="minorHAnsi" w:hAnsiTheme="minorHAnsi" w:cstheme="minorHAnsi"/>
          <w:rtl/>
        </w:rPr>
        <w:t xml:space="preserve"> قارن الحكم الفرنسي في المادة 122-8(1) مباشرة قبل تطبيق فرنسا لتوجيه المفوضية الأوروبية (اعتبارًا من سبتمبر 2003):</w:t>
      </w:r>
    </w:p>
    <w:p w14:paraId="3BE14C0F" w14:textId="77777777" w:rsidR="008D64F9" w:rsidRPr="008D64F9" w:rsidRDefault="008D64F9" w:rsidP="008D64F9">
      <w:pPr>
        <w:autoSpaceDE w:val="0"/>
        <w:autoSpaceDN w:val="0"/>
        <w:adjustRightInd w:val="0"/>
        <w:spacing w:before="120" w:after="120"/>
        <w:ind w:left="720"/>
        <w:jc w:val="both"/>
        <w:rPr>
          <w:rFonts w:asciiTheme="minorHAnsi" w:eastAsiaTheme="minorHAnsi" w:hAnsiTheme="minorHAnsi" w:cstheme="minorHAnsi"/>
          <w:sz w:val="18"/>
          <w:szCs w:val="18"/>
          <w:rtl/>
        </w:rPr>
      </w:pPr>
      <w:r w:rsidRPr="008D64F9">
        <w:rPr>
          <w:rFonts w:asciiTheme="minorHAnsi" w:hAnsiTheme="minorHAnsi" w:cstheme="minorHAnsi"/>
          <w:sz w:val="18"/>
          <w:szCs w:val="18"/>
          <w:rtl/>
        </w:rPr>
        <w:t>بغض النظر عن أي نقل لملكية المصنف الأصلي، يتمتع مؤلفو المصنفات التصويرية والثلاثية الأبعاد بحق غير قابل للتصرف في المشاركة في عائدات أي بيع لمثل هذا المصنف بالمزاد العلني أو من خلال أحد التجار (بشروط مماثلة تقريبًا لشروط المزاد العلني، المادة 42 من القانون الفرنسي لعام 1957).</w:t>
      </w:r>
      <w:r w:rsidRPr="008D64F9">
        <w:rPr>
          <w:rFonts w:asciiTheme="minorHAnsi" w:hAnsiTheme="minorHAnsi" w:cstheme="minorHAnsi"/>
          <w:sz w:val="18"/>
          <w:szCs w:val="18"/>
        </w:rPr>
        <w:t xml:space="preserve"> </w:t>
      </w:r>
      <w:r w:rsidRPr="008D64F9">
        <w:rPr>
          <w:rFonts w:asciiTheme="minorHAnsi" w:hAnsiTheme="minorHAnsi" w:cstheme="minorHAnsi"/>
          <w:sz w:val="18"/>
          <w:szCs w:val="18"/>
          <w:rtl/>
        </w:rPr>
        <w:t xml:space="preserve">تم حاليا تعديل المادة 122-8(1) من قانون الملكية </w:t>
      </w:r>
      <w:r w:rsidRPr="008D64F9">
        <w:rPr>
          <w:rFonts w:asciiTheme="minorHAnsi" w:hAnsiTheme="minorHAnsi" w:cstheme="minorHAnsi"/>
          <w:sz w:val="18"/>
          <w:szCs w:val="18"/>
          <w:rtl/>
        </w:rPr>
        <w:t>الفكرية لتنفيذ توجيه المفوصية الأوروبية.</w:t>
      </w:r>
      <w:r w:rsidRPr="008D64F9">
        <w:rPr>
          <w:rFonts w:asciiTheme="minorHAnsi" w:hAnsiTheme="minorHAnsi" w:cstheme="minorHAnsi"/>
          <w:sz w:val="18"/>
          <w:szCs w:val="18"/>
        </w:rPr>
        <w:t xml:space="preserve"> </w:t>
      </w:r>
    </w:p>
  </w:footnote>
  <w:footnote w:id="34">
    <w:p w14:paraId="4D2FA627" w14:textId="77777777" w:rsidR="008D64F9" w:rsidRPr="008D64F9" w:rsidRDefault="008D64F9" w:rsidP="008D64F9">
      <w:pPr>
        <w:pStyle w:val="Footnote"/>
        <w:bidi/>
        <w:rPr>
          <w:rFonts w:asciiTheme="minorHAnsi" w:hAnsiTheme="minorHAnsi" w:cstheme="minorHAnsi"/>
          <w:sz w:val="18"/>
          <w:szCs w:val="18"/>
          <w:rtl/>
        </w:rPr>
      </w:pPr>
      <w:r w:rsidRPr="008D64F9">
        <w:rPr>
          <w:rStyle w:val="FootnoteReference"/>
          <w:rFonts w:asciiTheme="minorHAnsi" w:hAnsiTheme="minorHAnsi" w:cstheme="minorHAnsi"/>
          <w:sz w:val="18"/>
          <w:szCs w:val="18"/>
        </w:rPr>
        <w:footnoteRef/>
      </w:r>
      <w:r w:rsidRPr="008D64F9">
        <w:rPr>
          <w:rFonts w:asciiTheme="minorHAnsi" w:hAnsiTheme="minorHAnsi" w:cstheme="minorHAnsi"/>
          <w:sz w:val="18"/>
          <w:szCs w:val="18"/>
          <w:rtl/>
        </w:rPr>
        <w:t xml:space="preserve"> </w:t>
      </w:r>
      <w:r w:rsidRPr="008D64F9">
        <w:rPr>
          <w:rFonts w:asciiTheme="minorHAnsi" w:hAnsiTheme="minorHAnsi" w:cstheme="minorHAnsi"/>
          <w:sz w:val="18"/>
          <w:szCs w:val="18"/>
          <w:rtl/>
        </w:rPr>
        <w:t>القانون الغواتيمالي بشأن حق المؤلف والحقوق المجاورة، المرسوم رقم 33-98، المادة 38.</w:t>
      </w:r>
      <w:r w:rsidRPr="008D64F9">
        <w:rPr>
          <w:rFonts w:asciiTheme="minorHAnsi" w:hAnsiTheme="minorHAnsi" w:cstheme="minorHAnsi"/>
          <w:sz w:val="18"/>
          <w:szCs w:val="18"/>
        </w:rPr>
        <w:t xml:space="preserve"> </w:t>
      </w:r>
      <w:r w:rsidRPr="008D64F9">
        <w:rPr>
          <w:rFonts w:asciiTheme="minorHAnsi" w:hAnsiTheme="minorHAnsi" w:cstheme="minorHAnsi"/>
          <w:sz w:val="18"/>
          <w:szCs w:val="18"/>
          <w:rtl/>
        </w:rPr>
        <w:t>وينص قانون جمهورية الدومينيكان رقم 65-00 بشأن حق المؤلف في المادة 78 على حكم مماثل:</w:t>
      </w:r>
    </w:p>
    <w:p w14:paraId="380603AE" w14:textId="77777777" w:rsidR="008D64F9" w:rsidRPr="008D64F9" w:rsidRDefault="008D64F9" w:rsidP="008D64F9">
      <w:pPr>
        <w:pStyle w:val="Footnote"/>
        <w:bidi/>
        <w:ind w:left="720"/>
        <w:rPr>
          <w:rFonts w:asciiTheme="minorHAnsi" w:hAnsiTheme="minorHAnsi" w:cstheme="minorHAnsi"/>
          <w:sz w:val="18"/>
          <w:szCs w:val="18"/>
          <w:rtl/>
        </w:rPr>
      </w:pPr>
      <w:r w:rsidRPr="008D64F9">
        <w:rPr>
          <w:rFonts w:asciiTheme="minorHAnsi" w:hAnsiTheme="minorHAnsi" w:cstheme="minorHAnsi"/>
          <w:sz w:val="18"/>
          <w:szCs w:val="18"/>
          <w:rtl/>
        </w:rPr>
        <w:t>في حالة إعادة بيع مصنفات بصرية أو منحوتات أو مصنفات فنية ثلاثية الأبعاد بالمزاد العلني أو في معرض أو عن طريق تاجر متخصص، يتمتع المؤلف، وورثته أو خلفاؤه القانونيون في حال وفاته، طوال مدة حماية المصنفات المنصوص عليها في هذا القانون، بحق غير قابل للتصرف في الحصول من البائع على نسبة من سعر إعادة البيع، لا تقل بأي حال من الأحوال عن اثنين في المائة (2%) من سعر إعادة البيع.</w:t>
      </w:r>
      <w:r w:rsidRPr="008D64F9">
        <w:rPr>
          <w:rFonts w:asciiTheme="minorHAnsi" w:hAnsiTheme="minorHAnsi" w:cstheme="minorHAnsi"/>
          <w:sz w:val="18"/>
          <w:szCs w:val="18"/>
        </w:rPr>
        <w:t xml:space="preserve"> </w:t>
      </w:r>
      <w:r w:rsidRPr="008D64F9">
        <w:rPr>
          <w:rFonts w:asciiTheme="minorHAnsi" w:hAnsiTheme="minorHAnsi" w:cstheme="minorHAnsi"/>
          <w:sz w:val="18"/>
          <w:szCs w:val="18"/>
          <w:rtl/>
        </w:rPr>
        <w:t xml:space="preserve">وتقع مسؤولية تحصيل وتوزيع هذه العائدات على عاتق منظمة إدارة جماعية يتم تشكيلها وترخيصها وفقاً لأحكام هذا القانون.  </w:t>
      </w:r>
    </w:p>
  </w:footnote>
  <w:footnote w:id="35">
    <w:p w14:paraId="59C7F80F" w14:textId="77777777" w:rsidR="008D64F9" w:rsidRPr="008D64F9" w:rsidRDefault="008D64F9" w:rsidP="008D64F9">
      <w:pPr>
        <w:pStyle w:val="Footnote"/>
        <w:bidi/>
        <w:rPr>
          <w:rFonts w:asciiTheme="minorHAnsi" w:hAnsiTheme="minorHAnsi" w:cstheme="minorHAnsi"/>
          <w:sz w:val="18"/>
          <w:szCs w:val="18"/>
          <w:rtl/>
        </w:rPr>
      </w:pPr>
      <w:r w:rsidRPr="008D64F9">
        <w:rPr>
          <w:rStyle w:val="FootnoteReference"/>
          <w:rFonts w:asciiTheme="minorHAnsi" w:hAnsiTheme="minorHAnsi" w:cstheme="minorHAnsi"/>
          <w:sz w:val="18"/>
          <w:szCs w:val="18"/>
        </w:rPr>
        <w:footnoteRef/>
      </w:r>
      <w:r w:rsidRPr="008D64F9">
        <w:rPr>
          <w:rFonts w:asciiTheme="minorHAnsi" w:hAnsiTheme="minorHAnsi" w:cstheme="minorHAnsi"/>
          <w:sz w:val="18"/>
          <w:szCs w:val="18"/>
          <w:rtl/>
        </w:rPr>
        <w:t xml:space="preserve"> كينيا، </w:t>
      </w:r>
      <w:r w:rsidRPr="008D64F9">
        <w:rPr>
          <w:rFonts w:asciiTheme="minorHAnsi" w:hAnsiTheme="minorHAnsi" w:cstheme="minorHAnsi"/>
          <w:i/>
          <w:iCs/>
          <w:sz w:val="18"/>
          <w:szCs w:val="18"/>
          <w:rtl/>
        </w:rPr>
        <w:t>قانون حق المؤلف رقم 12 لعام 2001،</w:t>
      </w:r>
      <w:r w:rsidRPr="008D64F9">
        <w:rPr>
          <w:rFonts w:asciiTheme="minorHAnsi" w:hAnsiTheme="minorHAnsi" w:cstheme="minorHAnsi"/>
          <w:sz w:val="18"/>
          <w:szCs w:val="18"/>
        </w:rPr>
        <w:t xml:space="preserve"> </w:t>
      </w:r>
      <w:r w:rsidRPr="008D64F9">
        <w:rPr>
          <w:rFonts w:asciiTheme="minorHAnsi" w:hAnsiTheme="minorHAnsi" w:cstheme="minorHAnsi"/>
          <w:sz w:val="18"/>
          <w:szCs w:val="18"/>
          <w:rtl/>
        </w:rPr>
        <w:t>المادة 2.</w:t>
      </w:r>
    </w:p>
  </w:footnote>
  <w:footnote w:id="36">
    <w:p w14:paraId="67844D16" w14:textId="77777777" w:rsidR="008D64F9" w:rsidRPr="008D64F9" w:rsidRDefault="008D64F9" w:rsidP="008D64F9">
      <w:pPr>
        <w:pStyle w:val="FootnoteText"/>
        <w:rPr>
          <w:rFonts w:asciiTheme="minorHAnsi" w:hAnsiTheme="minorHAnsi" w:cstheme="minorHAnsi"/>
          <w:rtl/>
        </w:rPr>
      </w:pPr>
      <w:r w:rsidRPr="008D64F9">
        <w:rPr>
          <w:rStyle w:val="FootnoteReference"/>
          <w:rFonts w:asciiTheme="minorHAnsi" w:hAnsiTheme="minorHAnsi" w:cstheme="minorHAnsi"/>
        </w:rPr>
        <w:footnoteRef/>
      </w:r>
      <w:r w:rsidRPr="008D64F9">
        <w:rPr>
          <w:rFonts w:asciiTheme="minorHAnsi" w:hAnsiTheme="minorHAnsi" w:cstheme="minorHAnsi"/>
          <w:rtl/>
        </w:rPr>
        <w:t xml:space="preserve"> استناداً إلى قانون حق التتبع لفناني المصنفات البصرية لعام 2009، المادة 6 (أستراليا).</w:t>
      </w:r>
    </w:p>
  </w:footnote>
  <w:footnote w:id="37">
    <w:p w14:paraId="598E2593" w14:textId="77777777" w:rsidR="008D64F9" w:rsidRPr="008D64F9" w:rsidRDefault="008D64F9" w:rsidP="008D64F9">
      <w:pPr>
        <w:autoSpaceDE w:val="0"/>
        <w:autoSpaceDN w:val="0"/>
        <w:adjustRightInd w:val="0"/>
        <w:spacing w:before="120" w:after="120"/>
        <w:rPr>
          <w:rFonts w:asciiTheme="minorHAnsi" w:eastAsia="Times New Roman" w:hAnsiTheme="minorHAnsi" w:cstheme="minorHAnsi"/>
          <w:color w:val="000000"/>
          <w:sz w:val="18"/>
          <w:szCs w:val="18"/>
          <w:rtl/>
        </w:rPr>
      </w:pPr>
      <w:r w:rsidRPr="008D64F9">
        <w:rPr>
          <w:rStyle w:val="FootnoteReference"/>
          <w:rFonts w:asciiTheme="minorHAnsi" w:hAnsiTheme="minorHAnsi" w:cstheme="minorHAnsi"/>
          <w:sz w:val="18"/>
          <w:szCs w:val="18"/>
        </w:rPr>
        <w:footnoteRef/>
      </w:r>
      <w:r w:rsidRPr="008D64F9">
        <w:rPr>
          <w:rFonts w:asciiTheme="minorHAnsi" w:hAnsiTheme="minorHAnsi" w:cstheme="minorHAnsi"/>
          <w:sz w:val="18"/>
          <w:szCs w:val="18"/>
        </w:rPr>
        <w:t xml:space="preserve"> </w:t>
      </w:r>
      <w:r w:rsidRPr="008D64F9">
        <w:rPr>
          <w:rFonts w:asciiTheme="minorHAnsi" w:hAnsiTheme="minorHAnsi" w:cstheme="minorHAnsi"/>
          <w:sz w:val="18"/>
          <w:szCs w:val="18"/>
          <w:rtl/>
        </w:rPr>
        <w:t>ساحل العاج</w:t>
      </w:r>
      <w:r w:rsidRPr="008D64F9">
        <w:rPr>
          <w:rFonts w:asciiTheme="minorHAnsi" w:hAnsiTheme="minorHAnsi" w:cstheme="minorHAnsi"/>
          <w:sz w:val="18"/>
          <w:szCs w:val="18"/>
        </w:rPr>
        <w:t xml:space="preserve"> </w:t>
      </w:r>
      <w:r w:rsidRPr="008D64F9">
        <w:rPr>
          <w:rFonts w:asciiTheme="minorHAnsi" w:hAnsiTheme="minorHAnsi" w:cstheme="minorHAnsi"/>
          <w:sz w:val="18"/>
          <w:szCs w:val="18"/>
          <w:rtl/>
        </w:rPr>
        <w:t>،</w:t>
      </w:r>
      <w:r w:rsidRPr="008D64F9">
        <w:rPr>
          <w:rFonts w:asciiTheme="minorHAnsi" w:hAnsiTheme="minorHAnsi" w:cstheme="minorHAnsi"/>
          <w:sz w:val="18"/>
          <w:szCs w:val="18"/>
        </w:rPr>
        <w:t xml:space="preserve"> </w:t>
      </w:r>
      <w:r w:rsidRPr="008D64F9">
        <w:rPr>
          <w:rFonts w:asciiTheme="minorHAnsi" w:hAnsiTheme="minorHAnsi" w:cstheme="minorHAnsi"/>
          <w:color w:val="000000"/>
          <w:sz w:val="18"/>
          <w:szCs w:val="18"/>
          <w:rtl/>
        </w:rPr>
        <w:t>القانون رقم 96-564 المؤرخ 25 يوليو 1996 بشأن حماية المصنفات الفكرية وحقوق المؤلفين وفناني الأداء ومنتجي التسجيلات الصوتية ومقاطع الفيديو، المادة 44.</w:t>
      </w:r>
    </w:p>
  </w:footnote>
  <w:footnote w:id="38">
    <w:p w14:paraId="3D445769" w14:textId="77777777" w:rsidR="008D64F9" w:rsidRPr="008D64F9" w:rsidRDefault="008D64F9" w:rsidP="008D64F9">
      <w:pPr>
        <w:pStyle w:val="FootnoteText"/>
        <w:spacing w:before="120" w:after="120"/>
        <w:rPr>
          <w:rFonts w:asciiTheme="minorHAnsi" w:hAnsiTheme="minorHAnsi" w:cstheme="minorHAnsi"/>
          <w:rtl/>
        </w:rPr>
      </w:pPr>
      <w:r w:rsidRPr="008D64F9">
        <w:rPr>
          <w:rStyle w:val="FootnoteReference"/>
          <w:rFonts w:asciiTheme="minorHAnsi" w:hAnsiTheme="minorHAnsi" w:cstheme="minorHAnsi"/>
        </w:rPr>
        <w:footnoteRef/>
      </w:r>
      <w:r w:rsidRPr="008D64F9">
        <w:rPr>
          <w:rFonts w:asciiTheme="minorHAnsi" w:hAnsiTheme="minorHAnsi" w:cstheme="minorHAnsi"/>
          <w:rtl/>
        </w:rPr>
        <w:t xml:space="preserve"> أستراليا، قانون حق التتبع لفناني المصنفات البصرية لعام 2009، المادة 7(1). </w:t>
      </w:r>
      <w:r w:rsidRPr="008D64F9">
        <w:rPr>
          <w:rFonts w:asciiTheme="minorHAnsi" w:hAnsiTheme="minorHAnsi" w:cstheme="minorHAnsi"/>
          <w:rtl/>
        </w:rPr>
        <w:t>انظر(ي) أيضًا قانون حق التتبع للفنانين التشكيليين في نيوزيلندا لعام 2023، المادة 8 (1) التي تتبنى تعريفًا مشابهًا ولكنها تستخدم تعبير "العمل الفني البصري الأصلي".</w:t>
      </w:r>
    </w:p>
  </w:footnote>
  <w:footnote w:id="39">
    <w:p w14:paraId="01DA3D47" w14:textId="77777777" w:rsidR="008D64F9" w:rsidRPr="008D64F9" w:rsidRDefault="008D64F9" w:rsidP="008D64F9">
      <w:pPr>
        <w:pStyle w:val="FootnoteText"/>
        <w:spacing w:before="120" w:after="120"/>
        <w:rPr>
          <w:rFonts w:asciiTheme="minorHAnsi" w:hAnsiTheme="minorHAnsi" w:cstheme="minorHAnsi"/>
          <w:rtl/>
        </w:rPr>
      </w:pPr>
      <w:r w:rsidRPr="008D64F9">
        <w:rPr>
          <w:rStyle w:val="FootnoteReference"/>
          <w:rFonts w:asciiTheme="minorHAnsi" w:hAnsiTheme="minorHAnsi" w:cstheme="minorHAnsi"/>
        </w:rPr>
        <w:footnoteRef/>
      </w:r>
      <w:r w:rsidRPr="008D64F9">
        <w:rPr>
          <w:rFonts w:asciiTheme="minorHAnsi" w:hAnsiTheme="minorHAnsi" w:cstheme="minorHAnsi"/>
          <w:rtl/>
        </w:rPr>
        <w:t xml:space="preserve"> كينيا، قانون حق المؤلف لعام 2001، المادة 2(1).</w:t>
      </w:r>
    </w:p>
  </w:footnote>
  <w:footnote w:id="40">
    <w:p w14:paraId="2C6D7003" w14:textId="77777777" w:rsidR="008D64F9" w:rsidRPr="008D64F9" w:rsidRDefault="008D64F9" w:rsidP="008D64F9">
      <w:pPr>
        <w:pStyle w:val="FootnoteText"/>
        <w:spacing w:before="120" w:after="120"/>
        <w:rPr>
          <w:rFonts w:asciiTheme="minorHAnsi" w:hAnsiTheme="minorHAnsi" w:cstheme="minorHAnsi"/>
          <w:rtl/>
        </w:rPr>
      </w:pPr>
      <w:r w:rsidRPr="008D64F9">
        <w:rPr>
          <w:rStyle w:val="FootnoteReference"/>
          <w:rFonts w:asciiTheme="minorHAnsi" w:hAnsiTheme="minorHAnsi" w:cstheme="minorHAnsi"/>
        </w:rPr>
        <w:footnoteRef/>
      </w:r>
      <w:r w:rsidRPr="008D64F9">
        <w:rPr>
          <w:rFonts w:asciiTheme="minorHAnsi" w:hAnsiTheme="minorHAnsi" w:cstheme="minorHAnsi"/>
          <w:rtl/>
        </w:rPr>
        <w:t xml:space="preserve"> المرجع نفسه.</w:t>
      </w:r>
    </w:p>
  </w:footnote>
  <w:footnote w:id="41">
    <w:p w14:paraId="7D6EE4CD" w14:textId="77777777" w:rsidR="008D64F9" w:rsidRPr="008D64F9" w:rsidRDefault="008D64F9" w:rsidP="008D64F9">
      <w:pPr>
        <w:pStyle w:val="Footnote"/>
        <w:bidi/>
        <w:rPr>
          <w:rFonts w:asciiTheme="minorHAnsi" w:hAnsiTheme="minorHAnsi" w:cstheme="minorHAnsi"/>
          <w:sz w:val="18"/>
          <w:szCs w:val="18"/>
          <w:rtl/>
        </w:rPr>
      </w:pPr>
      <w:r w:rsidRPr="008D64F9">
        <w:rPr>
          <w:rStyle w:val="FootnoteReference"/>
          <w:rFonts w:asciiTheme="minorHAnsi" w:hAnsiTheme="minorHAnsi" w:cstheme="minorHAnsi"/>
          <w:sz w:val="18"/>
          <w:szCs w:val="18"/>
        </w:rPr>
        <w:footnoteRef/>
      </w:r>
      <w:r w:rsidRPr="008D64F9">
        <w:rPr>
          <w:rFonts w:asciiTheme="minorHAnsi" w:hAnsiTheme="minorHAnsi" w:cstheme="minorHAnsi"/>
          <w:sz w:val="18"/>
          <w:szCs w:val="18"/>
          <w:rtl/>
        </w:rPr>
        <w:t xml:space="preserve"> على سبيل المثال، يشير القانون الفرنسي إلى "المصنفات التصويرية والتشكيلية الأصلية" في المادة 122-8، الفقرة الأولى)، في حين يتم توفير قائمة أكثر تفصيلاً في المادة </w:t>
      </w:r>
      <w:r w:rsidRPr="008D64F9">
        <w:rPr>
          <w:rFonts w:asciiTheme="minorHAnsi" w:hAnsiTheme="minorHAnsi" w:cstheme="minorHAnsi"/>
          <w:sz w:val="18"/>
          <w:szCs w:val="18"/>
        </w:rPr>
        <w:t>R 122-2</w:t>
      </w:r>
      <w:r w:rsidRPr="008D64F9">
        <w:rPr>
          <w:rFonts w:asciiTheme="minorHAnsi" w:hAnsiTheme="minorHAnsi" w:cstheme="minorHAnsi"/>
          <w:sz w:val="18"/>
          <w:szCs w:val="18"/>
          <w:rtl/>
        </w:rPr>
        <w:t xml:space="preserve"> من المرسوم الصادر عام 2007:</w:t>
      </w:r>
      <w:r w:rsidRPr="008D64F9">
        <w:rPr>
          <w:rFonts w:asciiTheme="minorHAnsi" w:hAnsiTheme="minorHAnsi" w:cstheme="minorHAnsi"/>
          <w:sz w:val="18"/>
          <w:szCs w:val="18"/>
        </w:rPr>
        <w:t xml:space="preserve"> </w:t>
      </w:r>
      <w:r w:rsidRPr="008D64F9">
        <w:rPr>
          <w:rFonts w:asciiTheme="minorHAnsi" w:hAnsiTheme="minorHAnsi" w:cstheme="minorHAnsi"/>
          <w:sz w:val="18"/>
          <w:szCs w:val="18"/>
          <w:rtl/>
        </w:rPr>
        <w:t>"اللوحات، والملصقات، والرسومات، والنقوش، والمطبوعات، والطباعة الحجرية، والمنحوتات، والمفروشات، والسيراميك، والأواني الزجاجية، والصور الفوتوغرافية والإبداعات البلاستيكية، على الوسائط السمعية والبصرية أو الرقمية".</w:t>
      </w:r>
      <w:r w:rsidRPr="008D64F9">
        <w:rPr>
          <w:rFonts w:asciiTheme="minorHAnsi" w:hAnsiTheme="minorHAnsi" w:cstheme="minorHAnsi"/>
          <w:sz w:val="18"/>
          <w:szCs w:val="18"/>
        </w:rPr>
        <w:t xml:space="preserve"> </w:t>
      </w:r>
      <w:r w:rsidRPr="008D64F9">
        <w:rPr>
          <w:rFonts w:asciiTheme="minorHAnsi" w:hAnsiTheme="minorHAnsi" w:cstheme="minorHAnsi"/>
          <w:sz w:val="18"/>
          <w:szCs w:val="18"/>
          <w:rtl/>
        </w:rPr>
        <w:t>(‘</w:t>
      </w:r>
      <w:r w:rsidRPr="008D64F9">
        <w:rPr>
          <w:rFonts w:asciiTheme="minorHAnsi" w:hAnsiTheme="minorHAnsi" w:cstheme="minorHAnsi"/>
          <w:sz w:val="18"/>
          <w:szCs w:val="18"/>
          <w:lang w:val="fr-FR"/>
        </w:rPr>
        <w:t>Les œuvres mentionnées à l’article R. 122-1 sont les œuvres originales graphiques ou plastiques créées par l’auteur lui-même, telles que les tableaux, les collages, les peintures, les dessins, les gravures, les estampes, les lithographies, les sculptures, les tapisseries, les céramiques, les verreries, les photographies et les créations plastiques sur support audiovisuel ou numérique.</w:t>
      </w:r>
      <w:r w:rsidRPr="008D64F9">
        <w:rPr>
          <w:rFonts w:asciiTheme="minorHAnsi" w:hAnsiTheme="minorHAnsi" w:cstheme="minorHAnsi"/>
          <w:sz w:val="18"/>
          <w:szCs w:val="18"/>
          <w:rtl/>
        </w:rPr>
        <w:t>’)</w:t>
      </w:r>
      <w:r w:rsidRPr="008D64F9">
        <w:rPr>
          <w:rFonts w:asciiTheme="minorHAnsi" w:hAnsiTheme="minorHAnsi" w:cstheme="minorHAnsi"/>
          <w:sz w:val="18"/>
          <w:szCs w:val="18"/>
          <w:lang w:val="fr-FR"/>
        </w:rPr>
        <w:t xml:space="preserve"> </w:t>
      </w:r>
    </w:p>
  </w:footnote>
  <w:footnote w:id="42">
    <w:p w14:paraId="224C88C8" w14:textId="77777777" w:rsidR="008D64F9" w:rsidRPr="008D64F9" w:rsidRDefault="008D64F9" w:rsidP="008D64F9">
      <w:pPr>
        <w:pStyle w:val="FootnoteText"/>
        <w:spacing w:before="120" w:after="120"/>
        <w:rPr>
          <w:rFonts w:asciiTheme="minorHAnsi" w:hAnsiTheme="minorHAnsi" w:cstheme="minorHAnsi"/>
          <w:rtl/>
        </w:rPr>
      </w:pPr>
      <w:r w:rsidRPr="008D64F9">
        <w:rPr>
          <w:rStyle w:val="FootnoteReference"/>
          <w:rFonts w:asciiTheme="minorHAnsi" w:hAnsiTheme="minorHAnsi" w:cstheme="minorHAnsi"/>
        </w:rPr>
        <w:footnoteRef/>
      </w:r>
      <w:r w:rsidRPr="008D64F9">
        <w:rPr>
          <w:rFonts w:asciiTheme="minorHAnsi" w:hAnsiTheme="minorHAnsi" w:cstheme="minorHAnsi"/>
          <w:rtl/>
        </w:rPr>
        <w:t xml:space="preserve"> </w:t>
      </w:r>
      <w:r w:rsidRPr="008D64F9">
        <w:rPr>
          <w:rFonts w:asciiTheme="minorHAnsi" w:hAnsiTheme="minorHAnsi" w:cstheme="minorHAnsi"/>
          <w:rtl/>
        </w:rPr>
        <w:t>نيوزيلندا،</w:t>
      </w:r>
      <w:r w:rsidRPr="008D64F9">
        <w:rPr>
          <w:rFonts w:asciiTheme="minorHAnsi" w:hAnsiTheme="minorHAnsi" w:cstheme="minorHAnsi"/>
          <w:i/>
          <w:iCs/>
        </w:rPr>
        <w:t xml:space="preserve"> </w:t>
      </w:r>
      <w:r w:rsidRPr="008D64F9">
        <w:rPr>
          <w:rFonts w:asciiTheme="minorHAnsi" w:hAnsiTheme="minorHAnsi" w:cstheme="minorHAnsi"/>
          <w:rtl/>
        </w:rPr>
        <w:t>قانون حق التتبع لفناني المصنفات البصرية لعام 2023، المادة 8(2)(</w:t>
      </w:r>
      <w:r w:rsidRPr="008D64F9">
        <w:rPr>
          <w:rFonts w:asciiTheme="minorHAnsi" w:hAnsiTheme="minorHAnsi" w:cstheme="minorHAnsi"/>
        </w:rPr>
        <w:t>i</w:t>
      </w:r>
      <w:r w:rsidRPr="008D64F9">
        <w:rPr>
          <w:rFonts w:asciiTheme="minorHAnsi" w:hAnsiTheme="minorHAnsi" w:cstheme="minorHAnsi"/>
          <w:rtl/>
        </w:rPr>
        <w:t>) و(</w:t>
      </w:r>
      <w:r w:rsidRPr="008D64F9">
        <w:rPr>
          <w:rFonts w:asciiTheme="minorHAnsi" w:hAnsiTheme="minorHAnsi" w:cstheme="minorHAnsi"/>
        </w:rPr>
        <w:t>ii)</w:t>
      </w:r>
      <w:r w:rsidRPr="008D64F9">
        <w:rPr>
          <w:rFonts w:asciiTheme="minorHAnsi" w:hAnsiTheme="minorHAnsi" w:cstheme="minorHAnsi"/>
          <w:rtl/>
        </w:rPr>
        <w:t>، المذكورة في الجدول 29 أدناه.</w:t>
      </w:r>
    </w:p>
  </w:footnote>
  <w:footnote w:id="43">
    <w:p w14:paraId="6D282151" w14:textId="77777777" w:rsidR="008D64F9" w:rsidRPr="008D64F9" w:rsidRDefault="008D64F9" w:rsidP="008D64F9">
      <w:pPr>
        <w:pStyle w:val="FootnoteText"/>
        <w:rPr>
          <w:rFonts w:asciiTheme="minorHAnsi" w:hAnsiTheme="minorHAnsi" w:cstheme="minorHAnsi"/>
          <w:rtl/>
          <w:lang w:bidi="ar-SY"/>
        </w:rPr>
      </w:pPr>
      <w:r w:rsidRPr="008D64F9">
        <w:rPr>
          <w:rStyle w:val="FootnoteReference"/>
          <w:rFonts w:asciiTheme="minorHAnsi" w:hAnsiTheme="minorHAnsi" w:cstheme="minorHAnsi"/>
        </w:rPr>
        <w:footnoteRef/>
      </w:r>
      <w:r w:rsidRPr="008D64F9">
        <w:rPr>
          <w:rFonts w:asciiTheme="minorHAnsi" w:hAnsiTheme="minorHAnsi" w:cstheme="minorHAnsi"/>
        </w:rPr>
        <w:t xml:space="preserve"> </w:t>
      </w:r>
      <w:r w:rsidRPr="008D64F9">
        <w:rPr>
          <w:rFonts w:asciiTheme="minorHAnsi" w:hAnsiTheme="minorHAnsi" w:cstheme="minorHAnsi"/>
          <w:rtl/>
        </w:rPr>
        <w:t xml:space="preserve">انظر(ي)، على سبيل المثال، أستراليا، قانون حق المؤلف لعام 1968، المادة 10(1) (تعريف "المصنف الفني"، الفقرة (ب): "مبنى أو نموذج لمبنى، سواء كان المبنى أو النموذج ذو جودة فنية أم لا"؛ قارن(ي) مع قانون حق المؤلف  والتصاميم والبراءات في المملكة المتحدة لعام 1988، المادة 4(1)(ب) التي تشير إلى "عمل معماري هو مبنى أو نموذج لمبنى" وتعرّف "المبنى" على أنه يشمل "أي هيكل ثابت، وجزء من مبنى أو هيكل ثابت".  </w:t>
      </w:r>
    </w:p>
  </w:footnote>
  <w:footnote w:id="44">
    <w:p w14:paraId="37931743" w14:textId="489CA2F2" w:rsidR="008D64F9" w:rsidRPr="008D64F9" w:rsidRDefault="008D64F9" w:rsidP="008D64F9">
      <w:pPr>
        <w:pStyle w:val="FootnoteText"/>
        <w:spacing w:before="120" w:after="120"/>
        <w:rPr>
          <w:rFonts w:asciiTheme="minorHAnsi" w:hAnsiTheme="minorHAnsi" w:cstheme="minorHAnsi"/>
          <w:rtl/>
        </w:rPr>
      </w:pPr>
      <w:r w:rsidRPr="008D64F9">
        <w:rPr>
          <w:rStyle w:val="FootnoteReference"/>
          <w:rFonts w:asciiTheme="minorHAnsi" w:hAnsiTheme="minorHAnsi" w:cstheme="minorHAnsi"/>
        </w:rPr>
        <w:footnoteRef/>
      </w:r>
      <w:r w:rsidRPr="008D64F9">
        <w:rPr>
          <w:rFonts w:asciiTheme="minorHAnsi" w:hAnsiTheme="minorHAnsi" w:cstheme="minorHAnsi"/>
          <w:rtl/>
        </w:rPr>
        <w:t xml:space="preserve"> على سبيل المثال، يرجى الاطلاع </w:t>
      </w:r>
      <w:r w:rsidRPr="008D64F9">
        <w:rPr>
          <w:rFonts w:asciiTheme="minorHAnsi" w:hAnsiTheme="minorHAnsi" w:cstheme="minorHAnsi"/>
          <w:rtl/>
        </w:rPr>
        <w:t>على عملية بيع "</w:t>
      </w:r>
      <w:proofErr w:type="spellStart"/>
      <w:r w:rsidRPr="008D64F9">
        <w:rPr>
          <w:rFonts w:asciiTheme="minorHAnsi" w:hAnsiTheme="minorHAnsi" w:cstheme="minorHAnsi"/>
          <w:i/>
          <w:iCs/>
        </w:rPr>
        <w:t>Everydays</w:t>
      </w:r>
      <w:proofErr w:type="spellEnd"/>
      <w:r w:rsidRPr="008D64F9">
        <w:rPr>
          <w:rFonts w:asciiTheme="minorHAnsi" w:hAnsiTheme="minorHAnsi" w:cstheme="minorHAnsi"/>
          <w:i/>
          <w:iCs/>
        </w:rPr>
        <w:t>:</w:t>
      </w:r>
      <w:r w:rsidRPr="008D64F9">
        <w:rPr>
          <w:rFonts w:asciiTheme="minorHAnsi" w:hAnsiTheme="minorHAnsi" w:cstheme="minorHAnsi"/>
          <w:i/>
          <w:iCs/>
          <w:color w:val="1C1C1B"/>
        </w:rPr>
        <w:t xml:space="preserve"> </w:t>
      </w:r>
      <w:r w:rsidRPr="008D64F9">
        <w:rPr>
          <w:rFonts w:asciiTheme="minorHAnsi" w:hAnsiTheme="minorHAnsi" w:cstheme="minorHAnsi"/>
        </w:rPr>
        <w:t>The First 5000 Days (2021</w:t>
      </w:r>
      <w:r w:rsidRPr="008D64F9">
        <w:rPr>
          <w:rFonts w:asciiTheme="minorHAnsi" w:hAnsiTheme="minorHAnsi" w:cstheme="minorHAnsi"/>
          <w:rtl/>
        </w:rPr>
        <w:t xml:space="preserve">)" مقابل 69.3 مليون دولار، وهي أول عملية بيع لرمز غير قابل للاستبدال </w:t>
      </w:r>
      <w:r w:rsidRPr="008D64F9">
        <w:rPr>
          <w:rFonts w:asciiTheme="minorHAnsi" w:hAnsiTheme="minorHAnsi" w:cstheme="minorHAnsi"/>
        </w:rPr>
        <w:t>NFT</w:t>
      </w:r>
      <w:r w:rsidRPr="008D64F9">
        <w:rPr>
          <w:rFonts w:asciiTheme="minorHAnsi" w:hAnsiTheme="minorHAnsi" w:cstheme="minorHAnsi"/>
          <w:rtl/>
        </w:rPr>
        <w:t xml:space="preserve"> في مزاد من خلال دار مزادات كلاسيكية (كريستيز)؛ يرجى الاطلاع أيضًا على ج. كاستريناكيس، "باع الفنان المعروف باسم </w:t>
      </w:r>
      <w:proofErr w:type="spellStart"/>
      <w:r w:rsidRPr="008D64F9">
        <w:rPr>
          <w:rFonts w:asciiTheme="minorHAnsi" w:hAnsiTheme="minorHAnsi" w:cstheme="minorHAnsi"/>
        </w:rPr>
        <w:t>Beeple</w:t>
      </w:r>
      <w:proofErr w:type="spellEnd"/>
      <w:r w:rsidRPr="008D64F9">
        <w:rPr>
          <w:rFonts w:asciiTheme="minorHAnsi" w:hAnsiTheme="minorHAnsi" w:cstheme="minorHAnsi"/>
          <w:rtl/>
        </w:rPr>
        <w:t xml:space="preserve"> رمز غير قابل للاستبدال مقابل 69 مليون دولار، من خلال مزاد أول من نوعه في كريستيز، 12 مارس 2021، موقع </w:t>
      </w:r>
      <w:r w:rsidRPr="008D64F9">
        <w:rPr>
          <w:rFonts w:asciiTheme="minorHAnsi" w:hAnsiTheme="minorHAnsi" w:cstheme="minorHAnsi"/>
        </w:rPr>
        <w:t>The Verge</w:t>
      </w:r>
      <w:r w:rsidRPr="008D64F9">
        <w:rPr>
          <w:rFonts w:asciiTheme="minorHAnsi" w:hAnsiTheme="minorHAnsi" w:cstheme="minorHAnsi"/>
          <w:rtl/>
        </w:rPr>
        <w:t>:</w:t>
      </w:r>
      <w:hyperlink r:id="rId5" w:history="1">
        <w:r w:rsidRPr="008D64F9">
          <w:rPr>
            <w:rStyle w:val="Hyperlink"/>
            <w:rFonts w:asciiTheme="minorHAnsi" w:hAnsiTheme="minorHAnsi" w:cstheme="minorHAnsi"/>
            <w:rtl/>
          </w:rPr>
          <w:t xml:space="preserve"> </w:t>
        </w:r>
        <w:r w:rsidRPr="008D64F9">
          <w:rPr>
            <w:rStyle w:val="Hyperlink"/>
            <w:rFonts w:asciiTheme="minorHAnsi" w:hAnsiTheme="minorHAnsi" w:cstheme="minorHAnsi"/>
          </w:rPr>
          <w:t xml:space="preserve">https://www.theverge.com/2021/3/11/22325054/beeple-christies-nft-sale-cost-everydays-69-million </w:t>
        </w:r>
      </w:hyperlink>
      <w:r w:rsidRPr="008D64F9">
        <w:rPr>
          <w:rFonts w:asciiTheme="minorHAnsi" w:hAnsiTheme="minorHAnsi" w:cstheme="minorHAnsi"/>
          <w:rtl/>
        </w:rPr>
        <w:t xml:space="preserve"> (تم الاطلاع على الرابط في 31 يناير 2025).</w:t>
      </w:r>
    </w:p>
  </w:footnote>
  <w:footnote w:id="45">
    <w:p w14:paraId="20F0427A" w14:textId="77777777" w:rsidR="008D64F9" w:rsidRPr="008D64F9" w:rsidRDefault="008D64F9" w:rsidP="008D64F9">
      <w:pPr>
        <w:pStyle w:val="Footnote"/>
        <w:bidi/>
        <w:rPr>
          <w:rFonts w:asciiTheme="minorHAnsi" w:hAnsiTheme="minorHAnsi" w:cstheme="minorHAnsi"/>
          <w:sz w:val="18"/>
          <w:szCs w:val="18"/>
          <w:rtl/>
        </w:rPr>
      </w:pPr>
      <w:r w:rsidRPr="008D64F9">
        <w:rPr>
          <w:rStyle w:val="FootnoteReference"/>
          <w:rFonts w:asciiTheme="minorHAnsi" w:hAnsiTheme="minorHAnsi" w:cstheme="minorHAnsi"/>
          <w:sz w:val="18"/>
          <w:szCs w:val="18"/>
        </w:rPr>
        <w:footnoteRef/>
      </w:r>
      <w:r w:rsidRPr="008D64F9">
        <w:rPr>
          <w:rFonts w:asciiTheme="minorHAnsi" w:hAnsiTheme="minorHAnsi" w:cstheme="minorHAnsi"/>
          <w:sz w:val="18"/>
          <w:szCs w:val="18"/>
          <w:rtl/>
        </w:rPr>
        <w:t xml:space="preserve"> </w:t>
      </w:r>
      <w:r w:rsidRPr="008D64F9">
        <w:rPr>
          <w:rFonts w:asciiTheme="minorHAnsi" w:hAnsiTheme="minorHAnsi" w:cstheme="minorHAnsi"/>
          <w:sz w:val="18"/>
          <w:szCs w:val="18"/>
          <w:rtl/>
        </w:rPr>
        <w:t>للاطلاع على حكم وطني مماثل، يرجى مراجعة المرجع التالي: السنغال، القانون رقم 2008-09 المؤرخ 25 يناير 2008، بشأن حق المؤلف والحقوق المجاورة، المادة 47 التي تشير إلى "المصنفات الفنية الأصلية" و"المخطوطات الأصلية للمؤلفين أو الملحنين".  ويوجد حكم مماثل آخر في المادة 31 (1) و (2) من قانون حق المؤلف لعام 2016 الخاص بدولة مالاوي، والذي يشير إلى "النُسخ الأصلية" "للمصنفات التصويرية والمصنفات الثلاثية الأبعاد والمخطوطات"، في حين يشير الحكم الأخير الصادر في المملكة العربية السعودية إلى "المصنفات والمنتجات الفنية الجميلة الأصلية والمخطوطات الموسيقية الأصلية".</w:t>
      </w:r>
      <w:r w:rsidRPr="008D64F9">
        <w:rPr>
          <w:rFonts w:asciiTheme="minorHAnsi" w:hAnsiTheme="minorHAnsi" w:cstheme="minorHAnsi"/>
          <w:sz w:val="18"/>
          <w:szCs w:val="18"/>
        </w:rPr>
        <w:t xml:space="preserve"> </w:t>
      </w:r>
    </w:p>
  </w:footnote>
  <w:footnote w:id="46">
    <w:p w14:paraId="3C3313B1" w14:textId="77777777" w:rsidR="008D64F9" w:rsidRPr="008D64F9" w:rsidRDefault="008D64F9" w:rsidP="008D64F9">
      <w:pPr>
        <w:pStyle w:val="Footnote"/>
        <w:bidi/>
        <w:rPr>
          <w:rFonts w:asciiTheme="minorHAnsi" w:hAnsiTheme="minorHAnsi" w:cstheme="minorHAnsi"/>
          <w:sz w:val="18"/>
          <w:szCs w:val="18"/>
          <w:rtl/>
        </w:rPr>
      </w:pPr>
      <w:r w:rsidRPr="008D64F9">
        <w:rPr>
          <w:rStyle w:val="FootnoteReference"/>
          <w:rFonts w:asciiTheme="minorHAnsi" w:hAnsiTheme="minorHAnsi" w:cstheme="minorHAnsi"/>
          <w:sz w:val="18"/>
          <w:szCs w:val="18"/>
        </w:rPr>
        <w:footnoteRef/>
      </w:r>
      <w:r w:rsidRPr="008D64F9">
        <w:rPr>
          <w:rFonts w:asciiTheme="minorHAnsi" w:hAnsiTheme="minorHAnsi" w:cstheme="minorHAnsi"/>
          <w:sz w:val="18"/>
          <w:szCs w:val="18"/>
          <w:rtl/>
        </w:rPr>
        <w:t xml:space="preserve"> توجيه المفوضية الأوروبية، المادة 1(1) و(2).</w:t>
      </w:r>
    </w:p>
  </w:footnote>
  <w:footnote w:id="47">
    <w:p w14:paraId="0E87512F" w14:textId="77777777" w:rsidR="008D64F9" w:rsidRPr="008D64F9" w:rsidRDefault="008D64F9" w:rsidP="008D64F9">
      <w:pPr>
        <w:pStyle w:val="Footnote"/>
        <w:bidi/>
        <w:rPr>
          <w:rFonts w:asciiTheme="minorHAnsi" w:hAnsiTheme="minorHAnsi" w:cstheme="minorHAnsi"/>
          <w:sz w:val="18"/>
          <w:szCs w:val="18"/>
          <w:rtl/>
        </w:rPr>
      </w:pPr>
      <w:r w:rsidRPr="008D64F9">
        <w:rPr>
          <w:rStyle w:val="FootnoteReference"/>
          <w:rFonts w:asciiTheme="minorHAnsi" w:hAnsiTheme="minorHAnsi" w:cstheme="minorHAnsi"/>
          <w:sz w:val="18"/>
          <w:szCs w:val="18"/>
        </w:rPr>
        <w:footnoteRef/>
      </w:r>
      <w:r w:rsidRPr="008D64F9">
        <w:rPr>
          <w:rFonts w:asciiTheme="minorHAnsi" w:hAnsiTheme="minorHAnsi" w:cstheme="minorHAnsi"/>
          <w:sz w:val="18"/>
          <w:szCs w:val="18"/>
          <w:rtl/>
        </w:rPr>
        <w:t xml:space="preserve"> يستند إلى المرجع التالي: أستراليا، قانون حق التتبع لفناني المصنفات البصرية لعام 2009، المادة 7.</w:t>
      </w:r>
      <w:r w:rsidRPr="008D64F9">
        <w:rPr>
          <w:rFonts w:asciiTheme="minorHAnsi" w:hAnsiTheme="minorHAnsi" w:cstheme="minorHAnsi"/>
          <w:sz w:val="18"/>
          <w:szCs w:val="18"/>
        </w:rPr>
        <w:t xml:space="preserve"> </w:t>
      </w:r>
      <w:r w:rsidRPr="008D64F9">
        <w:rPr>
          <w:rFonts w:asciiTheme="minorHAnsi" w:hAnsiTheme="minorHAnsi" w:cstheme="minorHAnsi"/>
          <w:sz w:val="18"/>
          <w:szCs w:val="18"/>
          <w:rtl/>
        </w:rPr>
        <w:t>وللحصول على قائمة أقصر، يرجى الاطلاع على: فرنسا، المرسوم الصادر في عام 2007، المادة 122-2، الواردة في الجدول 29 أدناه.</w:t>
      </w:r>
    </w:p>
  </w:footnote>
  <w:footnote w:id="48">
    <w:p w14:paraId="7842306B" w14:textId="77777777" w:rsidR="008D64F9" w:rsidRPr="008D64F9" w:rsidRDefault="008D64F9" w:rsidP="008D64F9">
      <w:pPr>
        <w:pStyle w:val="FootnoteText"/>
        <w:spacing w:before="120" w:after="120"/>
        <w:rPr>
          <w:rFonts w:asciiTheme="minorHAnsi" w:hAnsiTheme="minorHAnsi" w:cstheme="minorHAnsi"/>
          <w:rtl/>
        </w:rPr>
      </w:pPr>
      <w:r w:rsidRPr="008D64F9">
        <w:rPr>
          <w:rStyle w:val="FootnoteReference"/>
          <w:rFonts w:asciiTheme="minorHAnsi" w:hAnsiTheme="minorHAnsi" w:cstheme="minorHAnsi"/>
        </w:rPr>
        <w:footnoteRef/>
      </w:r>
      <w:r w:rsidRPr="008D64F9">
        <w:rPr>
          <w:rFonts w:asciiTheme="minorHAnsi" w:hAnsiTheme="minorHAnsi" w:cstheme="minorHAnsi"/>
          <w:rtl/>
        </w:rPr>
        <w:t xml:space="preserve"> المكسيك، القانون الاتحادي بشأن حق المؤلف لعام 1997، المادة 92(ثانيا)</w:t>
      </w:r>
      <w:r w:rsidRPr="008D64F9">
        <w:rPr>
          <w:rFonts w:asciiTheme="minorHAnsi" w:hAnsiTheme="minorHAnsi" w:cstheme="minorHAnsi"/>
          <w:i/>
          <w:iCs/>
          <w:rtl/>
        </w:rPr>
        <w:t>.</w:t>
      </w:r>
      <w:r w:rsidRPr="008D64F9">
        <w:rPr>
          <w:rFonts w:asciiTheme="minorHAnsi" w:hAnsiTheme="minorHAnsi" w:cstheme="minorHAnsi"/>
          <w:i/>
          <w:iCs/>
        </w:rPr>
        <w:t xml:space="preserve"> </w:t>
      </w:r>
    </w:p>
  </w:footnote>
  <w:footnote w:id="49">
    <w:p w14:paraId="1E48697E" w14:textId="77777777" w:rsidR="008D64F9" w:rsidRPr="00104ED0" w:rsidRDefault="008D64F9" w:rsidP="008D64F9">
      <w:pPr>
        <w:pStyle w:val="FootnoteText"/>
        <w:rPr>
          <w:rFonts w:asciiTheme="minorHAnsi" w:hAnsiTheme="minorHAnsi" w:cstheme="minorHAnsi"/>
          <w:rtl/>
          <w:lang w:val="en-GB" w:bidi="ar-SY"/>
        </w:rPr>
      </w:pPr>
      <w:r w:rsidRPr="00104ED0">
        <w:rPr>
          <w:rStyle w:val="FootnoteReference"/>
          <w:rFonts w:asciiTheme="minorHAnsi" w:hAnsiTheme="minorHAnsi" w:cstheme="minorHAnsi"/>
        </w:rPr>
        <w:footnoteRef/>
      </w:r>
      <w:r w:rsidRPr="00104ED0">
        <w:rPr>
          <w:rFonts w:asciiTheme="minorHAnsi" w:hAnsiTheme="minorHAnsi" w:cstheme="minorHAnsi"/>
        </w:rPr>
        <w:t xml:space="preserve"> </w:t>
      </w:r>
      <w:r w:rsidRPr="00104ED0">
        <w:rPr>
          <w:rFonts w:asciiTheme="minorHAnsi" w:hAnsiTheme="minorHAnsi" w:cstheme="minorHAnsi"/>
          <w:rtl/>
        </w:rPr>
        <w:t>على هذا النحو، فإن المادة 14(ثالثا)(2) تنص على أنه لا يمكن المطالبة بتوفير الحماية إلا "في الحدود التي يسمح بها تشريع الدولة المطلوب توفير الحماية فيها.". ومن الأمثلة الواضحة التي يمكن أن يحدث فيها ذلك هي حالة المخطوطات الأصلية للكتاب والمؤلفين الموسيقيين، والتي لا تتمتع بالحماية إلا بموجب قوانين عدد قليل من البلدان التي لديها حق تتبع. ومن الأمثلة الأخرى المصنفات الفنية التطبيقية.</w:t>
      </w:r>
    </w:p>
  </w:footnote>
  <w:footnote w:id="50">
    <w:p w14:paraId="5B03BA8C" w14:textId="77777777" w:rsidR="008D64F9" w:rsidRPr="00104ED0" w:rsidRDefault="008D64F9" w:rsidP="008D64F9">
      <w:pPr>
        <w:pStyle w:val="Footnote"/>
        <w:bidi/>
        <w:rPr>
          <w:rFonts w:asciiTheme="minorHAnsi" w:hAnsiTheme="minorHAnsi" w:cstheme="minorHAnsi"/>
          <w:sz w:val="18"/>
          <w:szCs w:val="18"/>
          <w:rtl/>
        </w:rPr>
      </w:pPr>
      <w:r w:rsidRPr="00104ED0">
        <w:rPr>
          <w:rStyle w:val="FootnoteReference"/>
          <w:rFonts w:asciiTheme="minorHAnsi" w:hAnsiTheme="minorHAnsi" w:cstheme="minorHAnsi"/>
          <w:sz w:val="18"/>
          <w:szCs w:val="18"/>
        </w:rPr>
        <w:footnoteRef/>
      </w:r>
      <w:r w:rsidRPr="00104ED0">
        <w:rPr>
          <w:rFonts w:asciiTheme="minorHAnsi" w:hAnsiTheme="minorHAnsi" w:cstheme="minorHAnsi"/>
          <w:sz w:val="18"/>
          <w:szCs w:val="18"/>
          <w:rtl/>
        </w:rPr>
        <w:t xml:space="preserve"> يؤكد هذا الأمر على المرونة التي توفرها المادة 14(ثالثا) من اتفاقية برن والتي تسمح للقوانين الوطنية بتحديد مثل هذه الاستثناءات - أو المصنفات التي ينبغي شملها.</w:t>
      </w:r>
      <w:r w:rsidRPr="00104ED0">
        <w:rPr>
          <w:rFonts w:asciiTheme="minorHAnsi" w:hAnsiTheme="minorHAnsi" w:cstheme="minorHAnsi"/>
          <w:sz w:val="18"/>
          <w:szCs w:val="18"/>
        </w:rPr>
        <w:t xml:space="preserve"> </w:t>
      </w:r>
      <w:r w:rsidRPr="00104ED0">
        <w:rPr>
          <w:rFonts w:asciiTheme="minorHAnsi" w:hAnsiTheme="minorHAnsi" w:cstheme="minorHAnsi"/>
          <w:sz w:val="18"/>
          <w:szCs w:val="18"/>
          <w:rtl/>
        </w:rPr>
        <w:t xml:space="preserve">ويتضمن الجدول 4 حكماً مقترحاً شاملاً بهذا الشأن، ولكن ينبغي أن نتذكر أنه بالنسبة لبعض الفئات، ليس من الضروري تحديد أي استثناءات، على سبيل المثال فيما يتعلق بالمصنفات التي يتم إنشاؤها بواسطة الكمبيوتر.  </w:t>
      </w:r>
    </w:p>
  </w:footnote>
  <w:footnote w:id="51">
    <w:p w14:paraId="39187A68" w14:textId="77777777" w:rsidR="008D64F9" w:rsidRPr="00104ED0" w:rsidRDefault="008D64F9" w:rsidP="008D64F9">
      <w:pPr>
        <w:pStyle w:val="FootnoteText"/>
        <w:rPr>
          <w:rFonts w:asciiTheme="minorHAnsi" w:hAnsiTheme="minorHAnsi" w:cstheme="minorHAnsi"/>
          <w:rtl/>
        </w:rPr>
      </w:pPr>
      <w:r w:rsidRPr="00104ED0">
        <w:rPr>
          <w:rStyle w:val="FootnoteReference"/>
          <w:rFonts w:asciiTheme="minorHAnsi" w:hAnsiTheme="minorHAnsi" w:cstheme="minorHAnsi"/>
        </w:rPr>
        <w:footnoteRef/>
      </w:r>
      <w:r w:rsidRPr="00104ED0">
        <w:rPr>
          <w:rFonts w:asciiTheme="minorHAnsi" w:hAnsiTheme="minorHAnsi" w:cstheme="minorHAnsi"/>
          <w:rtl/>
        </w:rPr>
        <w:t xml:space="preserve"> أستراليا، قانون حق التتبع لفناني المصنفات البصرية لعام 2009، المادة 9.</w:t>
      </w:r>
    </w:p>
  </w:footnote>
  <w:footnote w:id="52">
    <w:p w14:paraId="7B1CB0AF" w14:textId="77777777" w:rsidR="008D64F9" w:rsidRPr="00104ED0" w:rsidRDefault="008D64F9" w:rsidP="008D64F9">
      <w:pPr>
        <w:pStyle w:val="Default"/>
        <w:bidi/>
        <w:spacing w:before="120" w:after="120"/>
        <w:rPr>
          <w:rFonts w:asciiTheme="minorHAnsi" w:eastAsia="Times New Roman" w:hAnsiTheme="minorHAnsi" w:cstheme="minorHAnsi"/>
          <w:sz w:val="18"/>
          <w:szCs w:val="18"/>
          <w:rtl/>
        </w:rPr>
      </w:pPr>
      <w:r w:rsidRPr="00104ED0">
        <w:rPr>
          <w:rStyle w:val="FootnoteReference"/>
          <w:rFonts w:asciiTheme="minorHAnsi" w:hAnsiTheme="minorHAnsi" w:cstheme="minorHAnsi"/>
          <w:sz w:val="18"/>
          <w:szCs w:val="18"/>
        </w:rPr>
        <w:footnoteRef/>
      </w:r>
      <w:r w:rsidRPr="00104ED0">
        <w:rPr>
          <w:rFonts w:asciiTheme="minorHAnsi" w:hAnsiTheme="minorHAnsi" w:cstheme="minorHAnsi"/>
          <w:sz w:val="18"/>
          <w:szCs w:val="18"/>
          <w:rtl/>
        </w:rPr>
        <w:t xml:space="preserve"> المادة 49 من القانون رقم 2008-09 المؤرخ 25 يناير 2008 بشأن حق المؤلف والحقوق المجاورة في السنغال.</w:t>
      </w:r>
    </w:p>
  </w:footnote>
  <w:footnote w:id="53">
    <w:p w14:paraId="16B31FAA" w14:textId="77777777" w:rsidR="008D64F9" w:rsidRPr="00104ED0" w:rsidRDefault="008D64F9" w:rsidP="008D64F9">
      <w:pPr>
        <w:pStyle w:val="FootnoteText"/>
        <w:spacing w:before="120" w:after="120"/>
        <w:rPr>
          <w:rFonts w:asciiTheme="minorHAnsi" w:hAnsiTheme="minorHAnsi" w:cstheme="minorHAnsi"/>
          <w:rtl/>
        </w:rPr>
      </w:pPr>
      <w:r w:rsidRPr="00104ED0">
        <w:rPr>
          <w:rStyle w:val="FootnoteReference"/>
          <w:rFonts w:asciiTheme="minorHAnsi" w:hAnsiTheme="minorHAnsi" w:cstheme="minorHAnsi"/>
        </w:rPr>
        <w:footnoteRef/>
      </w:r>
      <w:r w:rsidRPr="00104ED0">
        <w:rPr>
          <w:rFonts w:asciiTheme="minorHAnsi" w:hAnsiTheme="minorHAnsi" w:cstheme="minorHAnsi"/>
          <w:rtl/>
        </w:rPr>
        <w:t xml:space="preserve"> </w:t>
      </w:r>
      <w:r w:rsidRPr="00104ED0">
        <w:rPr>
          <w:rFonts w:asciiTheme="minorHAnsi" w:hAnsiTheme="minorHAnsi" w:cstheme="minorHAnsi"/>
          <w:rtl/>
        </w:rPr>
        <w:t>كينيا، قانون حق المؤلف لعام 2001، المادة 26د(6).</w:t>
      </w:r>
    </w:p>
  </w:footnote>
  <w:footnote w:id="54">
    <w:p w14:paraId="70D27A6C" w14:textId="77777777" w:rsidR="008D64F9" w:rsidRPr="00104ED0" w:rsidRDefault="008D64F9" w:rsidP="008D64F9">
      <w:pPr>
        <w:pStyle w:val="Footnote"/>
        <w:bidi/>
        <w:rPr>
          <w:rFonts w:asciiTheme="minorHAnsi" w:hAnsiTheme="minorHAnsi" w:cstheme="minorHAnsi"/>
          <w:sz w:val="18"/>
          <w:szCs w:val="18"/>
          <w:rtl/>
        </w:rPr>
      </w:pPr>
      <w:r w:rsidRPr="00104ED0">
        <w:rPr>
          <w:rStyle w:val="FootnoteReference"/>
          <w:rFonts w:asciiTheme="minorHAnsi" w:hAnsiTheme="minorHAnsi" w:cstheme="minorHAnsi"/>
          <w:sz w:val="18"/>
          <w:szCs w:val="18"/>
        </w:rPr>
        <w:footnoteRef/>
      </w:r>
      <w:r w:rsidRPr="00104ED0">
        <w:rPr>
          <w:rFonts w:asciiTheme="minorHAnsi" w:hAnsiTheme="minorHAnsi" w:cstheme="minorHAnsi"/>
          <w:sz w:val="18"/>
          <w:szCs w:val="18"/>
          <w:rtl/>
        </w:rPr>
        <w:t xml:space="preserve"> يمكن العثور على نموذج لهذا النوع من الأحكام في المادة 9 من قانون حق التتبع الأسترالي لفناني المصنفات البصرية لعام 2009، المادة 9.</w:t>
      </w:r>
      <w:r w:rsidRPr="00104ED0">
        <w:rPr>
          <w:rFonts w:asciiTheme="minorHAnsi" w:hAnsiTheme="minorHAnsi" w:cstheme="minorHAnsi"/>
          <w:sz w:val="18"/>
          <w:szCs w:val="18"/>
        </w:rPr>
        <w:t xml:space="preserve"> </w:t>
      </w:r>
    </w:p>
  </w:footnote>
  <w:footnote w:id="55">
    <w:p w14:paraId="55AF6DE1" w14:textId="77777777" w:rsidR="008D64F9" w:rsidRPr="00104ED0" w:rsidRDefault="008D64F9" w:rsidP="008D64F9">
      <w:pPr>
        <w:pStyle w:val="FootnoteText"/>
        <w:rPr>
          <w:rFonts w:asciiTheme="minorHAnsi" w:hAnsiTheme="minorHAnsi" w:cstheme="minorHAnsi"/>
          <w:rtl/>
        </w:rPr>
      </w:pPr>
      <w:r w:rsidRPr="00104ED0">
        <w:rPr>
          <w:rStyle w:val="FootnoteReference"/>
          <w:rFonts w:asciiTheme="minorHAnsi" w:hAnsiTheme="minorHAnsi" w:cstheme="minorHAnsi"/>
        </w:rPr>
        <w:footnoteRef/>
      </w:r>
      <w:r w:rsidRPr="00104ED0">
        <w:rPr>
          <w:rFonts w:asciiTheme="minorHAnsi" w:hAnsiTheme="minorHAnsi" w:cstheme="minorHAnsi"/>
          <w:rtl/>
        </w:rPr>
        <w:t xml:space="preserve"> المكسيك، القانون الاتحادي بشأن حق المؤلف لعام 1997، المادة 92(ثانيا)</w:t>
      </w:r>
      <w:r w:rsidRPr="00104ED0">
        <w:rPr>
          <w:rFonts w:asciiTheme="minorHAnsi" w:hAnsiTheme="minorHAnsi" w:cstheme="minorHAnsi"/>
          <w:i/>
          <w:iCs/>
          <w:rtl/>
        </w:rPr>
        <w:t>.</w:t>
      </w:r>
    </w:p>
  </w:footnote>
  <w:footnote w:id="56">
    <w:p w14:paraId="46173943" w14:textId="77777777" w:rsidR="008D64F9" w:rsidRPr="00104ED0" w:rsidRDefault="008D64F9" w:rsidP="008D64F9">
      <w:pPr>
        <w:pStyle w:val="Footnote"/>
        <w:bidi/>
        <w:rPr>
          <w:rFonts w:asciiTheme="minorHAnsi" w:hAnsiTheme="minorHAnsi" w:cstheme="minorHAnsi"/>
          <w:sz w:val="18"/>
          <w:szCs w:val="18"/>
          <w:rtl/>
        </w:rPr>
      </w:pPr>
      <w:r w:rsidRPr="00104ED0">
        <w:rPr>
          <w:rStyle w:val="FootnoteReference"/>
          <w:rFonts w:asciiTheme="minorHAnsi" w:hAnsiTheme="minorHAnsi" w:cstheme="minorHAnsi"/>
          <w:sz w:val="18"/>
          <w:szCs w:val="18"/>
        </w:rPr>
        <w:footnoteRef/>
      </w:r>
      <w:r w:rsidRPr="00104ED0">
        <w:rPr>
          <w:rFonts w:asciiTheme="minorHAnsi" w:hAnsiTheme="minorHAnsi" w:cstheme="minorHAnsi"/>
          <w:sz w:val="18"/>
          <w:szCs w:val="18"/>
          <w:rtl/>
        </w:rPr>
        <w:t xml:space="preserve"> توجيه المفوضية الأوروبية، المادة 1.2.</w:t>
      </w:r>
      <w:r w:rsidRPr="00104ED0">
        <w:rPr>
          <w:rFonts w:asciiTheme="minorHAnsi" w:hAnsiTheme="minorHAnsi" w:cstheme="minorHAnsi"/>
          <w:sz w:val="18"/>
          <w:szCs w:val="18"/>
        </w:rPr>
        <w:t xml:space="preserve"> </w:t>
      </w:r>
      <w:r w:rsidRPr="00104ED0">
        <w:rPr>
          <w:rFonts w:asciiTheme="minorHAnsi" w:hAnsiTheme="minorHAnsi" w:cstheme="minorHAnsi"/>
          <w:sz w:val="18"/>
          <w:szCs w:val="18"/>
          <w:rtl/>
        </w:rPr>
        <w:t xml:space="preserve">يرجى الاطلاع أيضًا على المادة 122-8(1)، قانون الملكية الفكرية الفرنسي (" أي عملية بيع لـ.. </w:t>
      </w:r>
      <w:r w:rsidRPr="00104ED0">
        <w:rPr>
          <w:rFonts w:asciiTheme="minorHAnsi" w:hAnsiTheme="minorHAnsi" w:cstheme="minorHAnsi"/>
          <w:sz w:val="18"/>
          <w:szCs w:val="18"/>
          <w:rtl/>
        </w:rPr>
        <w:t>[أي مصنف رسومي أو ثلاثي الأبعاد] بالمزاد العلني أو من خلال تاجر") .</w:t>
      </w:r>
    </w:p>
  </w:footnote>
  <w:footnote w:id="57">
    <w:p w14:paraId="03FCA818" w14:textId="77777777" w:rsidR="008D64F9" w:rsidRPr="00104ED0" w:rsidRDefault="008D64F9" w:rsidP="008D64F9">
      <w:pPr>
        <w:pStyle w:val="Footnote"/>
        <w:bidi/>
        <w:rPr>
          <w:rFonts w:asciiTheme="minorHAnsi" w:hAnsiTheme="minorHAnsi" w:cstheme="minorHAnsi"/>
          <w:sz w:val="18"/>
          <w:szCs w:val="18"/>
          <w:rtl/>
        </w:rPr>
      </w:pPr>
      <w:r w:rsidRPr="00104ED0">
        <w:rPr>
          <w:rStyle w:val="FootnoteReference"/>
          <w:rFonts w:asciiTheme="minorHAnsi" w:hAnsiTheme="minorHAnsi" w:cstheme="minorHAnsi"/>
          <w:sz w:val="18"/>
          <w:szCs w:val="18"/>
        </w:rPr>
        <w:footnoteRef/>
      </w:r>
      <w:r w:rsidRPr="00104ED0">
        <w:rPr>
          <w:rFonts w:asciiTheme="minorHAnsi" w:hAnsiTheme="minorHAnsi" w:cstheme="minorHAnsi"/>
          <w:sz w:val="18"/>
          <w:szCs w:val="18"/>
          <w:rtl/>
        </w:rPr>
        <w:t xml:space="preserve"> أستراليا، قانون حق التتبع لفناني المصنفات البصرية لعام 2009، المادة 8.</w:t>
      </w:r>
    </w:p>
  </w:footnote>
  <w:footnote w:id="58">
    <w:p w14:paraId="0EC951A6" w14:textId="77777777" w:rsidR="008D64F9" w:rsidRPr="00104ED0" w:rsidRDefault="008D64F9" w:rsidP="008D64F9">
      <w:pPr>
        <w:pStyle w:val="FootnoteText"/>
        <w:spacing w:before="120" w:after="120"/>
        <w:rPr>
          <w:rFonts w:asciiTheme="minorHAnsi" w:hAnsiTheme="minorHAnsi" w:cstheme="minorHAnsi"/>
          <w:rtl/>
        </w:rPr>
      </w:pPr>
      <w:r w:rsidRPr="00104ED0">
        <w:rPr>
          <w:rStyle w:val="FootnoteReference"/>
          <w:rFonts w:asciiTheme="minorHAnsi" w:hAnsiTheme="minorHAnsi" w:cstheme="minorHAnsi"/>
        </w:rPr>
        <w:footnoteRef/>
      </w:r>
      <w:r w:rsidRPr="00104ED0">
        <w:rPr>
          <w:rFonts w:asciiTheme="minorHAnsi" w:hAnsiTheme="minorHAnsi" w:cstheme="minorHAnsi"/>
          <w:rtl/>
        </w:rPr>
        <w:t xml:space="preserve"> كينيا، قانون حق المؤلف لعام 2001، المادة 2 (التعاريف).</w:t>
      </w:r>
    </w:p>
  </w:footnote>
  <w:footnote w:id="59">
    <w:p w14:paraId="5C4E183B" w14:textId="77777777" w:rsidR="008D64F9" w:rsidRPr="00104ED0" w:rsidRDefault="008D64F9" w:rsidP="008D64F9">
      <w:pPr>
        <w:pStyle w:val="FootnoteText"/>
        <w:spacing w:before="120" w:after="120"/>
        <w:rPr>
          <w:rFonts w:asciiTheme="minorHAnsi" w:hAnsiTheme="minorHAnsi" w:cstheme="minorHAnsi"/>
          <w:rtl/>
        </w:rPr>
      </w:pPr>
      <w:r w:rsidRPr="00104ED0">
        <w:rPr>
          <w:rStyle w:val="FootnoteReference"/>
          <w:rFonts w:asciiTheme="minorHAnsi" w:hAnsiTheme="minorHAnsi" w:cstheme="minorHAnsi"/>
        </w:rPr>
        <w:footnoteRef/>
      </w:r>
      <w:r w:rsidRPr="00104ED0">
        <w:rPr>
          <w:rFonts w:asciiTheme="minorHAnsi" w:hAnsiTheme="minorHAnsi" w:cstheme="minorHAnsi"/>
          <w:rtl/>
        </w:rPr>
        <w:t xml:space="preserve"> ملاوي، قانون حق المؤلف لعام 2016، المادة 2.</w:t>
      </w:r>
    </w:p>
  </w:footnote>
  <w:footnote w:id="60">
    <w:p w14:paraId="3B0481DA" w14:textId="77777777" w:rsidR="008D64F9" w:rsidRPr="00104ED0" w:rsidRDefault="008D64F9" w:rsidP="008D64F9">
      <w:pPr>
        <w:pStyle w:val="FootnoteText"/>
        <w:spacing w:before="120" w:after="120"/>
        <w:rPr>
          <w:rFonts w:asciiTheme="minorHAnsi" w:eastAsia="Times New Roman" w:hAnsiTheme="minorHAnsi" w:cstheme="minorHAnsi"/>
          <w:rtl/>
        </w:rPr>
      </w:pPr>
      <w:r w:rsidRPr="00104ED0">
        <w:rPr>
          <w:rStyle w:val="FootnoteReference"/>
          <w:rFonts w:asciiTheme="minorHAnsi" w:hAnsiTheme="minorHAnsi" w:cstheme="minorHAnsi"/>
        </w:rPr>
        <w:footnoteRef/>
      </w:r>
      <w:r w:rsidRPr="00104ED0">
        <w:rPr>
          <w:rFonts w:asciiTheme="minorHAnsi" w:hAnsiTheme="minorHAnsi" w:cstheme="minorHAnsi"/>
          <w:rtl/>
        </w:rPr>
        <w:t xml:space="preserve"> </w:t>
      </w:r>
      <w:r w:rsidRPr="00104ED0">
        <w:rPr>
          <w:rFonts w:asciiTheme="minorHAnsi" w:hAnsiTheme="minorHAnsi" w:cstheme="minorHAnsi"/>
          <w:rtl/>
        </w:rPr>
        <w:t xml:space="preserve">بولندا، </w:t>
      </w:r>
      <w:r w:rsidRPr="00104ED0">
        <w:rPr>
          <w:rFonts w:asciiTheme="minorHAnsi" w:hAnsiTheme="minorHAnsi" w:cstheme="minorHAnsi"/>
          <w:i/>
          <w:iCs/>
          <w:rtl/>
        </w:rPr>
        <w:t>قانون 4 فبراير 1994 بشأن حق المؤلف والحقوق المجاورة (نص موحد)،</w:t>
      </w:r>
      <w:r w:rsidRPr="00104ED0">
        <w:rPr>
          <w:rFonts w:asciiTheme="minorHAnsi" w:hAnsiTheme="minorHAnsi" w:cstheme="minorHAnsi"/>
          <w:rtl/>
        </w:rPr>
        <w:t xml:space="preserve"> المادتان 19.1 و19</w:t>
      </w:r>
      <w:r w:rsidRPr="00104ED0">
        <w:rPr>
          <w:rFonts w:asciiTheme="minorHAnsi" w:hAnsiTheme="minorHAnsi" w:cstheme="minorHAnsi"/>
          <w:vertAlign w:val="superscript"/>
          <w:rtl/>
        </w:rPr>
        <w:t>2</w:t>
      </w:r>
      <w:r w:rsidRPr="00104ED0">
        <w:rPr>
          <w:rFonts w:asciiTheme="minorHAnsi" w:hAnsiTheme="minorHAnsi" w:cstheme="minorHAnsi"/>
        </w:rPr>
        <w:t xml:space="preserve"> </w:t>
      </w:r>
      <w:r w:rsidRPr="00104ED0">
        <w:rPr>
          <w:rFonts w:asciiTheme="minorHAnsi" w:hAnsiTheme="minorHAnsi" w:cstheme="minorHAnsi"/>
          <w:i/>
          <w:iCs/>
          <w:rtl/>
        </w:rPr>
        <w:t>.</w:t>
      </w:r>
      <w:r w:rsidRPr="00104ED0">
        <w:rPr>
          <w:rFonts w:asciiTheme="minorHAnsi" w:hAnsiTheme="minorHAnsi" w:cstheme="minorHAnsi"/>
          <w:i/>
          <w:iCs/>
        </w:rPr>
        <w:t xml:space="preserve"> </w:t>
      </w:r>
    </w:p>
  </w:footnote>
  <w:footnote w:id="61">
    <w:p w14:paraId="36F649AF" w14:textId="77777777" w:rsidR="008D64F9" w:rsidRPr="00104ED0" w:rsidRDefault="008D64F9" w:rsidP="008D64F9">
      <w:pPr>
        <w:pStyle w:val="FootnoteText"/>
        <w:spacing w:before="120" w:after="120"/>
        <w:rPr>
          <w:rFonts w:asciiTheme="minorHAnsi" w:hAnsiTheme="minorHAnsi" w:cstheme="minorHAnsi"/>
          <w:rtl/>
        </w:rPr>
      </w:pPr>
      <w:r w:rsidRPr="00104ED0">
        <w:rPr>
          <w:rStyle w:val="FootnoteReference"/>
          <w:rFonts w:asciiTheme="minorHAnsi" w:hAnsiTheme="minorHAnsi" w:cstheme="minorHAnsi"/>
        </w:rPr>
        <w:footnoteRef/>
      </w:r>
      <w:r w:rsidRPr="00104ED0">
        <w:rPr>
          <w:rFonts w:asciiTheme="minorHAnsi" w:hAnsiTheme="minorHAnsi" w:cstheme="minorHAnsi"/>
          <w:rtl/>
        </w:rPr>
        <w:t xml:space="preserve"> المملكة المتحدة، اللوائح التنفيذية بشأن حق التتبع لعام 2006، اللائحة 12(1).</w:t>
      </w:r>
    </w:p>
  </w:footnote>
  <w:footnote w:id="62">
    <w:p w14:paraId="21758EF9" w14:textId="77777777" w:rsidR="008D64F9" w:rsidRPr="00104ED0" w:rsidRDefault="008D64F9" w:rsidP="008D64F9">
      <w:pPr>
        <w:pStyle w:val="FootnoteText"/>
        <w:spacing w:before="120" w:after="120"/>
        <w:rPr>
          <w:rFonts w:asciiTheme="minorHAnsi" w:hAnsiTheme="minorHAnsi" w:cstheme="minorHAnsi"/>
          <w:rtl/>
        </w:rPr>
      </w:pPr>
      <w:r w:rsidRPr="00104ED0">
        <w:rPr>
          <w:rStyle w:val="FootnoteReference"/>
          <w:rFonts w:asciiTheme="minorHAnsi" w:hAnsiTheme="minorHAnsi" w:cstheme="minorHAnsi"/>
        </w:rPr>
        <w:footnoteRef/>
      </w:r>
      <w:r w:rsidRPr="00104ED0">
        <w:rPr>
          <w:rFonts w:asciiTheme="minorHAnsi" w:hAnsiTheme="minorHAnsi" w:cstheme="minorHAnsi"/>
          <w:rtl/>
        </w:rPr>
        <w:t>المكسيك، القانون الاتحادي بشأن حق المؤلف لعام 1996، المادة 93(ثانياً)(</w:t>
      </w:r>
      <w:r w:rsidRPr="00104ED0">
        <w:rPr>
          <w:rFonts w:asciiTheme="minorHAnsi" w:hAnsiTheme="minorHAnsi" w:cstheme="minorHAnsi"/>
        </w:rPr>
        <w:t>II</w:t>
      </w:r>
      <w:r w:rsidRPr="00104ED0">
        <w:rPr>
          <w:rFonts w:asciiTheme="minorHAnsi" w:hAnsiTheme="minorHAnsi" w:cstheme="minorHAnsi"/>
          <w:rtl/>
        </w:rPr>
        <w:t>).</w:t>
      </w:r>
      <w:r w:rsidRPr="00104ED0">
        <w:rPr>
          <w:rFonts w:asciiTheme="minorHAnsi" w:hAnsiTheme="minorHAnsi" w:cstheme="minorHAnsi"/>
        </w:rPr>
        <w:t xml:space="preserve"> </w:t>
      </w:r>
    </w:p>
  </w:footnote>
  <w:footnote w:id="63">
    <w:p w14:paraId="35FABC7A" w14:textId="77777777" w:rsidR="008D64F9" w:rsidRPr="00104ED0" w:rsidRDefault="008D64F9" w:rsidP="008D64F9">
      <w:pPr>
        <w:pStyle w:val="FootnoteText"/>
        <w:spacing w:before="120" w:after="120"/>
        <w:rPr>
          <w:rFonts w:asciiTheme="minorHAnsi" w:hAnsiTheme="minorHAnsi" w:cstheme="minorHAnsi"/>
          <w:rtl/>
        </w:rPr>
      </w:pPr>
      <w:r w:rsidRPr="00104ED0">
        <w:rPr>
          <w:rStyle w:val="FootnoteReference"/>
          <w:rFonts w:asciiTheme="minorHAnsi" w:hAnsiTheme="minorHAnsi" w:cstheme="minorHAnsi"/>
        </w:rPr>
        <w:footnoteRef/>
      </w:r>
      <w:r w:rsidRPr="00104ED0">
        <w:rPr>
          <w:rFonts w:asciiTheme="minorHAnsi" w:hAnsiTheme="minorHAnsi" w:cstheme="minorHAnsi"/>
          <w:rtl/>
        </w:rPr>
        <w:t xml:space="preserve"> كينيا، قانون حق المؤلف 2001، المادة 26د(6)(ج).</w:t>
      </w:r>
      <w:r w:rsidRPr="00104ED0">
        <w:rPr>
          <w:rFonts w:asciiTheme="minorHAnsi" w:hAnsiTheme="minorHAnsi" w:cstheme="minorHAnsi"/>
        </w:rPr>
        <w:t xml:space="preserve"> </w:t>
      </w:r>
      <w:r w:rsidRPr="00104ED0">
        <w:rPr>
          <w:rFonts w:asciiTheme="minorHAnsi" w:hAnsiTheme="minorHAnsi" w:cstheme="minorHAnsi"/>
          <w:rtl/>
        </w:rPr>
        <w:t>يرجى الاطلاع على  النص المستخرج من هذا القانون في الجدول رقم 6.</w:t>
      </w:r>
      <w:r w:rsidRPr="00104ED0">
        <w:rPr>
          <w:rFonts w:asciiTheme="minorHAnsi" w:hAnsiTheme="minorHAnsi" w:cstheme="minorHAnsi"/>
        </w:rPr>
        <w:t xml:space="preserve"> </w:t>
      </w:r>
    </w:p>
  </w:footnote>
  <w:footnote w:id="64">
    <w:p w14:paraId="6F1D5BE0" w14:textId="77777777" w:rsidR="008D64F9" w:rsidRPr="00534856" w:rsidRDefault="008D64F9" w:rsidP="008D64F9">
      <w:pPr>
        <w:pStyle w:val="Footnote"/>
        <w:bidi/>
        <w:rPr>
          <w:rFonts w:asciiTheme="minorHAnsi" w:hAnsiTheme="minorHAnsi" w:cstheme="minorHAnsi"/>
          <w:sz w:val="18"/>
          <w:szCs w:val="18"/>
          <w:rtl/>
        </w:rPr>
      </w:pPr>
      <w:r w:rsidRPr="00534856">
        <w:rPr>
          <w:rStyle w:val="FootnoteReference"/>
          <w:rFonts w:asciiTheme="minorHAnsi" w:hAnsiTheme="minorHAnsi" w:cstheme="minorHAnsi"/>
          <w:sz w:val="18"/>
          <w:szCs w:val="18"/>
        </w:rPr>
        <w:footnoteRef/>
      </w:r>
      <w:r w:rsidRPr="00534856">
        <w:rPr>
          <w:rFonts w:asciiTheme="minorHAnsi" w:hAnsiTheme="minorHAnsi" w:cstheme="minorHAnsi"/>
          <w:sz w:val="18"/>
          <w:szCs w:val="18"/>
        </w:rPr>
        <w:t xml:space="preserve"> </w:t>
      </w:r>
      <w:r w:rsidRPr="00534856">
        <w:rPr>
          <w:rFonts w:asciiTheme="minorHAnsi" w:hAnsiTheme="minorHAnsi" w:cstheme="minorHAnsi"/>
          <w:sz w:val="18"/>
          <w:szCs w:val="18"/>
          <w:rtl/>
        </w:rPr>
        <w:t>بموجب المادة 3 من توجيه المفوضية الأوروبية، يُترك للدول الأعضاء حرية تحديد الحد الأدنى لسعر البيع، ولكن لا يجوز له "تحت أي ظرف من الظروف أن يتجاوز 3000 يورو".</w:t>
      </w:r>
    </w:p>
  </w:footnote>
  <w:footnote w:id="65">
    <w:p w14:paraId="545A8C1F" w14:textId="77777777" w:rsidR="008D64F9" w:rsidRPr="00F25959" w:rsidRDefault="008D64F9" w:rsidP="008D64F9">
      <w:pPr>
        <w:pStyle w:val="Footnote"/>
        <w:bidi/>
        <w:rPr>
          <w:rFonts w:asciiTheme="minorHAnsi" w:hAnsiTheme="minorHAnsi" w:cstheme="minorHAnsi"/>
          <w:sz w:val="18"/>
          <w:szCs w:val="18"/>
          <w:rtl/>
        </w:rPr>
      </w:pPr>
      <w:r w:rsidRPr="00F25959">
        <w:rPr>
          <w:rStyle w:val="FootnoteReference"/>
          <w:rFonts w:asciiTheme="minorHAnsi" w:hAnsiTheme="minorHAnsi" w:cstheme="minorHAnsi"/>
          <w:sz w:val="18"/>
          <w:szCs w:val="18"/>
        </w:rPr>
        <w:footnoteRef/>
      </w:r>
      <w:r w:rsidRPr="00F25959">
        <w:rPr>
          <w:rFonts w:asciiTheme="minorHAnsi" w:hAnsiTheme="minorHAnsi" w:cstheme="minorHAnsi"/>
          <w:sz w:val="18"/>
          <w:szCs w:val="18"/>
          <w:rtl/>
        </w:rPr>
        <w:t xml:space="preserve"> أستراليا، قانون حق التتبع لفناني المصنفات البصرية لعام 2009، المادة 10.</w:t>
      </w:r>
    </w:p>
  </w:footnote>
  <w:footnote w:id="66">
    <w:p w14:paraId="30BE62E5" w14:textId="77777777" w:rsidR="008D64F9" w:rsidRPr="00F25959" w:rsidRDefault="008D64F9" w:rsidP="008D64F9">
      <w:pPr>
        <w:pStyle w:val="Footnote"/>
        <w:bidi/>
        <w:rPr>
          <w:rFonts w:asciiTheme="minorHAnsi" w:hAnsiTheme="minorHAnsi" w:cstheme="minorHAnsi"/>
          <w:sz w:val="18"/>
          <w:szCs w:val="18"/>
          <w:rtl/>
        </w:rPr>
      </w:pPr>
      <w:r w:rsidRPr="00F25959">
        <w:rPr>
          <w:rStyle w:val="FootnoteReference"/>
          <w:rFonts w:asciiTheme="minorHAnsi" w:hAnsiTheme="minorHAnsi" w:cstheme="minorHAnsi"/>
          <w:sz w:val="18"/>
          <w:szCs w:val="18"/>
        </w:rPr>
        <w:footnoteRef/>
      </w:r>
      <w:r w:rsidRPr="00F25959">
        <w:rPr>
          <w:rFonts w:asciiTheme="minorHAnsi" w:hAnsiTheme="minorHAnsi" w:cstheme="minorHAnsi"/>
          <w:sz w:val="18"/>
          <w:szCs w:val="18"/>
          <w:rtl/>
        </w:rPr>
        <w:t xml:space="preserve"> توجيه المفوضية الأوروبية، المادة 1.3.</w:t>
      </w:r>
    </w:p>
  </w:footnote>
  <w:footnote w:id="67">
    <w:p w14:paraId="12E4B8AC" w14:textId="77777777" w:rsidR="008D64F9" w:rsidRPr="00F25959" w:rsidRDefault="008D64F9" w:rsidP="008D64F9">
      <w:pPr>
        <w:pStyle w:val="FootnoteText"/>
        <w:spacing w:before="120" w:after="120"/>
        <w:rPr>
          <w:rFonts w:asciiTheme="minorHAnsi" w:hAnsiTheme="minorHAnsi" w:cstheme="minorHAnsi"/>
          <w:rtl/>
        </w:rPr>
      </w:pPr>
      <w:r w:rsidRPr="00F25959">
        <w:rPr>
          <w:rStyle w:val="FootnoteReference"/>
          <w:rFonts w:asciiTheme="minorHAnsi" w:hAnsiTheme="minorHAnsi" w:cstheme="minorHAnsi"/>
        </w:rPr>
        <w:footnoteRef/>
      </w:r>
      <w:r w:rsidRPr="00F25959">
        <w:rPr>
          <w:rFonts w:asciiTheme="minorHAnsi" w:hAnsiTheme="minorHAnsi" w:cstheme="minorHAnsi"/>
          <w:rtl/>
        </w:rPr>
        <w:t xml:space="preserve"> </w:t>
      </w:r>
      <w:r w:rsidRPr="00F25959">
        <w:rPr>
          <w:rFonts w:asciiTheme="minorHAnsi" w:hAnsiTheme="minorHAnsi" w:cstheme="minorHAnsi"/>
          <w:rtl/>
        </w:rPr>
        <w:t>كينيا، قانون حق المؤلف لعام 2001، المادة 26د(6).</w:t>
      </w:r>
    </w:p>
  </w:footnote>
  <w:footnote w:id="68">
    <w:p w14:paraId="6B8D4AEA" w14:textId="77777777" w:rsidR="008D64F9" w:rsidRPr="00577563" w:rsidRDefault="008D64F9" w:rsidP="008D64F9">
      <w:pPr>
        <w:pStyle w:val="FootnoteText"/>
        <w:spacing w:before="120" w:after="120"/>
        <w:rPr>
          <w:rFonts w:asciiTheme="minorHAnsi" w:hAnsiTheme="minorHAnsi" w:cstheme="minorHAnsi"/>
          <w:rtl/>
        </w:rPr>
      </w:pPr>
      <w:r w:rsidRPr="00577563">
        <w:rPr>
          <w:rStyle w:val="FootnoteReference"/>
          <w:rFonts w:asciiTheme="minorHAnsi" w:hAnsiTheme="minorHAnsi" w:cstheme="minorHAnsi"/>
        </w:rPr>
        <w:footnoteRef/>
      </w:r>
      <w:r w:rsidRPr="00577563">
        <w:rPr>
          <w:rFonts w:asciiTheme="minorHAnsi" w:hAnsiTheme="minorHAnsi" w:cstheme="minorHAnsi"/>
        </w:rPr>
        <w:t xml:space="preserve"> </w:t>
      </w:r>
      <w:r w:rsidRPr="00577563">
        <w:rPr>
          <w:rFonts w:asciiTheme="minorHAnsi" w:hAnsiTheme="minorHAnsi" w:cstheme="minorHAnsi"/>
          <w:rtl/>
        </w:rPr>
        <w:t>قانون حق المؤلف في السويد، القانون (1960:</w:t>
      </w:r>
      <w:r w:rsidRPr="00577563">
        <w:rPr>
          <w:rFonts w:asciiTheme="minorHAnsi" w:hAnsiTheme="minorHAnsi" w:cstheme="minorHAnsi"/>
        </w:rPr>
        <w:t xml:space="preserve"> </w:t>
      </w:r>
      <w:r w:rsidRPr="00577563">
        <w:rPr>
          <w:rFonts w:asciiTheme="minorHAnsi" w:hAnsiTheme="minorHAnsi" w:cstheme="minorHAnsi"/>
          <w:rtl/>
        </w:rPr>
        <w:t>729 بشأن حق المؤلف في المصنفات الأدبية والفنية (بصيغته المعدلة وفق القانون (2020:54)، المادة 26ن.</w:t>
      </w:r>
    </w:p>
  </w:footnote>
  <w:footnote w:id="69">
    <w:p w14:paraId="267FE833" w14:textId="77777777" w:rsidR="008D64F9" w:rsidRPr="00577563" w:rsidRDefault="008D64F9" w:rsidP="008D64F9">
      <w:pPr>
        <w:pStyle w:val="FootnoteText"/>
        <w:spacing w:before="120" w:after="120"/>
        <w:rPr>
          <w:rFonts w:asciiTheme="minorHAnsi" w:hAnsiTheme="minorHAnsi" w:cstheme="minorHAnsi"/>
          <w:rtl/>
        </w:rPr>
      </w:pPr>
      <w:r w:rsidRPr="00577563">
        <w:rPr>
          <w:rStyle w:val="FootnoteReference"/>
          <w:rFonts w:asciiTheme="minorHAnsi" w:hAnsiTheme="minorHAnsi" w:cstheme="minorHAnsi"/>
        </w:rPr>
        <w:footnoteRef/>
      </w:r>
      <w:r w:rsidRPr="00577563">
        <w:rPr>
          <w:rFonts w:asciiTheme="minorHAnsi" w:hAnsiTheme="minorHAnsi" w:cstheme="minorHAnsi"/>
          <w:rtl/>
        </w:rPr>
        <w:t xml:space="preserve"> توجيه المفوضية الأوروبية، المادة 5.</w:t>
      </w:r>
    </w:p>
  </w:footnote>
  <w:footnote w:id="70">
    <w:p w14:paraId="13FBA34E" w14:textId="77777777" w:rsidR="008D64F9" w:rsidRPr="00577563" w:rsidRDefault="008D64F9" w:rsidP="008D64F9">
      <w:pPr>
        <w:pStyle w:val="FootnoteText"/>
        <w:spacing w:before="120" w:after="120"/>
        <w:rPr>
          <w:rFonts w:asciiTheme="minorHAnsi" w:hAnsiTheme="minorHAnsi" w:cstheme="minorHAnsi"/>
          <w:rtl/>
        </w:rPr>
      </w:pPr>
      <w:r w:rsidRPr="00577563">
        <w:rPr>
          <w:rStyle w:val="FootnoteReference"/>
          <w:rFonts w:asciiTheme="minorHAnsi" w:hAnsiTheme="minorHAnsi" w:cstheme="minorHAnsi"/>
        </w:rPr>
        <w:footnoteRef/>
      </w:r>
      <w:r w:rsidRPr="00577563">
        <w:rPr>
          <w:rFonts w:asciiTheme="minorHAnsi" w:hAnsiTheme="minorHAnsi" w:cstheme="minorHAnsi"/>
          <w:rtl/>
        </w:rPr>
        <w:t xml:space="preserve"> أستراليا، قانون حق التتبع لفناني المصنفات البصرية لعام 2009، المادة 10(2).</w:t>
      </w:r>
    </w:p>
  </w:footnote>
  <w:footnote w:id="71">
    <w:p w14:paraId="37B49258" w14:textId="77777777" w:rsidR="008D64F9" w:rsidRPr="00577563" w:rsidRDefault="008D64F9" w:rsidP="008D64F9">
      <w:pPr>
        <w:pStyle w:val="Footnote"/>
        <w:bidi/>
        <w:rPr>
          <w:rFonts w:asciiTheme="minorHAnsi" w:hAnsiTheme="minorHAnsi" w:cstheme="minorHAnsi"/>
          <w:sz w:val="18"/>
          <w:szCs w:val="18"/>
          <w:rtl/>
        </w:rPr>
      </w:pPr>
      <w:r w:rsidRPr="00577563">
        <w:rPr>
          <w:rStyle w:val="FootnoteReference"/>
          <w:rFonts w:asciiTheme="minorHAnsi" w:hAnsiTheme="minorHAnsi" w:cstheme="minorHAnsi"/>
          <w:sz w:val="18"/>
          <w:szCs w:val="18"/>
        </w:rPr>
        <w:footnoteRef/>
      </w:r>
      <w:r w:rsidRPr="00577563">
        <w:rPr>
          <w:rFonts w:asciiTheme="minorHAnsi" w:hAnsiTheme="minorHAnsi" w:cstheme="minorHAnsi"/>
          <w:sz w:val="18"/>
          <w:szCs w:val="18"/>
          <w:rtl/>
        </w:rPr>
        <w:t xml:space="preserve"> توجيه المفوضية الأوروبية، المادة 5 (المادتان 3 و4 تحددان عمليات البيع التي ينطبق عليها حق التتبع وتحددان نسب الإتاوات).</w:t>
      </w:r>
      <w:r w:rsidRPr="00577563">
        <w:rPr>
          <w:rFonts w:asciiTheme="minorHAnsi" w:hAnsiTheme="minorHAnsi" w:cstheme="minorHAnsi"/>
          <w:sz w:val="18"/>
          <w:szCs w:val="18"/>
        </w:rPr>
        <w:t xml:space="preserve"> </w:t>
      </w:r>
      <w:r w:rsidRPr="00577563">
        <w:rPr>
          <w:rFonts w:asciiTheme="minorHAnsi" w:hAnsiTheme="minorHAnsi" w:cstheme="minorHAnsi"/>
          <w:sz w:val="18"/>
          <w:szCs w:val="18"/>
          <w:rtl/>
        </w:rPr>
        <w:t xml:space="preserve">يرجى الاطلاع أيضًا على: السنغال، </w:t>
      </w:r>
      <w:r w:rsidRPr="00577563">
        <w:rPr>
          <w:rFonts w:asciiTheme="minorHAnsi" w:hAnsiTheme="minorHAnsi" w:cstheme="minorHAnsi"/>
          <w:sz w:val="18"/>
          <w:szCs w:val="18"/>
        </w:rPr>
        <w:t>DÉCRET N° 2015-682 DU 26 MAI 2015 PORTANT APPLICATION DE LA LOI N° 2008-09 DU 25 JANVIER 2008 SUR LE DROIT D’AUTEUR ET LES DROITS VOISINS, Titre VI, article 26</w:t>
      </w:r>
      <w:r w:rsidRPr="00577563">
        <w:rPr>
          <w:rFonts w:asciiTheme="minorHAnsi" w:hAnsiTheme="minorHAnsi" w:cstheme="minorHAnsi"/>
          <w:sz w:val="18"/>
          <w:szCs w:val="18"/>
          <w:rtl/>
        </w:rPr>
        <w:t>.</w:t>
      </w:r>
    </w:p>
  </w:footnote>
  <w:footnote w:id="72">
    <w:p w14:paraId="255F1DDA" w14:textId="77777777" w:rsidR="008D64F9" w:rsidRPr="00577563" w:rsidRDefault="008D64F9" w:rsidP="008D64F9">
      <w:pPr>
        <w:pStyle w:val="Footnote"/>
        <w:bidi/>
        <w:rPr>
          <w:rFonts w:asciiTheme="minorHAnsi" w:hAnsiTheme="minorHAnsi" w:cstheme="minorHAnsi"/>
          <w:sz w:val="18"/>
          <w:szCs w:val="18"/>
          <w:rtl/>
        </w:rPr>
      </w:pPr>
      <w:r w:rsidRPr="00577563">
        <w:rPr>
          <w:rStyle w:val="FootnoteReference"/>
          <w:rFonts w:asciiTheme="minorHAnsi" w:hAnsiTheme="minorHAnsi" w:cstheme="minorHAnsi"/>
          <w:sz w:val="18"/>
          <w:szCs w:val="18"/>
        </w:rPr>
        <w:footnoteRef/>
      </w:r>
      <w:r w:rsidRPr="00577563">
        <w:rPr>
          <w:rFonts w:asciiTheme="minorHAnsi" w:hAnsiTheme="minorHAnsi" w:cstheme="minorHAnsi"/>
          <w:sz w:val="18"/>
          <w:szCs w:val="18"/>
        </w:rPr>
        <w:t xml:space="preserve"> </w:t>
      </w:r>
      <w:r w:rsidRPr="00577563">
        <w:rPr>
          <w:rFonts w:asciiTheme="minorHAnsi" w:hAnsiTheme="minorHAnsi" w:cstheme="minorHAnsi"/>
          <w:sz w:val="18"/>
          <w:szCs w:val="18"/>
          <w:rtl/>
        </w:rPr>
        <w:t>أستراليا، قانون حق التتبع لفناني المصنفات البصرية لعام 2009، المادة 10(2).</w:t>
      </w:r>
    </w:p>
  </w:footnote>
  <w:footnote w:id="73">
    <w:p w14:paraId="4D08EC8A" w14:textId="77777777" w:rsidR="008D64F9" w:rsidRPr="00577563" w:rsidRDefault="008D64F9" w:rsidP="008D64F9">
      <w:pPr>
        <w:pStyle w:val="FootnoteText"/>
        <w:rPr>
          <w:rFonts w:asciiTheme="minorHAnsi" w:hAnsiTheme="minorHAnsi" w:cstheme="minorHAnsi"/>
          <w:rtl/>
        </w:rPr>
      </w:pPr>
      <w:r w:rsidRPr="00577563">
        <w:rPr>
          <w:rStyle w:val="FootnoteReference"/>
          <w:rFonts w:asciiTheme="minorHAnsi" w:hAnsiTheme="minorHAnsi" w:cstheme="minorHAnsi"/>
        </w:rPr>
        <w:footnoteRef/>
      </w:r>
      <w:r w:rsidRPr="00577563">
        <w:rPr>
          <w:rFonts w:asciiTheme="minorHAnsi" w:hAnsiTheme="minorHAnsi" w:cstheme="minorHAnsi"/>
        </w:rPr>
        <w:t xml:space="preserve"> </w:t>
      </w:r>
      <w:r w:rsidRPr="00577563">
        <w:rPr>
          <w:rFonts w:asciiTheme="minorHAnsi" w:eastAsia="Times New Roman" w:hAnsiTheme="minorHAnsi" w:cstheme="minorHAnsi"/>
          <w:rtl/>
          <w:lang w:val="en-AU" w:eastAsia="en-GB"/>
        </w:rPr>
        <w:t>فرنسا، قانون الملكية الفكرية، المادة ر-122-5.</w:t>
      </w:r>
    </w:p>
  </w:footnote>
  <w:footnote w:id="74">
    <w:p w14:paraId="6A675ABF" w14:textId="77777777" w:rsidR="008D64F9" w:rsidRPr="00577563" w:rsidRDefault="008D64F9" w:rsidP="008D64F9">
      <w:pPr>
        <w:pStyle w:val="FootnoteText"/>
        <w:spacing w:before="120" w:after="120"/>
        <w:rPr>
          <w:rFonts w:asciiTheme="minorHAnsi" w:hAnsiTheme="minorHAnsi" w:cstheme="minorHAnsi"/>
          <w:rtl/>
        </w:rPr>
      </w:pPr>
      <w:r w:rsidRPr="00577563">
        <w:rPr>
          <w:rStyle w:val="FootnoteReference"/>
          <w:rFonts w:asciiTheme="minorHAnsi" w:hAnsiTheme="minorHAnsi" w:cstheme="minorHAnsi"/>
        </w:rPr>
        <w:footnoteRef/>
      </w:r>
      <w:r w:rsidRPr="00577563">
        <w:rPr>
          <w:rFonts w:asciiTheme="minorHAnsi" w:hAnsiTheme="minorHAnsi" w:cstheme="minorHAnsi"/>
          <w:rtl/>
        </w:rPr>
        <w:t xml:space="preserve"> على سبيل المثال، في أستراليا والسنغال، تم تحديد هذه النسبة عند 5% من سعر إعادة البيع (يرجى الاطلاع على الجدول 8)؛ وفي أوروغواي، إحدى أوائل الدول التي تبنت حق التتبع، تم تحديد هذه النسبة عند 3% من سعر إعادة البيع:</w:t>
      </w:r>
      <w:r w:rsidRPr="00577563">
        <w:rPr>
          <w:rFonts w:asciiTheme="minorHAnsi" w:hAnsiTheme="minorHAnsi" w:cstheme="minorHAnsi"/>
        </w:rPr>
        <w:t xml:space="preserve"> </w:t>
      </w:r>
      <w:r w:rsidRPr="00577563">
        <w:rPr>
          <w:rFonts w:asciiTheme="minorHAnsi" w:hAnsiTheme="minorHAnsi" w:cstheme="minorHAnsi"/>
          <w:rtl/>
        </w:rPr>
        <w:t>قانون أوروغواي لعام 1937، المادة 9.</w:t>
      </w:r>
      <w:r w:rsidRPr="00577563">
        <w:rPr>
          <w:rFonts w:asciiTheme="minorHAnsi" w:hAnsiTheme="minorHAnsi" w:cstheme="minorHAnsi"/>
        </w:rPr>
        <w:t xml:space="preserve"> </w:t>
      </w:r>
      <w:r w:rsidRPr="00577563">
        <w:rPr>
          <w:rFonts w:asciiTheme="minorHAnsi" w:hAnsiTheme="minorHAnsi" w:cstheme="minorHAnsi"/>
          <w:rtl/>
        </w:rPr>
        <w:t>وحددت غواتيمالا نسبة أعلى (10٪) : المادة 38 من القانون الغواتيمالي بشأن حق المؤلف والحقوق المجاورة، المرسوم 33-98.</w:t>
      </w:r>
    </w:p>
  </w:footnote>
  <w:footnote w:id="75">
    <w:p w14:paraId="1A1151D1" w14:textId="77777777" w:rsidR="008D64F9" w:rsidRPr="00577563" w:rsidRDefault="008D64F9" w:rsidP="008D64F9">
      <w:pPr>
        <w:pStyle w:val="FootnoteText"/>
        <w:spacing w:before="120" w:after="120"/>
        <w:jc w:val="both"/>
        <w:rPr>
          <w:rFonts w:asciiTheme="minorHAnsi" w:hAnsiTheme="minorHAnsi" w:cstheme="minorHAnsi"/>
          <w:rtl/>
        </w:rPr>
      </w:pPr>
      <w:r w:rsidRPr="00577563">
        <w:rPr>
          <w:rStyle w:val="FootnoteReference"/>
          <w:rFonts w:asciiTheme="minorHAnsi" w:hAnsiTheme="minorHAnsi" w:cstheme="minorHAnsi"/>
        </w:rPr>
        <w:footnoteRef/>
      </w:r>
      <w:r w:rsidRPr="00577563">
        <w:rPr>
          <w:rFonts w:asciiTheme="minorHAnsi" w:hAnsiTheme="minorHAnsi" w:cstheme="minorHAnsi"/>
          <w:rtl/>
        </w:rPr>
        <w:t xml:space="preserve"> ربما كانت هناك أسباب سياسية وراء اعتماد حد أقصى في لائحة المفوضية الأوروبية، أي للوصول إلى توافق بين جميع الدول الأعضاء بشأن المعايير الدنيا لمخطط حق التتبع الذي يمكن اعتماده في كل دولة عضو (العديد منها كان لديه مثل هذا المخطط في تاريخ اعتماد هذا التوجيه).</w:t>
      </w:r>
      <w:r w:rsidRPr="00577563">
        <w:rPr>
          <w:rFonts w:asciiTheme="minorHAnsi" w:hAnsiTheme="minorHAnsi" w:cstheme="minorHAnsi"/>
        </w:rPr>
        <w:t xml:space="preserve"> </w:t>
      </w:r>
      <w:r w:rsidRPr="00577563">
        <w:rPr>
          <w:rFonts w:asciiTheme="minorHAnsi" w:hAnsiTheme="minorHAnsi" w:cstheme="minorHAnsi"/>
          <w:rtl/>
        </w:rPr>
        <w:t>وقد لا تنشأ مثل هذه الاعتبارات السياسية عادة خارج الاتحاد الأوروبي.</w:t>
      </w:r>
    </w:p>
  </w:footnote>
  <w:footnote w:id="76">
    <w:p w14:paraId="257C7F24" w14:textId="77777777" w:rsidR="008D64F9" w:rsidRPr="00577563" w:rsidRDefault="008D64F9" w:rsidP="008D64F9">
      <w:pPr>
        <w:pStyle w:val="FootnoteText"/>
        <w:spacing w:before="120" w:after="120"/>
        <w:jc w:val="both"/>
        <w:rPr>
          <w:rFonts w:asciiTheme="minorHAnsi" w:hAnsiTheme="minorHAnsi" w:cstheme="minorHAnsi"/>
          <w:rtl/>
        </w:rPr>
      </w:pPr>
      <w:r w:rsidRPr="00577563">
        <w:rPr>
          <w:rStyle w:val="FootnoteReference"/>
          <w:rFonts w:asciiTheme="minorHAnsi" w:hAnsiTheme="minorHAnsi" w:cstheme="minorHAnsi"/>
        </w:rPr>
        <w:footnoteRef/>
      </w:r>
      <w:r w:rsidRPr="00577563">
        <w:rPr>
          <w:rFonts w:asciiTheme="minorHAnsi" w:hAnsiTheme="minorHAnsi" w:cstheme="minorHAnsi"/>
          <w:rtl/>
        </w:rPr>
        <w:t xml:space="preserve"> </w:t>
      </w:r>
      <w:r w:rsidRPr="00577563">
        <w:rPr>
          <w:rFonts w:asciiTheme="minorHAnsi" w:hAnsiTheme="minorHAnsi" w:cstheme="minorHAnsi"/>
          <w:rtl/>
        </w:rPr>
        <w:t>تجدر الإشارة أيضًا إلى أنه في بلدان الاتحاد الأوروبي التي تمنح أيضًا حق التتبع للمخطوطات الأصلية (التي لا تندرج ضمن نطاق توجيه المفوضية الأوروبية)، حددت دولة واحدة على الأقل (بولندا) نسبة مئوية بسيطة (5٪) من "عمليات إعادة البيع التي تتم بشكل احترافي":  المادة 19</w:t>
      </w:r>
      <w:r w:rsidRPr="00577563">
        <w:rPr>
          <w:rFonts w:asciiTheme="minorHAnsi" w:hAnsiTheme="minorHAnsi" w:cstheme="minorHAnsi"/>
          <w:vertAlign w:val="superscript"/>
          <w:rtl/>
        </w:rPr>
        <w:t>1</w:t>
      </w:r>
      <w:r w:rsidRPr="00577563">
        <w:rPr>
          <w:rFonts w:asciiTheme="minorHAnsi" w:hAnsiTheme="minorHAnsi" w:cstheme="minorHAnsi"/>
          <w:rtl/>
        </w:rPr>
        <w:t xml:space="preserve"> ، قانون 4 فبراير 1994، بشأن حق المؤلف والحقوق المجاورة (نص موحد) (بولندا).</w:t>
      </w:r>
    </w:p>
  </w:footnote>
  <w:footnote w:id="77">
    <w:p w14:paraId="3426551B" w14:textId="77777777" w:rsidR="008D64F9" w:rsidRPr="00577563" w:rsidRDefault="008D64F9" w:rsidP="008D64F9">
      <w:pPr>
        <w:pStyle w:val="FootnoteText"/>
        <w:spacing w:before="120" w:after="120"/>
        <w:rPr>
          <w:rFonts w:asciiTheme="minorHAnsi" w:hAnsiTheme="minorHAnsi" w:cstheme="minorHAnsi"/>
          <w:rtl/>
        </w:rPr>
      </w:pPr>
      <w:r w:rsidRPr="00577563">
        <w:rPr>
          <w:rStyle w:val="FootnoteReference"/>
          <w:rFonts w:asciiTheme="minorHAnsi" w:hAnsiTheme="minorHAnsi" w:cstheme="minorHAnsi"/>
        </w:rPr>
        <w:footnoteRef/>
      </w:r>
      <w:r w:rsidRPr="00577563">
        <w:rPr>
          <w:rFonts w:asciiTheme="minorHAnsi" w:hAnsiTheme="minorHAnsi" w:cstheme="minorHAnsi"/>
          <w:rtl/>
        </w:rPr>
        <w:t xml:space="preserve"> وسابقاً إيطاليا في قانون عام 1941 الخاص بها.</w:t>
      </w:r>
    </w:p>
  </w:footnote>
  <w:footnote w:id="78">
    <w:p w14:paraId="3D9BBC28" w14:textId="77777777" w:rsidR="008D64F9" w:rsidRPr="00577563" w:rsidRDefault="008D64F9" w:rsidP="008D64F9">
      <w:pPr>
        <w:pStyle w:val="Footnote"/>
        <w:bidi/>
        <w:rPr>
          <w:rFonts w:asciiTheme="minorHAnsi" w:hAnsiTheme="minorHAnsi" w:cstheme="minorHAnsi"/>
          <w:sz w:val="18"/>
          <w:szCs w:val="18"/>
          <w:rtl/>
        </w:rPr>
      </w:pPr>
      <w:r w:rsidRPr="00577563">
        <w:rPr>
          <w:rStyle w:val="FootnoteReference"/>
          <w:rFonts w:asciiTheme="minorHAnsi" w:hAnsiTheme="minorHAnsi" w:cstheme="minorHAnsi"/>
          <w:sz w:val="18"/>
          <w:szCs w:val="18"/>
        </w:rPr>
        <w:footnoteRef/>
      </w:r>
      <w:r w:rsidRPr="00577563">
        <w:rPr>
          <w:rFonts w:asciiTheme="minorHAnsi" w:hAnsiTheme="minorHAnsi" w:cstheme="minorHAnsi"/>
          <w:sz w:val="18"/>
          <w:szCs w:val="18"/>
          <w:rtl/>
        </w:rPr>
        <w:t xml:space="preserve"> </w:t>
      </w:r>
      <w:r w:rsidRPr="00577563">
        <w:rPr>
          <w:rFonts w:asciiTheme="minorHAnsi" w:hAnsiTheme="minorHAnsi" w:cstheme="minorHAnsi"/>
          <w:sz w:val="18"/>
          <w:szCs w:val="18"/>
          <w:rtl/>
        </w:rPr>
        <w:t>أستراليا، قانون حق التتبع لفناني المصنفات البصرية لعام 2009، المادة 18؛ يرجى الاطلاع أيضًا على قانون السنغال، المادة 48:</w:t>
      </w:r>
      <w:r w:rsidRPr="00577563">
        <w:rPr>
          <w:rFonts w:asciiTheme="minorHAnsi" w:hAnsiTheme="minorHAnsi" w:cstheme="minorHAnsi"/>
          <w:sz w:val="18"/>
          <w:szCs w:val="18"/>
        </w:rPr>
        <w:t xml:space="preserve"> </w:t>
      </w:r>
      <w:r w:rsidRPr="00577563">
        <w:rPr>
          <w:rFonts w:asciiTheme="minorHAnsi" w:hAnsiTheme="minorHAnsi" w:cstheme="minorHAnsi"/>
          <w:sz w:val="18"/>
          <w:szCs w:val="18"/>
          <w:rtl/>
        </w:rPr>
        <w:t>"</w:t>
      </w:r>
      <w:r w:rsidRPr="00577563">
        <w:rPr>
          <w:rFonts w:asciiTheme="minorHAnsi" w:hAnsiTheme="minorHAnsi" w:cstheme="minorHAnsi"/>
          <w:sz w:val="18"/>
          <w:szCs w:val="18"/>
        </w:rPr>
        <w:t xml:space="preserve"> </w:t>
      </w:r>
      <w:r w:rsidRPr="00577563">
        <w:rPr>
          <w:rFonts w:asciiTheme="minorHAnsi" w:hAnsiTheme="minorHAnsi" w:cstheme="minorHAnsi"/>
          <w:sz w:val="18"/>
          <w:szCs w:val="18"/>
          <w:rtl/>
        </w:rPr>
        <w:t>تبلغ إتاوة حق التتبع خمسة في المائة من ثمن البيع</w:t>
      </w:r>
      <w:r w:rsidRPr="00577563">
        <w:rPr>
          <w:rFonts w:asciiTheme="minorHAnsi" w:hAnsiTheme="minorHAnsi" w:cstheme="minorHAnsi"/>
          <w:i/>
          <w:iCs/>
          <w:sz w:val="18"/>
          <w:szCs w:val="18"/>
          <w:rtl/>
        </w:rPr>
        <w:t>..</w:t>
      </w:r>
    </w:p>
  </w:footnote>
  <w:footnote w:id="79">
    <w:p w14:paraId="1A8E3216" w14:textId="77777777" w:rsidR="008D64F9" w:rsidRPr="00577563" w:rsidRDefault="008D64F9" w:rsidP="008D64F9">
      <w:pPr>
        <w:pStyle w:val="Footnote"/>
        <w:bidi/>
        <w:rPr>
          <w:rFonts w:asciiTheme="minorHAnsi" w:hAnsiTheme="minorHAnsi" w:cstheme="minorHAnsi"/>
          <w:sz w:val="18"/>
          <w:szCs w:val="18"/>
          <w:rtl/>
        </w:rPr>
      </w:pPr>
      <w:r w:rsidRPr="00577563">
        <w:rPr>
          <w:rStyle w:val="FootnoteReference"/>
          <w:rFonts w:asciiTheme="minorHAnsi" w:hAnsiTheme="minorHAnsi" w:cstheme="minorHAnsi"/>
          <w:sz w:val="18"/>
          <w:szCs w:val="18"/>
        </w:rPr>
        <w:footnoteRef/>
      </w:r>
      <w:r w:rsidRPr="00577563">
        <w:rPr>
          <w:rFonts w:asciiTheme="minorHAnsi" w:hAnsiTheme="minorHAnsi" w:cstheme="minorHAnsi"/>
          <w:sz w:val="18"/>
          <w:szCs w:val="18"/>
        </w:rPr>
        <w:t xml:space="preserve"> </w:t>
      </w:r>
      <w:r w:rsidRPr="00577563">
        <w:rPr>
          <w:rFonts w:asciiTheme="minorHAnsi" w:hAnsiTheme="minorHAnsi" w:cstheme="minorHAnsi"/>
          <w:sz w:val="18"/>
          <w:szCs w:val="18"/>
          <w:rtl/>
        </w:rPr>
        <w:t>توجيه المفوضية الأوروبية، المادة 4.1.</w:t>
      </w:r>
    </w:p>
  </w:footnote>
  <w:footnote w:id="80">
    <w:p w14:paraId="5C242A84" w14:textId="77777777" w:rsidR="008D64F9" w:rsidRPr="00577563" w:rsidRDefault="008D64F9" w:rsidP="008D64F9">
      <w:pPr>
        <w:pStyle w:val="Footnote"/>
        <w:bidi/>
        <w:rPr>
          <w:rFonts w:asciiTheme="minorHAnsi" w:hAnsiTheme="minorHAnsi" w:cstheme="minorHAnsi"/>
          <w:sz w:val="18"/>
          <w:szCs w:val="18"/>
          <w:rtl/>
        </w:rPr>
      </w:pPr>
      <w:r w:rsidRPr="00577563">
        <w:rPr>
          <w:rStyle w:val="FootnoteReference"/>
          <w:rFonts w:asciiTheme="minorHAnsi" w:hAnsiTheme="minorHAnsi" w:cstheme="minorHAnsi"/>
          <w:sz w:val="18"/>
          <w:szCs w:val="18"/>
        </w:rPr>
        <w:footnoteRef/>
      </w:r>
      <w:r w:rsidRPr="00577563">
        <w:rPr>
          <w:rFonts w:asciiTheme="minorHAnsi" w:hAnsiTheme="minorHAnsi" w:cstheme="minorHAnsi"/>
          <w:sz w:val="18"/>
          <w:szCs w:val="18"/>
        </w:rPr>
        <w:t xml:space="preserve"> </w:t>
      </w:r>
      <w:r w:rsidRPr="00577563">
        <w:rPr>
          <w:rFonts w:asciiTheme="minorHAnsi" w:hAnsiTheme="minorHAnsi" w:cstheme="minorHAnsi"/>
          <w:sz w:val="18"/>
          <w:szCs w:val="18"/>
          <w:rtl/>
        </w:rPr>
        <w:t>المرجع نفسه.</w:t>
      </w:r>
    </w:p>
  </w:footnote>
  <w:footnote w:id="81">
    <w:p w14:paraId="727FF074" w14:textId="77777777" w:rsidR="008D64F9" w:rsidRPr="00577563" w:rsidRDefault="008D64F9" w:rsidP="008D64F9">
      <w:pPr>
        <w:pStyle w:val="Footnote"/>
        <w:bidi/>
        <w:rPr>
          <w:rFonts w:asciiTheme="minorHAnsi" w:hAnsiTheme="minorHAnsi" w:cstheme="minorHAnsi"/>
          <w:sz w:val="18"/>
          <w:szCs w:val="18"/>
          <w:rtl/>
        </w:rPr>
      </w:pPr>
      <w:r w:rsidRPr="00577563">
        <w:rPr>
          <w:rStyle w:val="FootnoteReference"/>
          <w:rFonts w:asciiTheme="minorHAnsi" w:hAnsiTheme="minorHAnsi" w:cstheme="minorHAnsi"/>
          <w:sz w:val="18"/>
          <w:szCs w:val="18"/>
        </w:rPr>
        <w:footnoteRef/>
      </w:r>
      <w:r w:rsidRPr="00577563">
        <w:rPr>
          <w:rFonts w:asciiTheme="minorHAnsi" w:hAnsiTheme="minorHAnsi" w:cstheme="minorHAnsi"/>
          <w:sz w:val="18"/>
          <w:szCs w:val="18"/>
        </w:rPr>
        <w:t xml:space="preserve"> </w:t>
      </w:r>
      <w:r w:rsidRPr="00577563">
        <w:rPr>
          <w:rFonts w:asciiTheme="minorHAnsi" w:hAnsiTheme="minorHAnsi" w:cstheme="minorHAnsi"/>
          <w:sz w:val="18"/>
          <w:szCs w:val="18"/>
          <w:rtl/>
        </w:rPr>
        <w:t>وفقا للمرجع التالي: أستراليا، قانون حق التتبع لفناني المصنفات البصرية لعام 2009، المادة 10(1).</w:t>
      </w:r>
      <w:r w:rsidRPr="00577563">
        <w:rPr>
          <w:rFonts w:asciiTheme="minorHAnsi" w:hAnsiTheme="minorHAnsi" w:cstheme="minorHAnsi"/>
          <w:sz w:val="18"/>
          <w:szCs w:val="18"/>
        </w:rPr>
        <w:t xml:space="preserve"> </w:t>
      </w:r>
      <w:r w:rsidRPr="00577563">
        <w:rPr>
          <w:rFonts w:asciiTheme="minorHAnsi" w:hAnsiTheme="minorHAnsi" w:cstheme="minorHAnsi"/>
          <w:sz w:val="18"/>
          <w:szCs w:val="18"/>
          <w:rtl/>
        </w:rPr>
        <w:t>(يحتوي الجدول 6 أعلاه على النص المستخرج من هذا القانون  - من الواضح أن القدرة على تحديد نسب أعلى من خلال القوانين واللوائح هو أمر مفيد).</w:t>
      </w:r>
      <w:r w:rsidRPr="00577563">
        <w:rPr>
          <w:rFonts w:asciiTheme="minorHAnsi" w:hAnsiTheme="minorHAnsi" w:cstheme="minorHAnsi"/>
          <w:i/>
          <w:iCs/>
          <w:sz w:val="18"/>
          <w:szCs w:val="18"/>
        </w:rPr>
        <w:t xml:space="preserve"> </w:t>
      </w:r>
      <w:r w:rsidRPr="00577563">
        <w:rPr>
          <w:rFonts w:asciiTheme="minorHAnsi" w:hAnsiTheme="minorHAnsi" w:cstheme="minorHAnsi"/>
          <w:sz w:val="18"/>
          <w:szCs w:val="18"/>
          <w:rtl/>
        </w:rPr>
        <w:t>يرجى الاطلاع أيض على: كينيا، قانون حق المؤلف لعام 2001، المادة 26د(6)أ.</w:t>
      </w:r>
    </w:p>
  </w:footnote>
  <w:footnote w:id="82">
    <w:p w14:paraId="31387E90" w14:textId="77777777" w:rsidR="008D64F9" w:rsidRPr="00577563" w:rsidRDefault="008D64F9" w:rsidP="008D64F9">
      <w:pPr>
        <w:pStyle w:val="Default"/>
        <w:bidi/>
        <w:rPr>
          <w:rFonts w:asciiTheme="minorHAnsi" w:eastAsia="Times New Roman" w:hAnsiTheme="minorHAnsi" w:cstheme="minorHAnsi"/>
          <w:sz w:val="18"/>
          <w:szCs w:val="18"/>
          <w:rtl/>
        </w:rPr>
      </w:pPr>
      <w:r w:rsidRPr="00577563">
        <w:rPr>
          <w:rStyle w:val="FootnoteReference"/>
          <w:rFonts w:asciiTheme="minorHAnsi" w:hAnsiTheme="minorHAnsi" w:cstheme="minorHAnsi"/>
          <w:sz w:val="18"/>
          <w:szCs w:val="18"/>
        </w:rPr>
        <w:footnoteRef/>
      </w:r>
      <w:r w:rsidRPr="00577563">
        <w:rPr>
          <w:rFonts w:asciiTheme="minorHAnsi" w:hAnsiTheme="minorHAnsi" w:cstheme="minorHAnsi"/>
          <w:sz w:val="18"/>
          <w:szCs w:val="18"/>
        </w:rPr>
        <w:t xml:space="preserve"> </w:t>
      </w:r>
      <w:r w:rsidRPr="00577563">
        <w:rPr>
          <w:rFonts w:asciiTheme="minorHAnsi" w:hAnsiTheme="minorHAnsi" w:cstheme="minorHAnsi"/>
          <w:sz w:val="18"/>
          <w:szCs w:val="18"/>
          <w:rtl/>
        </w:rPr>
        <w:t>البرازيل، القانون رقم 9610 الصادر في 19 فبراير 1998، بشأن حق المؤلف والحقوق المجاورة</w:t>
      </w:r>
      <w:r w:rsidRPr="00577563">
        <w:rPr>
          <w:rFonts w:asciiTheme="minorHAnsi" w:hAnsiTheme="minorHAnsi" w:cstheme="minorHAnsi"/>
          <w:sz w:val="18"/>
          <w:szCs w:val="18"/>
        </w:rPr>
        <w:t xml:space="preserve"> </w:t>
      </w:r>
      <w:r w:rsidRPr="00577563">
        <w:rPr>
          <w:rFonts w:asciiTheme="minorHAnsi" w:hAnsiTheme="minorHAnsi" w:cstheme="minorHAnsi"/>
          <w:b/>
          <w:bCs/>
          <w:sz w:val="18"/>
          <w:szCs w:val="18"/>
          <w:rtl/>
        </w:rPr>
        <w:t>،</w:t>
      </w:r>
      <w:r w:rsidRPr="00577563">
        <w:rPr>
          <w:rFonts w:asciiTheme="minorHAnsi" w:hAnsiTheme="minorHAnsi" w:cstheme="minorHAnsi"/>
          <w:sz w:val="18"/>
          <w:szCs w:val="18"/>
        </w:rPr>
        <w:t xml:space="preserve"> </w:t>
      </w:r>
      <w:r w:rsidRPr="00577563">
        <w:rPr>
          <w:rFonts w:asciiTheme="minorHAnsi" w:hAnsiTheme="minorHAnsi" w:cstheme="minorHAnsi"/>
          <w:sz w:val="18"/>
          <w:szCs w:val="18"/>
          <w:rtl/>
        </w:rPr>
        <w:t>المادة 38،</w:t>
      </w:r>
    </w:p>
  </w:footnote>
  <w:footnote w:id="83">
    <w:p w14:paraId="5F5C2DDB" w14:textId="77777777" w:rsidR="008D64F9" w:rsidRPr="00577563" w:rsidRDefault="008D64F9" w:rsidP="008D64F9">
      <w:pPr>
        <w:pStyle w:val="Footnote"/>
        <w:bidi/>
        <w:rPr>
          <w:rFonts w:asciiTheme="minorHAnsi" w:hAnsiTheme="minorHAnsi" w:cstheme="minorHAnsi"/>
          <w:sz w:val="18"/>
          <w:szCs w:val="18"/>
          <w:rtl/>
        </w:rPr>
      </w:pPr>
      <w:r w:rsidRPr="00577563">
        <w:rPr>
          <w:rStyle w:val="FootnoteReference"/>
          <w:rFonts w:asciiTheme="minorHAnsi" w:hAnsiTheme="minorHAnsi" w:cstheme="minorHAnsi"/>
          <w:sz w:val="18"/>
          <w:szCs w:val="18"/>
        </w:rPr>
        <w:footnoteRef/>
      </w:r>
      <w:r w:rsidRPr="00577563">
        <w:rPr>
          <w:rFonts w:asciiTheme="minorHAnsi" w:hAnsiTheme="minorHAnsi" w:cstheme="minorHAnsi"/>
          <w:sz w:val="18"/>
          <w:szCs w:val="18"/>
        </w:rPr>
        <w:t xml:space="preserve"> </w:t>
      </w:r>
      <w:r w:rsidRPr="00577563">
        <w:rPr>
          <w:rFonts w:asciiTheme="minorHAnsi" w:hAnsiTheme="minorHAnsi" w:cstheme="minorHAnsi"/>
          <w:sz w:val="18"/>
          <w:szCs w:val="18"/>
          <w:rtl/>
        </w:rPr>
        <w:t>المادة 38 من القانون الغواتيمالي لحق المؤلف والحقوق المجاورة، المرسوم 33-98، والذي ينطبق أيضًا على إعادة بيع المخطوطات الأصلية للمؤلفين أو الملحنين.</w:t>
      </w:r>
    </w:p>
  </w:footnote>
  <w:footnote w:id="84">
    <w:p w14:paraId="6E5818B3" w14:textId="77777777" w:rsidR="008D64F9" w:rsidRPr="00577563" w:rsidRDefault="008D64F9" w:rsidP="008D64F9">
      <w:pPr>
        <w:pStyle w:val="FootnoteText"/>
        <w:rPr>
          <w:rFonts w:asciiTheme="minorHAnsi" w:hAnsiTheme="minorHAnsi" w:cstheme="minorHAnsi"/>
          <w:rtl/>
        </w:rPr>
      </w:pPr>
      <w:r w:rsidRPr="00577563">
        <w:rPr>
          <w:rStyle w:val="FootnoteReference"/>
          <w:rFonts w:asciiTheme="minorHAnsi" w:hAnsiTheme="minorHAnsi" w:cstheme="minorHAnsi"/>
        </w:rPr>
        <w:footnoteRef/>
      </w:r>
      <w:r w:rsidRPr="00577563">
        <w:rPr>
          <w:rFonts w:asciiTheme="minorHAnsi" w:hAnsiTheme="minorHAnsi" w:cstheme="minorHAnsi"/>
          <w:rtl/>
        </w:rPr>
        <w:t xml:space="preserve"> توجيه المفوضية الأوروبية، المادة 1.4.</w:t>
      </w:r>
      <w:r w:rsidRPr="00577563">
        <w:rPr>
          <w:rFonts w:asciiTheme="minorHAnsi" w:hAnsiTheme="minorHAnsi" w:cstheme="minorHAnsi"/>
        </w:rPr>
        <w:t xml:space="preserve"> </w:t>
      </w:r>
    </w:p>
  </w:footnote>
  <w:footnote w:id="85">
    <w:p w14:paraId="44B88BAE" w14:textId="77777777" w:rsidR="008D64F9" w:rsidRPr="00577563" w:rsidRDefault="008D64F9" w:rsidP="008D64F9">
      <w:pPr>
        <w:pStyle w:val="Footnote"/>
        <w:bidi/>
        <w:rPr>
          <w:rFonts w:asciiTheme="minorHAnsi" w:hAnsiTheme="minorHAnsi" w:cstheme="minorHAnsi"/>
          <w:sz w:val="18"/>
          <w:szCs w:val="18"/>
          <w:rtl/>
        </w:rPr>
      </w:pPr>
      <w:r w:rsidRPr="00577563">
        <w:rPr>
          <w:rStyle w:val="FootnoteReference"/>
          <w:rFonts w:asciiTheme="minorHAnsi" w:hAnsiTheme="minorHAnsi" w:cstheme="minorHAnsi"/>
          <w:sz w:val="18"/>
          <w:szCs w:val="18"/>
        </w:rPr>
        <w:footnoteRef/>
      </w:r>
      <w:r w:rsidRPr="00577563">
        <w:rPr>
          <w:rFonts w:asciiTheme="minorHAnsi" w:hAnsiTheme="minorHAnsi" w:cstheme="minorHAnsi"/>
          <w:sz w:val="18"/>
          <w:szCs w:val="18"/>
        </w:rPr>
        <w:t xml:space="preserve"> </w:t>
      </w:r>
      <w:r w:rsidRPr="00577563">
        <w:rPr>
          <w:rFonts w:asciiTheme="minorHAnsi" w:hAnsiTheme="minorHAnsi" w:cstheme="minorHAnsi"/>
          <w:sz w:val="18"/>
          <w:szCs w:val="18"/>
          <w:rtl/>
        </w:rPr>
        <w:t>القانون الإسباني رقم 3/2008 المؤرخ 20 ديسمبر 2008 بشأن حق التتبع، المادة 10.</w:t>
      </w:r>
      <w:r w:rsidRPr="00577563">
        <w:rPr>
          <w:rFonts w:asciiTheme="minorHAnsi" w:hAnsiTheme="minorHAnsi" w:cstheme="minorHAnsi"/>
          <w:sz w:val="18"/>
          <w:szCs w:val="18"/>
        </w:rPr>
        <w:t xml:space="preserve"> </w:t>
      </w:r>
      <w:r w:rsidRPr="00577563">
        <w:rPr>
          <w:rFonts w:asciiTheme="minorHAnsi" w:hAnsiTheme="minorHAnsi" w:cstheme="minorHAnsi"/>
          <w:sz w:val="18"/>
          <w:szCs w:val="18"/>
          <w:rtl/>
        </w:rPr>
        <w:t>أصبحت الآن المادة 24.16 من المرسوم التشريعي الملكي 1/1996، المؤرخ 12 أبريل 1996، الذي يعتمد النص المنقح لقانون الملكية الفكرية (قانون حق المؤلف).</w:t>
      </w:r>
      <w:r w:rsidRPr="00577563">
        <w:rPr>
          <w:rFonts w:asciiTheme="minorHAnsi" w:hAnsiTheme="minorHAnsi" w:cstheme="minorHAnsi"/>
          <w:sz w:val="18"/>
          <w:szCs w:val="18"/>
        </w:rPr>
        <w:t xml:space="preserve"> </w:t>
      </w:r>
      <w:r w:rsidRPr="00577563">
        <w:rPr>
          <w:rFonts w:asciiTheme="minorHAnsi" w:hAnsiTheme="minorHAnsi" w:cstheme="minorHAnsi"/>
          <w:sz w:val="18"/>
          <w:szCs w:val="18"/>
          <w:rtl/>
        </w:rPr>
        <w:t>تم تعديل هذه المادة 24 بموجب القانون رقم 2/2019 المؤرخ 1 مارس 2019، الذي يعدل النص المنقح لقانون الملكية الفكرية (...) وينقل التوجيه 2014/26/</w:t>
      </w:r>
      <w:r w:rsidRPr="00577563">
        <w:rPr>
          <w:rFonts w:asciiTheme="minorHAnsi" w:hAnsiTheme="minorHAnsi" w:cstheme="minorHAnsi"/>
          <w:sz w:val="18"/>
          <w:szCs w:val="18"/>
        </w:rPr>
        <w:t>EU</w:t>
      </w:r>
      <w:r w:rsidRPr="00577563">
        <w:rPr>
          <w:rFonts w:asciiTheme="minorHAnsi" w:hAnsiTheme="minorHAnsi" w:cstheme="minorHAnsi"/>
          <w:sz w:val="18"/>
          <w:szCs w:val="18"/>
          <w:rtl/>
        </w:rPr>
        <w:t xml:space="preserve"> للبرلمان والمجلس الأوروبي المؤرخ 26 فبراير 2014 والتوجيه (الاتحاد الأوروبي) 2017/1564 للبرلمان والمجلس الأوروبي المؤرخ 13 سبتمبر 2017 إلى القانون الإسباني.</w:t>
      </w:r>
    </w:p>
  </w:footnote>
  <w:footnote w:id="86">
    <w:p w14:paraId="76D36767" w14:textId="77777777" w:rsidR="008D64F9" w:rsidRPr="00577563" w:rsidRDefault="008D64F9" w:rsidP="008D64F9">
      <w:pPr>
        <w:pStyle w:val="Footnote"/>
        <w:bidi/>
        <w:rPr>
          <w:rFonts w:asciiTheme="minorHAnsi" w:hAnsiTheme="minorHAnsi" w:cstheme="minorHAnsi"/>
          <w:sz w:val="18"/>
          <w:szCs w:val="18"/>
          <w:rtl/>
        </w:rPr>
      </w:pPr>
      <w:r w:rsidRPr="00577563">
        <w:rPr>
          <w:rStyle w:val="FootnoteReference"/>
          <w:rFonts w:asciiTheme="minorHAnsi" w:hAnsiTheme="minorHAnsi" w:cstheme="minorHAnsi"/>
          <w:sz w:val="18"/>
          <w:szCs w:val="18"/>
        </w:rPr>
        <w:footnoteRef/>
      </w:r>
      <w:r w:rsidRPr="00577563">
        <w:rPr>
          <w:rFonts w:asciiTheme="minorHAnsi" w:hAnsiTheme="minorHAnsi" w:cstheme="minorHAnsi"/>
          <w:sz w:val="18"/>
          <w:szCs w:val="18"/>
        </w:rPr>
        <w:t xml:space="preserve"> </w:t>
      </w:r>
      <w:r w:rsidRPr="00577563">
        <w:rPr>
          <w:rFonts w:asciiTheme="minorHAnsi" w:hAnsiTheme="minorHAnsi" w:cstheme="minorHAnsi"/>
          <w:sz w:val="18"/>
          <w:szCs w:val="18"/>
          <w:rtl/>
        </w:rPr>
        <w:t>المملكة المتحدة، اللوائح التنفيذية بشأن حق التتبع لعام 2006، اللائحة 13.</w:t>
      </w:r>
    </w:p>
  </w:footnote>
  <w:footnote w:id="87">
    <w:p w14:paraId="2732C86A" w14:textId="77777777" w:rsidR="008D64F9" w:rsidRPr="00577563" w:rsidRDefault="008D64F9" w:rsidP="008D64F9">
      <w:pPr>
        <w:pStyle w:val="Footnote"/>
        <w:bidi/>
        <w:rPr>
          <w:rFonts w:asciiTheme="minorHAnsi" w:hAnsiTheme="minorHAnsi" w:cstheme="minorHAnsi"/>
          <w:sz w:val="18"/>
          <w:szCs w:val="18"/>
          <w:rtl/>
        </w:rPr>
      </w:pPr>
      <w:r w:rsidRPr="00577563">
        <w:rPr>
          <w:rStyle w:val="FootnoteReference"/>
          <w:rFonts w:asciiTheme="minorHAnsi" w:hAnsiTheme="minorHAnsi" w:cstheme="minorHAnsi"/>
          <w:sz w:val="18"/>
          <w:szCs w:val="18"/>
        </w:rPr>
        <w:footnoteRef/>
      </w:r>
      <w:r w:rsidRPr="00577563">
        <w:rPr>
          <w:rFonts w:asciiTheme="minorHAnsi" w:hAnsiTheme="minorHAnsi" w:cstheme="minorHAnsi"/>
          <w:sz w:val="18"/>
          <w:szCs w:val="18"/>
        </w:rPr>
        <w:t xml:space="preserve"> </w:t>
      </w:r>
      <w:r w:rsidRPr="00577563">
        <w:rPr>
          <w:rFonts w:asciiTheme="minorHAnsi" w:hAnsiTheme="minorHAnsi" w:cstheme="minorHAnsi"/>
          <w:sz w:val="18"/>
          <w:szCs w:val="18"/>
          <w:rtl/>
        </w:rPr>
        <w:t>أستراليا، قانون حق التتبع لفناني المصنفات البصرية لعام 2009، المادة 20.</w:t>
      </w:r>
    </w:p>
  </w:footnote>
  <w:footnote w:id="88">
    <w:p w14:paraId="623F56DC" w14:textId="77777777" w:rsidR="008D64F9" w:rsidRPr="00577563" w:rsidRDefault="008D64F9" w:rsidP="008D64F9">
      <w:pPr>
        <w:pStyle w:val="FootnoteText"/>
        <w:rPr>
          <w:rFonts w:asciiTheme="minorHAnsi" w:hAnsiTheme="minorHAnsi" w:cstheme="minorHAnsi"/>
          <w:rtl/>
        </w:rPr>
      </w:pPr>
      <w:r w:rsidRPr="00577563">
        <w:rPr>
          <w:rStyle w:val="FootnoteReference"/>
          <w:rFonts w:asciiTheme="minorHAnsi" w:hAnsiTheme="minorHAnsi" w:cstheme="minorHAnsi"/>
        </w:rPr>
        <w:footnoteRef/>
      </w:r>
      <w:r w:rsidRPr="00577563">
        <w:rPr>
          <w:rFonts w:asciiTheme="minorHAnsi" w:hAnsiTheme="minorHAnsi" w:cstheme="minorHAnsi"/>
          <w:rtl/>
        </w:rPr>
        <w:t xml:space="preserve"> فرنسا، قانون الملكية الفكرية، المادة ر122-9.</w:t>
      </w:r>
      <w:r w:rsidRPr="00577563">
        <w:rPr>
          <w:rFonts w:asciiTheme="minorHAnsi" w:hAnsiTheme="minorHAnsi" w:cstheme="minorHAnsi"/>
        </w:rPr>
        <w:t xml:space="preserve"> </w:t>
      </w:r>
    </w:p>
  </w:footnote>
  <w:footnote w:id="89">
    <w:p w14:paraId="32F41349" w14:textId="77777777" w:rsidR="008D64F9" w:rsidRPr="00577563" w:rsidRDefault="008D64F9" w:rsidP="008D64F9">
      <w:pPr>
        <w:pStyle w:val="Footnote"/>
        <w:bidi/>
        <w:jc w:val="left"/>
        <w:rPr>
          <w:rFonts w:asciiTheme="minorHAnsi" w:hAnsiTheme="minorHAnsi" w:cstheme="minorHAnsi"/>
          <w:sz w:val="18"/>
          <w:szCs w:val="18"/>
          <w:rtl/>
        </w:rPr>
      </w:pPr>
      <w:r w:rsidRPr="00577563">
        <w:rPr>
          <w:rStyle w:val="FootnoteReference"/>
          <w:rFonts w:asciiTheme="minorHAnsi" w:hAnsiTheme="minorHAnsi" w:cstheme="minorHAnsi"/>
          <w:sz w:val="18"/>
          <w:szCs w:val="18"/>
        </w:rPr>
        <w:footnoteRef/>
      </w:r>
      <w:r w:rsidRPr="00577563">
        <w:rPr>
          <w:rFonts w:asciiTheme="minorHAnsi" w:hAnsiTheme="minorHAnsi" w:cstheme="minorHAnsi"/>
          <w:sz w:val="18"/>
          <w:szCs w:val="18"/>
        </w:rPr>
        <w:t xml:space="preserve"> </w:t>
      </w:r>
      <w:r w:rsidRPr="00577563">
        <w:rPr>
          <w:rFonts w:asciiTheme="minorHAnsi" w:hAnsiTheme="minorHAnsi" w:cstheme="minorHAnsi"/>
          <w:sz w:val="18"/>
          <w:szCs w:val="18"/>
          <w:rtl/>
        </w:rPr>
        <w:t xml:space="preserve">بالتالي، تنص المادة 6.2 من توجيه المفوضية الأوروبية على أنه </w:t>
      </w:r>
      <w:r w:rsidRPr="00577563">
        <w:rPr>
          <w:rFonts w:asciiTheme="minorHAnsi" w:hAnsiTheme="minorHAnsi" w:cstheme="minorHAnsi"/>
          <w:sz w:val="18"/>
          <w:szCs w:val="18"/>
          <w:rtl/>
        </w:rPr>
        <w:br/>
        <w:t>يجوز للدول الأعضاء أن تنص على الإدارة الجماعية الإلزامية أو الاختيارية لإتاوات حق التتبع: يرجى الاطلاع على الجدول 10،</w:t>
      </w:r>
    </w:p>
  </w:footnote>
  <w:footnote w:id="90">
    <w:p w14:paraId="5894976F" w14:textId="77777777" w:rsidR="008D64F9" w:rsidRPr="00577563" w:rsidRDefault="008D64F9" w:rsidP="008D64F9">
      <w:pPr>
        <w:pStyle w:val="Footnote"/>
        <w:bidi/>
        <w:rPr>
          <w:rFonts w:asciiTheme="minorHAnsi" w:hAnsiTheme="minorHAnsi" w:cstheme="minorHAnsi"/>
          <w:sz w:val="18"/>
          <w:szCs w:val="18"/>
          <w:rtl/>
        </w:rPr>
      </w:pPr>
      <w:r w:rsidRPr="00577563">
        <w:rPr>
          <w:rStyle w:val="FootnoteReference"/>
          <w:rFonts w:asciiTheme="minorHAnsi" w:hAnsiTheme="minorHAnsi" w:cstheme="minorHAnsi"/>
          <w:sz w:val="18"/>
          <w:szCs w:val="18"/>
        </w:rPr>
        <w:footnoteRef/>
      </w:r>
      <w:r w:rsidRPr="00577563">
        <w:rPr>
          <w:rFonts w:asciiTheme="minorHAnsi" w:hAnsiTheme="minorHAnsi" w:cstheme="minorHAnsi"/>
          <w:sz w:val="18"/>
          <w:szCs w:val="18"/>
        </w:rPr>
        <w:t xml:space="preserve"> </w:t>
      </w:r>
      <w:r w:rsidRPr="00577563">
        <w:rPr>
          <w:rFonts w:asciiTheme="minorHAnsi" w:hAnsiTheme="minorHAnsi" w:cstheme="minorHAnsi"/>
          <w:sz w:val="18"/>
          <w:szCs w:val="18"/>
          <w:rtl/>
        </w:rPr>
        <w:t>وهذا هو الحال في السنغال: يرجى الاطلاع على قانون السنغال رقم 2008-09 المؤرخ 25 يناير/كانون الثاني 2008، بشأن حق المؤلف والحقوق المجاورة، المادة 50.</w:t>
      </w:r>
      <w:r w:rsidRPr="00577563">
        <w:rPr>
          <w:rFonts w:asciiTheme="minorHAnsi" w:hAnsiTheme="minorHAnsi" w:cstheme="minorHAnsi"/>
          <w:sz w:val="18"/>
          <w:szCs w:val="18"/>
        </w:rPr>
        <w:t xml:space="preserve"> </w:t>
      </w:r>
      <w:r w:rsidRPr="00577563">
        <w:rPr>
          <w:rFonts w:asciiTheme="minorHAnsi" w:hAnsiTheme="minorHAnsi" w:cstheme="minorHAnsi"/>
          <w:sz w:val="18"/>
          <w:szCs w:val="18"/>
          <w:rtl/>
        </w:rPr>
        <w:t xml:space="preserve">يتم تناول هذه المسائل بالتفصيل في: </w:t>
      </w:r>
      <w:r w:rsidRPr="00577563">
        <w:rPr>
          <w:rFonts w:asciiTheme="minorHAnsi" w:hAnsiTheme="minorHAnsi" w:cstheme="minorHAnsi"/>
          <w:sz w:val="18"/>
          <w:szCs w:val="18"/>
        </w:rPr>
        <w:t>DÉCRET N° 2015-682 DU 26 MAI 2015 PORTANT APPLICATION DE LA LOI N° 2008-09 DU 25 JANVIER 2008 SUR LE DROIT D'AUTEUR ET LES DROITS VOISINS، Titre VI</w:t>
      </w:r>
      <w:r w:rsidRPr="00577563">
        <w:rPr>
          <w:rFonts w:asciiTheme="minorHAnsi" w:hAnsiTheme="minorHAnsi" w:cstheme="minorHAnsi"/>
          <w:sz w:val="18"/>
          <w:szCs w:val="18"/>
          <w:rtl/>
        </w:rPr>
        <w:t>، المواد 23-29، ولا سيما المادة 29 الذي تجعل من الإدارة الجماعية إلزامية.</w:t>
      </w:r>
      <w:r w:rsidRPr="00577563">
        <w:rPr>
          <w:rFonts w:asciiTheme="minorHAnsi" w:hAnsiTheme="minorHAnsi" w:cstheme="minorHAnsi"/>
          <w:sz w:val="18"/>
          <w:szCs w:val="18"/>
        </w:rPr>
        <w:t xml:space="preserve"> </w:t>
      </w:r>
    </w:p>
  </w:footnote>
  <w:footnote w:id="91">
    <w:p w14:paraId="578254D7" w14:textId="77777777" w:rsidR="008D64F9" w:rsidRPr="00577563" w:rsidRDefault="008D64F9" w:rsidP="008D64F9">
      <w:pPr>
        <w:pStyle w:val="FootnoteText"/>
        <w:spacing w:before="120" w:after="120"/>
        <w:rPr>
          <w:rFonts w:asciiTheme="minorHAnsi" w:hAnsiTheme="minorHAnsi" w:cstheme="minorHAnsi"/>
          <w:rtl/>
        </w:rPr>
      </w:pPr>
      <w:r w:rsidRPr="00577563">
        <w:rPr>
          <w:rStyle w:val="FootnoteReference"/>
          <w:rFonts w:asciiTheme="minorHAnsi" w:hAnsiTheme="minorHAnsi" w:cstheme="minorHAnsi"/>
        </w:rPr>
        <w:footnoteRef/>
      </w:r>
      <w:r w:rsidRPr="00577563">
        <w:rPr>
          <w:rFonts w:asciiTheme="minorHAnsi" w:hAnsiTheme="minorHAnsi" w:cstheme="minorHAnsi"/>
          <w:rtl/>
        </w:rPr>
        <w:t xml:space="preserve"> لمزيد من المعلومات، يرجى الاطلاع على الفقرة 80 وما يليها من الجزء الثاني من مجموعة الأدوات هذه.</w:t>
      </w:r>
    </w:p>
  </w:footnote>
  <w:footnote w:id="92">
    <w:p w14:paraId="3DFD9BF0" w14:textId="4C688753" w:rsidR="008D64F9" w:rsidRPr="00577563" w:rsidRDefault="008D64F9" w:rsidP="008D64F9">
      <w:pPr>
        <w:pStyle w:val="FootnoteText"/>
        <w:spacing w:before="120" w:after="120"/>
        <w:rPr>
          <w:rFonts w:asciiTheme="minorHAnsi" w:hAnsiTheme="minorHAnsi" w:cstheme="minorHAnsi"/>
          <w:rtl/>
        </w:rPr>
      </w:pPr>
      <w:r w:rsidRPr="00577563">
        <w:rPr>
          <w:rStyle w:val="FootnoteReference"/>
          <w:rFonts w:asciiTheme="minorHAnsi" w:hAnsiTheme="minorHAnsi" w:cstheme="minorHAnsi"/>
        </w:rPr>
        <w:footnoteRef/>
      </w:r>
      <w:r w:rsidRPr="00577563">
        <w:rPr>
          <w:rFonts w:asciiTheme="minorHAnsi" w:hAnsiTheme="minorHAnsi" w:cstheme="minorHAnsi"/>
          <w:rtl/>
        </w:rPr>
        <w:t xml:space="preserve"> لمزيد من المعلومات حول هذه المسائل وكيفية استخدام التكنولوجيا ضمن هذا الإطار، راجع المناقشة المفيدة في تقرير لجنة الثقافة والإعلام والرياضة بمجلس العموم البريطاني: </w:t>
      </w:r>
      <w:r w:rsidRPr="00577563">
        <w:rPr>
          <w:rFonts w:asciiTheme="minorHAnsi" w:hAnsiTheme="minorHAnsi" w:cstheme="minorHAnsi"/>
          <w:i/>
          <w:iCs/>
          <w:rtl/>
        </w:rPr>
        <w:t xml:space="preserve">الرموز غير القابلة للاستبدال </w:t>
      </w:r>
      <w:r w:rsidRPr="00577563">
        <w:rPr>
          <w:rFonts w:asciiTheme="minorHAnsi" w:hAnsiTheme="minorHAnsi" w:cstheme="minorHAnsi"/>
          <w:i/>
          <w:iCs/>
        </w:rPr>
        <w:t>NFTs</w:t>
      </w:r>
      <w:r w:rsidRPr="00577563">
        <w:rPr>
          <w:rFonts w:asciiTheme="minorHAnsi" w:hAnsiTheme="minorHAnsi" w:cstheme="minorHAnsi"/>
          <w:i/>
          <w:iCs/>
          <w:rtl/>
        </w:rPr>
        <w:t xml:space="preserve"> وسلسلة الكتل </w:t>
      </w:r>
      <w:r w:rsidRPr="00577563">
        <w:rPr>
          <w:rFonts w:asciiTheme="minorHAnsi" w:hAnsiTheme="minorHAnsi" w:cstheme="minorHAnsi"/>
          <w:i/>
          <w:iCs/>
        </w:rPr>
        <w:t>Blockchain</w:t>
      </w:r>
      <w:r w:rsidRPr="00577563">
        <w:rPr>
          <w:rFonts w:asciiTheme="minorHAnsi" w:hAnsiTheme="minorHAnsi" w:cstheme="minorHAnsi"/>
          <w:i/>
          <w:iCs/>
          <w:rtl/>
        </w:rPr>
        <w:t>:</w:t>
      </w:r>
      <w:r w:rsidRPr="00577563">
        <w:rPr>
          <w:rFonts w:asciiTheme="minorHAnsi" w:hAnsiTheme="minorHAnsi" w:cstheme="minorHAnsi"/>
        </w:rPr>
        <w:t xml:space="preserve"> </w:t>
      </w:r>
      <w:r w:rsidRPr="00577563">
        <w:rPr>
          <w:rFonts w:asciiTheme="minorHAnsi" w:hAnsiTheme="minorHAnsi" w:cstheme="minorHAnsi"/>
          <w:i/>
          <w:iCs/>
          <w:rtl/>
        </w:rPr>
        <w:t xml:space="preserve"> المخاطر التي تهدد الرياضة والثقافة</w:t>
      </w:r>
      <w:r w:rsidRPr="00577563">
        <w:rPr>
          <w:rFonts w:asciiTheme="minorHAnsi" w:hAnsiTheme="minorHAnsi" w:cstheme="minorHAnsi"/>
          <w:rtl/>
        </w:rPr>
        <w:t xml:space="preserve"> ، التقرير الرابع عشر للدورة 2022-2023، </w:t>
      </w:r>
      <w:r w:rsidRPr="00577563">
        <w:rPr>
          <w:rFonts w:asciiTheme="minorHAnsi" w:hAnsiTheme="minorHAnsi" w:cstheme="minorHAnsi"/>
          <w:i/>
          <w:iCs/>
          <w:rtl/>
        </w:rPr>
        <w:t>التقرير، إلى جانب المحاضر الرسمية المتعلقة بالتقرير،</w:t>
      </w:r>
      <w:r w:rsidRPr="00577563">
        <w:rPr>
          <w:rFonts w:asciiTheme="minorHAnsi" w:hAnsiTheme="minorHAnsi" w:cstheme="minorHAnsi"/>
          <w:rtl/>
        </w:rPr>
        <w:t xml:space="preserve"> أمر مجلس العموم بطباعته في 19 سبتمبر 2023، الفصل 1، ويرجى الاطلاع أيضًا على الأدلة المكتوبة من جمعية حق المؤلف للتصاميم والفنانين إلى اللجنة، المتوفرة على </w:t>
      </w:r>
      <w:hyperlink r:id="rId6" w:history="1">
        <w:r w:rsidRPr="00577563">
          <w:rPr>
            <w:rStyle w:val="Hyperlink"/>
            <w:rFonts w:asciiTheme="minorHAnsi" w:hAnsiTheme="minorHAnsi" w:cstheme="minorHAnsi"/>
          </w:rPr>
          <w:t xml:space="preserve">https://committees.parliament.uk/writtenevidence/114737/html/ </w:t>
        </w:r>
      </w:hyperlink>
      <w:r w:rsidRPr="00577563">
        <w:rPr>
          <w:rFonts w:asciiTheme="minorHAnsi" w:hAnsiTheme="minorHAnsi" w:cstheme="minorHAnsi"/>
          <w:rtl/>
        </w:rPr>
        <w:t xml:space="preserve"> (تم الاطلاع على الرابط في 2 فبراير 2025)</w:t>
      </w:r>
    </w:p>
  </w:footnote>
  <w:footnote w:id="93">
    <w:p w14:paraId="45542C3D" w14:textId="19C125BF" w:rsidR="008D64F9" w:rsidRPr="00577563" w:rsidRDefault="008D64F9" w:rsidP="008D64F9">
      <w:pPr>
        <w:pStyle w:val="FootnoteText"/>
        <w:spacing w:before="120" w:after="120"/>
        <w:rPr>
          <w:rFonts w:asciiTheme="minorHAnsi" w:hAnsiTheme="minorHAnsi" w:cstheme="minorHAnsi"/>
          <w:rtl/>
        </w:rPr>
      </w:pPr>
      <w:r w:rsidRPr="00577563">
        <w:rPr>
          <w:rStyle w:val="FootnoteReference"/>
          <w:rFonts w:asciiTheme="minorHAnsi" w:hAnsiTheme="minorHAnsi" w:cstheme="minorHAnsi"/>
        </w:rPr>
        <w:footnoteRef/>
      </w:r>
      <w:r w:rsidRPr="00577563">
        <w:rPr>
          <w:rFonts w:asciiTheme="minorHAnsi" w:hAnsiTheme="minorHAnsi" w:cstheme="minorHAnsi"/>
          <w:rtl/>
        </w:rPr>
        <w:t xml:space="preserve"> بالنسبة لهذه المسائل، يرجى الاطلاع أيضًا </w:t>
      </w:r>
      <w:r w:rsidRPr="00577563">
        <w:rPr>
          <w:rFonts w:asciiTheme="minorHAnsi" w:hAnsiTheme="minorHAnsi" w:cstheme="minorHAnsi"/>
          <w:rtl/>
        </w:rPr>
        <w:t>على:  ماريا جراسيا سانتيانو ليناريس، "حفلة وداع للإتاوات":</w:t>
      </w:r>
      <w:r w:rsidRPr="00577563">
        <w:rPr>
          <w:rFonts w:asciiTheme="minorHAnsi" w:hAnsiTheme="minorHAnsi" w:cstheme="minorHAnsi"/>
        </w:rPr>
        <w:t xml:space="preserve"> </w:t>
      </w:r>
      <w:r w:rsidRPr="00577563">
        <w:rPr>
          <w:rFonts w:asciiTheme="minorHAnsi" w:hAnsiTheme="minorHAnsi" w:cstheme="minorHAnsi"/>
          <w:rtl/>
        </w:rPr>
        <w:t xml:space="preserve">"بورصات الرموز غير القابلة للاستبدال تتخلى عن حق الفنانين بالحصول على عائدات"، </w:t>
      </w:r>
      <w:r w:rsidRPr="00577563">
        <w:rPr>
          <w:rFonts w:asciiTheme="minorHAnsi" w:hAnsiTheme="minorHAnsi" w:cstheme="minorHAnsi"/>
          <w:i/>
          <w:iCs/>
          <w:rtl/>
        </w:rPr>
        <w:t>فوربس،</w:t>
      </w:r>
      <w:r w:rsidRPr="00577563">
        <w:rPr>
          <w:rFonts w:asciiTheme="minorHAnsi" w:hAnsiTheme="minorHAnsi" w:cstheme="minorHAnsi"/>
          <w:rtl/>
        </w:rPr>
        <w:t xml:space="preserve"> 17 سبتمبر 2023؛ كما ورد في المذكرة المكتوبة المقدمة من جمعية حق المؤلف للتصاميم والفنانين </w:t>
      </w:r>
      <w:r w:rsidRPr="00577563">
        <w:rPr>
          <w:rFonts w:asciiTheme="minorHAnsi" w:hAnsiTheme="minorHAnsi" w:cstheme="minorHAnsi"/>
        </w:rPr>
        <w:t>DACS</w:t>
      </w:r>
      <w:r w:rsidRPr="00577563">
        <w:rPr>
          <w:rFonts w:asciiTheme="minorHAnsi" w:hAnsiTheme="minorHAnsi" w:cstheme="minorHAnsi"/>
          <w:rtl/>
        </w:rPr>
        <w:t xml:space="preserve"> إلى لجنة</w:t>
      </w:r>
      <w:r w:rsidRPr="004F3D56">
        <w:rPr>
          <w:rFonts w:asciiTheme="minorBidi" w:hAnsiTheme="minorBidi" w:cstheme="minorBidi"/>
          <w:rtl/>
        </w:rPr>
        <w:t xml:space="preserve"> </w:t>
      </w:r>
      <w:r w:rsidRPr="00577563">
        <w:rPr>
          <w:rFonts w:asciiTheme="minorHAnsi" w:hAnsiTheme="minorHAnsi" w:cstheme="minorHAnsi"/>
          <w:rtl/>
        </w:rPr>
        <w:t xml:space="preserve">مجلس العموم البريطاني المذكورة أعلاه والمتاحة على </w:t>
      </w:r>
      <w:hyperlink r:id="rId7" w:history="1">
        <w:r w:rsidRPr="00577563">
          <w:rPr>
            <w:rStyle w:val="Hyperlink"/>
            <w:rFonts w:asciiTheme="minorHAnsi" w:hAnsiTheme="minorHAnsi" w:cstheme="minorHAnsi"/>
          </w:rPr>
          <w:t>https://committees.parliament.uk/writtenevidence/114737/html/</w:t>
        </w:r>
      </w:hyperlink>
      <w:r w:rsidRPr="00577563">
        <w:rPr>
          <w:rFonts w:asciiTheme="minorHAnsi" w:hAnsiTheme="minorHAnsi" w:cstheme="minorHAnsi"/>
          <w:rtl/>
        </w:rPr>
        <w:t xml:space="preserve"> (تم الاطلاع على الرابط في 2 فبراير 2025).</w:t>
      </w:r>
      <w:r w:rsidRPr="00577563">
        <w:rPr>
          <w:rFonts w:asciiTheme="minorHAnsi" w:hAnsiTheme="minorHAnsi" w:cstheme="minorHAnsi"/>
        </w:rPr>
        <w:t xml:space="preserve"> </w:t>
      </w:r>
      <w:r w:rsidRPr="00577563">
        <w:rPr>
          <w:rFonts w:asciiTheme="minorHAnsi" w:hAnsiTheme="minorHAnsi" w:cstheme="minorHAnsi"/>
          <w:rtl/>
        </w:rPr>
        <w:t>لمزيد من المعلومات، يرجى الاطلاع على الفقرة 80 من الجزء الثاني من مجموعة الأدوات هذه.</w:t>
      </w:r>
    </w:p>
  </w:footnote>
  <w:footnote w:id="94">
    <w:p w14:paraId="49320922" w14:textId="77777777" w:rsidR="008D64F9" w:rsidRPr="00577563" w:rsidRDefault="008D64F9" w:rsidP="008D64F9">
      <w:pPr>
        <w:autoSpaceDE w:val="0"/>
        <w:autoSpaceDN w:val="0"/>
        <w:adjustRightInd w:val="0"/>
        <w:spacing w:before="120" w:after="120"/>
        <w:rPr>
          <w:rFonts w:asciiTheme="minorHAnsi" w:eastAsia="Times New Roman" w:hAnsiTheme="minorHAnsi" w:cstheme="minorHAnsi"/>
          <w:sz w:val="18"/>
          <w:szCs w:val="18"/>
          <w:rtl/>
        </w:rPr>
      </w:pPr>
      <w:r w:rsidRPr="00577563">
        <w:rPr>
          <w:rStyle w:val="FootnoteReference"/>
          <w:rFonts w:asciiTheme="minorHAnsi" w:hAnsiTheme="minorHAnsi" w:cstheme="minorHAnsi"/>
          <w:sz w:val="18"/>
          <w:szCs w:val="18"/>
        </w:rPr>
        <w:footnoteRef/>
      </w:r>
      <w:r w:rsidRPr="00577563">
        <w:rPr>
          <w:rFonts w:asciiTheme="minorHAnsi" w:hAnsiTheme="minorHAnsi" w:cstheme="minorHAnsi"/>
          <w:sz w:val="18"/>
          <w:szCs w:val="18"/>
          <w:rtl/>
        </w:rPr>
        <w:t xml:space="preserve"> توجيه المفوضية الأوروبية، المادة 6.2.</w:t>
      </w:r>
    </w:p>
  </w:footnote>
  <w:footnote w:id="95">
    <w:p w14:paraId="1F95498D" w14:textId="77777777" w:rsidR="008D64F9" w:rsidRPr="00577563" w:rsidRDefault="008D64F9" w:rsidP="008D64F9">
      <w:pPr>
        <w:pStyle w:val="FootnoteText"/>
        <w:spacing w:before="120" w:after="120"/>
        <w:rPr>
          <w:rFonts w:asciiTheme="minorHAnsi" w:hAnsiTheme="minorHAnsi" w:cstheme="minorHAnsi"/>
          <w:rtl/>
        </w:rPr>
      </w:pPr>
      <w:r w:rsidRPr="00577563">
        <w:rPr>
          <w:rStyle w:val="FootnoteReference"/>
          <w:rFonts w:asciiTheme="minorHAnsi" w:hAnsiTheme="minorHAnsi" w:cstheme="minorHAnsi"/>
        </w:rPr>
        <w:footnoteRef/>
      </w:r>
      <w:r w:rsidRPr="00577563">
        <w:rPr>
          <w:rFonts w:asciiTheme="minorHAnsi" w:hAnsiTheme="minorHAnsi" w:cstheme="minorHAnsi"/>
          <w:rtl/>
        </w:rPr>
        <w:t xml:space="preserve"> </w:t>
      </w:r>
      <w:r w:rsidRPr="00577563">
        <w:rPr>
          <w:rFonts w:asciiTheme="minorHAnsi" w:hAnsiTheme="minorHAnsi" w:cstheme="minorHAnsi"/>
          <w:rtl/>
        </w:rPr>
        <w:t>المكسيك، القانون الاتحادي بشأن حق لمؤلف لعام 1996، المادة 93 (ثانياً)(2). وينطبق ذاك أيضا على الحقوق الاقتصادية التي تتناولها المادة 29.</w:t>
      </w:r>
    </w:p>
  </w:footnote>
  <w:footnote w:id="96">
    <w:p w14:paraId="3D3364CA" w14:textId="77777777" w:rsidR="008D64F9" w:rsidRPr="00577563" w:rsidRDefault="008D64F9" w:rsidP="008D64F9">
      <w:pPr>
        <w:pStyle w:val="Footnote"/>
        <w:bidi/>
        <w:rPr>
          <w:rFonts w:asciiTheme="minorHAnsi" w:hAnsiTheme="minorHAnsi" w:cstheme="minorHAnsi"/>
          <w:sz w:val="18"/>
          <w:szCs w:val="18"/>
          <w:rtl/>
        </w:rPr>
      </w:pPr>
      <w:r w:rsidRPr="00577563">
        <w:rPr>
          <w:rStyle w:val="FootnoteReference"/>
          <w:rFonts w:asciiTheme="minorHAnsi" w:hAnsiTheme="minorHAnsi" w:cstheme="minorHAnsi"/>
          <w:sz w:val="18"/>
          <w:szCs w:val="18"/>
        </w:rPr>
        <w:footnoteRef/>
      </w:r>
      <w:r w:rsidRPr="00577563">
        <w:rPr>
          <w:rFonts w:asciiTheme="minorHAnsi" w:hAnsiTheme="minorHAnsi" w:cstheme="minorHAnsi"/>
          <w:sz w:val="18"/>
          <w:szCs w:val="18"/>
        </w:rPr>
        <w:t xml:space="preserve"> </w:t>
      </w:r>
      <w:r w:rsidRPr="00577563">
        <w:rPr>
          <w:rFonts w:asciiTheme="minorHAnsi" w:hAnsiTheme="minorHAnsi" w:cstheme="minorHAnsi"/>
          <w:sz w:val="18"/>
          <w:szCs w:val="18"/>
          <w:rtl/>
        </w:rPr>
        <w:t>كما هو وارد في: المملكة المتحدة، لائحة حق التتبع، المادة 3(2).</w:t>
      </w:r>
    </w:p>
  </w:footnote>
  <w:footnote w:id="97">
    <w:p w14:paraId="77AE668E" w14:textId="77777777" w:rsidR="008D64F9" w:rsidRPr="00577563" w:rsidRDefault="008D64F9" w:rsidP="008D64F9">
      <w:pPr>
        <w:pStyle w:val="Footnote"/>
        <w:bidi/>
        <w:rPr>
          <w:rFonts w:asciiTheme="minorHAnsi" w:hAnsiTheme="minorHAnsi" w:cstheme="minorHAnsi"/>
          <w:sz w:val="18"/>
          <w:szCs w:val="18"/>
          <w:rtl/>
        </w:rPr>
      </w:pPr>
      <w:r w:rsidRPr="00577563">
        <w:rPr>
          <w:rStyle w:val="FootnoteReference"/>
          <w:rFonts w:asciiTheme="minorHAnsi" w:hAnsiTheme="minorHAnsi" w:cstheme="minorHAnsi"/>
          <w:sz w:val="18"/>
          <w:szCs w:val="18"/>
        </w:rPr>
        <w:footnoteRef/>
      </w:r>
      <w:r w:rsidRPr="00577563">
        <w:rPr>
          <w:rFonts w:asciiTheme="minorHAnsi" w:hAnsiTheme="minorHAnsi" w:cstheme="minorHAnsi"/>
          <w:sz w:val="18"/>
          <w:szCs w:val="18"/>
        </w:rPr>
        <w:t xml:space="preserve"> </w:t>
      </w:r>
      <w:r w:rsidRPr="00577563">
        <w:rPr>
          <w:rFonts w:asciiTheme="minorHAnsi" w:hAnsiTheme="minorHAnsi" w:cstheme="minorHAnsi"/>
          <w:sz w:val="18"/>
          <w:szCs w:val="18"/>
          <w:rtl/>
        </w:rPr>
        <w:t>كما هو الحال في المكسيك: يرجى الاطلاع على المادة 92(ثانياً)(</w:t>
      </w:r>
      <w:r w:rsidRPr="00577563">
        <w:rPr>
          <w:rFonts w:asciiTheme="minorHAnsi" w:hAnsiTheme="minorHAnsi" w:cstheme="minorHAnsi"/>
          <w:sz w:val="18"/>
          <w:szCs w:val="18"/>
        </w:rPr>
        <w:t>II)</w:t>
      </w:r>
      <w:r w:rsidRPr="00577563">
        <w:rPr>
          <w:rFonts w:asciiTheme="minorHAnsi" w:hAnsiTheme="minorHAnsi" w:cstheme="minorHAnsi"/>
          <w:sz w:val="18"/>
          <w:szCs w:val="18"/>
          <w:rtl/>
        </w:rPr>
        <w:t>، القانون الاتحادي بشأن حق المؤلف لعام 1996. *</w:t>
      </w:r>
    </w:p>
  </w:footnote>
  <w:footnote w:id="98">
    <w:p w14:paraId="78A1593B" w14:textId="77777777" w:rsidR="008D64F9" w:rsidRPr="00577563" w:rsidRDefault="008D64F9" w:rsidP="008D64F9">
      <w:pPr>
        <w:pStyle w:val="Footnote"/>
        <w:bidi/>
        <w:rPr>
          <w:rFonts w:asciiTheme="minorHAnsi" w:hAnsiTheme="minorHAnsi" w:cstheme="minorHAnsi"/>
          <w:sz w:val="18"/>
          <w:szCs w:val="18"/>
          <w:rtl/>
        </w:rPr>
      </w:pPr>
      <w:r w:rsidRPr="00577563">
        <w:rPr>
          <w:rStyle w:val="FootnoteReference"/>
          <w:rFonts w:asciiTheme="minorHAnsi" w:hAnsiTheme="minorHAnsi" w:cstheme="minorHAnsi"/>
          <w:sz w:val="18"/>
          <w:szCs w:val="18"/>
        </w:rPr>
        <w:footnoteRef/>
      </w:r>
      <w:r w:rsidRPr="00577563">
        <w:rPr>
          <w:rFonts w:asciiTheme="minorHAnsi" w:hAnsiTheme="minorHAnsi" w:cstheme="minorHAnsi"/>
          <w:sz w:val="18"/>
          <w:szCs w:val="18"/>
        </w:rPr>
        <w:t xml:space="preserve"> </w:t>
      </w:r>
      <w:r w:rsidRPr="00577563">
        <w:rPr>
          <w:rFonts w:asciiTheme="minorHAnsi" w:hAnsiTheme="minorHAnsi" w:cstheme="minorHAnsi"/>
          <w:sz w:val="18"/>
          <w:szCs w:val="18"/>
          <w:rtl/>
        </w:rPr>
        <w:t>أستراليا، قانون حق التتبع لفناني المصنفات البصرية لعام 2009، المادة 32 (ب).</w:t>
      </w:r>
    </w:p>
  </w:footnote>
  <w:footnote w:id="99">
    <w:p w14:paraId="60E9322E" w14:textId="77777777" w:rsidR="008D64F9" w:rsidRPr="00577563" w:rsidRDefault="008D64F9" w:rsidP="008D64F9">
      <w:pPr>
        <w:pStyle w:val="FootnoteText"/>
        <w:rPr>
          <w:rFonts w:asciiTheme="minorHAnsi" w:hAnsiTheme="minorHAnsi" w:cstheme="minorHAnsi"/>
          <w:rtl/>
          <w:lang w:bidi="ar-SY"/>
        </w:rPr>
      </w:pPr>
      <w:r w:rsidRPr="00577563">
        <w:rPr>
          <w:rStyle w:val="FootnoteReference"/>
          <w:rFonts w:asciiTheme="minorHAnsi" w:hAnsiTheme="minorHAnsi" w:cstheme="minorHAnsi"/>
        </w:rPr>
        <w:footnoteRef/>
      </w:r>
      <w:r w:rsidRPr="00577563">
        <w:rPr>
          <w:rFonts w:asciiTheme="minorHAnsi" w:hAnsiTheme="minorHAnsi" w:cstheme="minorHAnsi"/>
          <w:rtl/>
        </w:rPr>
        <w:t xml:space="preserve"> قد يكون هذا الأمر ذا أهمية في أستراليا حيث يُعرّف "المصنف المؤلف بشكل مشترك" في المادة 10(1) من قانون حق المؤلف لعام 1968 على أنه يعني مصنف "أنتج بالتعاون بين مؤلفين أو أكثر ولا تكون مساهمة كل مؤلف فيه منفصلة عن مساهمة المؤلف الآخر أو مساهمات المؤلفين الآخرين". عبارة "أكثر من فنان واحد" لا تعني بالضرورة أنه كان هناك أي تعاون بينهم، على سبيل المثال قد يكون كل فنان قد ساهم بشيء ما في العمل في أوقات أو أماكن مختلفة.</w:t>
      </w:r>
    </w:p>
  </w:footnote>
  <w:footnote w:id="100">
    <w:p w14:paraId="6D36F164" w14:textId="77777777" w:rsidR="008D64F9" w:rsidRPr="00577563" w:rsidRDefault="008D64F9" w:rsidP="008D64F9">
      <w:pPr>
        <w:pStyle w:val="Default"/>
        <w:bidi/>
        <w:spacing w:before="120" w:after="120"/>
        <w:rPr>
          <w:rFonts w:asciiTheme="minorHAnsi" w:eastAsia="Times New Roman" w:hAnsiTheme="minorHAnsi" w:cstheme="minorHAnsi"/>
          <w:sz w:val="18"/>
          <w:szCs w:val="18"/>
          <w:rtl/>
        </w:rPr>
      </w:pPr>
      <w:r w:rsidRPr="00577563">
        <w:rPr>
          <w:rStyle w:val="FootnoteReference"/>
          <w:rFonts w:asciiTheme="minorHAnsi" w:hAnsiTheme="minorHAnsi" w:cstheme="minorHAnsi"/>
          <w:sz w:val="18"/>
          <w:szCs w:val="18"/>
        </w:rPr>
        <w:footnoteRef/>
      </w:r>
      <w:r w:rsidRPr="00577563">
        <w:rPr>
          <w:rFonts w:asciiTheme="minorHAnsi" w:hAnsiTheme="minorHAnsi" w:cstheme="minorHAnsi"/>
          <w:sz w:val="18"/>
          <w:szCs w:val="18"/>
        </w:rPr>
        <w:t xml:space="preserve"> </w:t>
      </w:r>
      <w:r w:rsidRPr="00577563">
        <w:rPr>
          <w:rFonts w:asciiTheme="minorHAnsi" w:hAnsiTheme="minorHAnsi" w:cstheme="minorHAnsi"/>
          <w:sz w:val="18"/>
          <w:szCs w:val="18"/>
          <w:rtl/>
        </w:rPr>
        <w:t>البرازيل، القانون رقم 9610 الصادر في 19 فبراير 1998، بشأن حق المؤلف والحقوق المجاورة</w:t>
      </w:r>
      <w:r w:rsidRPr="00577563">
        <w:rPr>
          <w:rFonts w:asciiTheme="minorHAnsi" w:hAnsiTheme="minorHAnsi" w:cstheme="minorHAnsi"/>
          <w:color w:val="0000FF"/>
          <w:sz w:val="18"/>
          <w:szCs w:val="18"/>
          <w:rtl/>
        </w:rPr>
        <w:t>،</w:t>
      </w:r>
      <w:r w:rsidRPr="00577563">
        <w:rPr>
          <w:rFonts w:asciiTheme="minorHAnsi" w:hAnsiTheme="minorHAnsi" w:cstheme="minorHAnsi"/>
          <w:sz w:val="18"/>
          <w:szCs w:val="18"/>
        </w:rPr>
        <w:t xml:space="preserve"> </w:t>
      </w:r>
      <w:r w:rsidRPr="00577563">
        <w:rPr>
          <w:rFonts w:asciiTheme="minorHAnsi" w:hAnsiTheme="minorHAnsi" w:cstheme="minorHAnsi"/>
          <w:sz w:val="18"/>
          <w:szCs w:val="18"/>
          <w:rtl/>
        </w:rPr>
        <w:t>المادة 41</w:t>
      </w:r>
    </w:p>
  </w:footnote>
  <w:footnote w:id="101">
    <w:p w14:paraId="6FD76BA2" w14:textId="77777777" w:rsidR="008D64F9" w:rsidRPr="00577563" w:rsidRDefault="008D64F9" w:rsidP="008D64F9">
      <w:pPr>
        <w:pStyle w:val="FootnoteText"/>
        <w:spacing w:before="120" w:after="120"/>
        <w:rPr>
          <w:rFonts w:asciiTheme="minorHAnsi" w:hAnsiTheme="minorHAnsi" w:cstheme="minorHAnsi"/>
          <w:rtl/>
        </w:rPr>
      </w:pPr>
      <w:r w:rsidRPr="00577563">
        <w:rPr>
          <w:rStyle w:val="FootnoteReference"/>
          <w:rFonts w:asciiTheme="minorHAnsi" w:hAnsiTheme="minorHAnsi" w:cstheme="minorHAnsi"/>
        </w:rPr>
        <w:footnoteRef/>
      </w:r>
      <w:r w:rsidRPr="00577563">
        <w:rPr>
          <w:rFonts w:asciiTheme="minorHAnsi" w:hAnsiTheme="minorHAnsi" w:cstheme="minorHAnsi"/>
          <w:rtl/>
        </w:rPr>
        <w:t xml:space="preserve"> المملكة المتحدة، اللوائح التنفيذية بشأن حق التتبع لعام 2006، اللائحة 7(3)-(5).</w:t>
      </w:r>
      <w:r w:rsidRPr="00577563">
        <w:rPr>
          <w:rFonts w:asciiTheme="minorHAnsi" w:hAnsiTheme="minorHAnsi" w:cstheme="minorHAnsi"/>
        </w:rPr>
        <w:t xml:space="preserve"> </w:t>
      </w:r>
    </w:p>
  </w:footnote>
  <w:footnote w:id="102">
    <w:p w14:paraId="36490BAE" w14:textId="77777777" w:rsidR="008D64F9" w:rsidRPr="00577563" w:rsidRDefault="008D64F9" w:rsidP="008D64F9">
      <w:pPr>
        <w:pStyle w:val="Footnote"/>
        <w:bidi/>
        <w:rPr>
          <w:rFonts w:asciiTheme="minorHAnsi" w:hAnsiTheme="minorHAnsi" w:cstheme="minorHAnsi"/>
          <w:sz w:val="18"/>
          <w:szCs w:val="18"/>
          <w:rtl/>
        </w:rPr>
      </w:pPr>
      <w:r w:rsidRPr="00577563">
        <w:rPr>
          <w:rStyle w:val="FootnoteReference"/>
          <w:rFonts w:asciiTheme="minorHAnsi" w:hAnsiTheme="minorHAnsi" w:cstheme="minorHAnsi"/>
          <w:sz w:val="18"/>
          <w:szCs w:val="18"/>
        </w:rPr>
        <w:footnoteRef/>
      </w:r>
      <w:r w:rsidRPr="00577563">
        <w:rPr>
          <w:rFonts w:asciiTheme="minorHAnsi" w:hAnsiTheme="minorHAnsi" w:cstheme="minorHAnsi"/>
          <w:sz w:val="18"/>
          <w:szCs w:val="18"/>
        </w:rPr>
        <w:t xml:space="preserve"> </w:t>
      </w:r>
      <w:r w:rsidRPr="00577563">
        <w:rPr>
          <w:rFonts w:asciiTheme="minorHAnsi" w:hAnsiTheme="minorHAnsi" w:cstheme="minorHAnsi"/>
          <w:sz w:val="18"/>
          <w:szCs w:val="18"/>
          <w:rtl/>
        </w:rPr>
        <w:t>توجيه المفوضية الأوروبية، المادة 1.1.</w:t>
      </w:r>
      <w:r w:rsidRPr="00577563">
        <w:rPr>
          <w:rFonts w:asciiTheme="minorHAnsi" w:hAnsiTheme="minorHAnsi" w:cstheme="minorHAnsi"/>
          <w:sz w:val="18"/>
          <w:szCs w:val="18"/>
        </w:rPr>
        <w:t xml:space="preserve"> </w:t>
      </w:r>
      <w:r w:rsidRPr="00577563">
        <w:rPr>
          <w:rFonts w:asciiTheme="minorHAnsi" w:hAnsiTheme="minorHAnsi" w:cstheme="minorHAnsi"/>
          <w:sz w:val="18"/>
          <w:szCs w:val="18"/>
          <w:rtl/>
        </w:rPr>
        <w:t>يرجى الاطلاع أيض على: كينيا، قانون حق المؤلف لعام 2001، المادة 26د(2)..</w:t>
      </w:r>
    </w:p>
  </w:footnote>
  <w:footnote w:id="103">
    <w:p w14:paraId="2B51E65B" w14:textId="77777777" w:rsidR="008D64F9" w:rsidRPr="00577563" w:rsidRDefault="008D64F9" w:rsidP="008D64F9">
      <w:pPr>
        <w:pStyle w:val="FootnoteText"/>
        <w:rPr>
          <w:rFonts w:asciiTheme="minorHAnsi" w:hAnsiTheme="minorHAnsi" w:cstheme="minorHAnsi"/>
          <w:rtl/>
        </w:rPr>
      </w:pPr>
      <w:r w:rsidRPr="00577563">
        <w:rPr>
          <w:rStyle w:val="FootnoteReference"/>
          <w:rFonts w:asciiTheme="minorHAnsi" w:hAnsiTheme="minorHAnsi" w:cstheme="minorHAnsi"/>
        </w:rPr>
        <w:footnoteRef/>
      </w:r>
      <w:r w:rsidRPr="00577563">
        <w:rPr>
          <w:rFonts w:asciiTheme="minorHAnsi" w:hAnsiTheme="minorHAnsi" w:cstheme="minorHAnsi"/>
          <w:rtl/>
        </w:rPr>
        <w:t xml:space="preserve"> القانون اليوناني 2121/1993، المادة 5.1.</w:t>
      </w:r>
    </w:p>
  </w:footnote>
  <w:footnote w:id="104">
    <w:p w14:paraId="7FFF0A38" w14:textId="77777777" w:rsidR="008D64F9" w:rsidRPr="00577563" w:rsidRDefault="008D64F9" w:rsidP="008D64F9">
      <w:pPr>
        <w:pStyle w:val="Footnote"/>
        <w:bidi/>
        <w:rPr>
          <w:rFonts w:asciiTheme="minorHAnsi" w:hAnsiTheme="minorHAnsi" w:cstheme="minorHAnsi"/>
          <w:sz w:val="18"/>
          <w:szCs w:val="18"/>
          <w:rtl/>
        </w:rPr>
      </w:pPr>
      <w:r w:rsidRPr="00577563">
        <w:rPr>
          <w:rStyle w:val="FootnoteReference"/>
          <w:rFonts w:asciiTheme="minorHAnsi" w:hAnsiTheme="minorHAnsi" w:cstheme="minorHAnsi"/>
          <w:sz w:val="18"/>
          <w:szCs w:val="18"/>
        </w:rPr>
        <w:footnoteRef/>
      </w:r>
      <w:r w:rsidRPr="00577563">
        <w:rPr>
          <w:rFonts w:asciiTheme="minorHAnsi" w:hAnsiTheme="minorHAnsi" w:cstheme="minorHAnsi"/>
          <w:sz w:val="18"/>
          <w:szCs w:val="18"/>
        </w:rPr>
        <w:t xml:space="preserve"> </w:t>
      </w:r>
      <w:r w:rsidRPr="00577563">
        <w:rPr>
          <w:rFonts w:asciiTheme="minorHAnsi" w:hAnsiTheme="minorHAnsi" w:cstheme="minorHAnsi"/>
          <w:sz w:val="18"/>
          <w:szCs w:val="18"/>
          <w:rtl/>
        </w:rPr>
        <w:t>المملكة المتحدة، اللائحة التنفيذية لحق التتبع، المادتان 7 و8.</w:t>
      </w:r>
    </w:p>
  </w:footnote>
  <w:footnote w:id="105">
    <w:p w14:paraId="76380C63" w14:textId="77777777" w:rsidR="008D64F9" w:rsidRPr="00577563" w:rsidRDefault="008D64F9" w:rsidP="008D64F9">
      <w:pPr>
        <w:pStyle w:val="Footnote"/>
        <w:bidi/>
        <w:rPr>
          <w:rFonts w:asciiTheme="minorHAnsi" w:hAnsiTheme="minorHAnsi" w:cstheme="minorHAnsi"/>
          <w:sz w:val="18"/>
          <w:szCs w:val="18"/>
          <w:rtl/>
        </w:rPr>
      </w:pPr>
      <w:r w:rsidRPr="00577563">
        <w:rPr>
          <w:rStyle w:val="FootnoteReference"/>
          <w:rFonts w:asciiTheme="minorHAnsi" w:hAnsiTheme="minorHAnsi" w:cstheme="minorHAnsi"/>
          <w:sz w:val="18"/>
          <w:szCs w:val="18"/>
        </w:rPr>
        <w:footnoteRef/>
      </w:r>
      <w:r w:rsidRPr="00577563">
        <w:rPr>
          <w:rFonts w:asciiTheme="minorHAnsi" w:hAnsiTheme="minorHAnsi" w:cstheme="minorHAnsi"/>
          <w:sz w:val="18"/>
          <w:szCs w:val="18"/>
        </w:rPr>
        <w:t xml:space="preserve"> </w:t>
      </w:r>
      <w:r w:rsidRPr="00577563">
        <w:rPr>
          <w:rFonts w:asciiTheme="minorHAnsi" w:hAnsiTheme="minorHAnsi" w:cstheme="minorHAnsi"/>
          <w:sz w:val="18"/>
          <w:szCs w:val="18"/>
          <w:rtl/>
        </w:rPr>
        <w:t>مقتبس بتصرف من أستراليا، قانون حق إتاوة إعادة البيع لفناني المصنفات البصرية لعام 2009، المادتان 33 و34.</w:t>
      </w:r>
    </w:p>
  </w:footnote>
  <w:footnote w:id="106">
    <w:p w14:paraId="5F403084" w14:textId="77777777" w:rsidR="008D64F9" w:rsidRPr="00577563" w:rsidRDefault="008D64F9" w:rsidP="008D64F9">
      <w:pPr>
        <w:pStyle w:val="FootnoteText"/>
        <w:rPr>
          <w:rFonts w:asciiTheme="minorHAnsi" w:hAnsiTheme="minorHAnsi" w:cstheme="minorHAnsi"/>
          <w:rtl/>
        </w:rPr>
      </w:pPr>
      <w:r w:rsidRPr="00577563">
        <w:rPr>
          <w:rStyle w:val="FootnoteReference"/>
          <w:rFonts w:asciiTheme="minorHAnsi" w:hAnsiTheme="minorHAnsi" w:cstheme="minorHAnsi"/>
        </w:rPr>
        <w:footnoteRef/>
      </w:r>
      <w:r w:rsidRPr="00577563">
        <w:rPr>
          <w:rFonts w:asciiTheme="minorHAnsi" w:hAnsiTheme="minorHAnsi" w:cstheme="minorHAnsi"/>
          <w:rtl/>
        </w:rPr>
        <w:t xml:space="preserve"> لاتفيا، قانون حق المؤلف، 2003 (بصيغته المعدلة)، المادتان 17(1) و(7).</w:t>
      </w:r>
    </w:p>
  </w:footnote>
  <w:footnote w:id="107">
    <w:p w14:paraId="3C923037" w14:textId="77777777" w:rsidR="008D64F9" w:rsidRPr="00577563" w:rsidRDefault="008D64F9" w:rsidP="008D64F9">
      <w:pPr>
        <w:pStyle w:val="FootnoteText"/>
        <w:spacing w:before="120" w:after="120"/>
        <w:rPr>
          <w:rFonts w:asciiTheme="minorHAnsi" w:hAnsiTheme="minorHAnsi" w:cstheme="minorHAnsi"/>
          <w:rtl/>
        </w:rPr>
      </w:pPr>
      <w:r w:rsidRPr="00577563">
        <w:rPr>
          <w:rStyle w:val="FootnoteReference"/>
          <w:rFonts w:asciiTheme="minorHAnsi" w:hAnsiTheme="minorHAnsi" w:cstheme="minorHAnsi"/>
        </w:rPr>
        <w:footnoteRef/>
      </w:r>
      <w:r w:rsidRPr="00577563">
        <w:rPr>
          <w:rFonts w:asciiTheme="minorHAnsi" w:hAnsiTheme="minorHAnsi" w:cstheme="minorHAnsi"/>
          <w:rtl/>
        </w:rPr>
        <w:t xml:space="preserve"> نيوزيلندا، قانون حق التتبع لفناني المصنفات البصرية لعام 2023، المادة 19.</w:t>
      </w:r>
    </w:p>
  </w:footnote>
  <w:footnote w:id="108">
    <w:p w14:paraId="4F5075E9" w14:textId="77777777" w:rsidR="008D64F9" w:rsidRPr="00577563" w:rsidRDefault="008D64F9" w:rsidP="008D64F9">
      <w:pPr>
        <w:pStyle w:val="FootnoteText"/>
        <w:rPr>
          <w:rFonts w:asciiTheme="minorHAnsi" w:hAnsiTheme="minorHAnsi" w:cstheme="minorHAnsi"/>
          <w:rtl/>
          <w:lang w:bidi="ar-SY"/>
        </w:rPr>
      </w:pPr>
      <w:r w:rsidRPr="00577563">
        <w:rPr>
          <w:rStyle w:val="FootnoteReference"/>
          <w:rFonts w:asciiTheme="minorHAnsi" w:hAnsiTheme="minorHAnsi" w:cstheme="minorHAnsi"/>
        </w:rPr>
        <w:footnoteRef/>
      </w:r>
      <w:r w:rsidRPr="00577563">
        <w:rPr>
          <w:rFonts w:asciiTheme="minorHAnsi" w:hAnsiTheme="minorHAnsi" w:cstheme="minorHAnsi"/>
        </w:rPr>
        <w:t xml:space="preserve"> </w:t>
      </w:r>
      <w:r w:rsidRPr="00577563">
        <w:rPr>
          <w:rFonts w:asciiTheme="minorHAnsi" w:hAnsiTheme="minorHAnsi" w:cstheme="minorHAnsi"/>
          <w:rtl/>
        </w:rPr>
        <w:t>نيوزيلندا، اللائحة التنفيذية لقانون حق التتبع لفناني المصنفات البصرية لعام 2024، القاعدتان 14 و15.</w:t>
      </w:r>
    </w:p>
  </w:footnote>
  <w:footnote w:id="109">
    <w:p w14:paraId="5CC853DE" w14:textId="77777777" w:rsidR="008D64F9" w:rsidRPr="009204EA" w:rsidRDefault="008D64F9" w:rsidP="008D64F9">
      <w:pPr>
        <w:pStyle w:val="FootnoteText"/>
        <w:spacing w:before="120" w:after="120"/>
        <w:rPr>
          <w:rFonts w:asciiTheme="minorHAnsi" w:hAnsiTheme="minorHAnsi" w:cstheme="minorHAnsi"/>
          <w:rtl/>
        </w:rPr>
      </w:pPr>
      <w:r w:rsidRPr="009204EA">
        <w:rPr>
          <w:rStyle w:val="FootnoteReference"/>
          <w:rFonts w:asciiTheme="minorHAnsi" w:hAnsiTheme="minorHAnsi" w:cstheme="minorHAnsi"/>
        </w:rPr>
        <w:footnoteRef/>
      </w:r>
      <w:r w:rsidRPr="009204EA">
        <w:rPr>
          <w:rFonts w:asciiTheme="minorHAnsi" w:hAnsiTheme="minorHAnsi" w:cstheme="minorHAnsi"/>
          <w:rtl/>
        </w:rPr>
        <w:t xml:space="preserve"> اللوائح التنفيذية بشأن حق التتبع لعام 2006، اللائحة 10(1) و(3).</w:t>
      </w:r>
      <w:r w:rsidRPr="009204EA">
        <w:rPr>
          <w:rFonts w:asciiTheme="minorHAnsi" w:hAnsiTheme="minorHAnsi" w:cstheme="minorHAnsi"/>
        </w:rPr>
        <w:t xml:space="preserve"> </w:t>
      </w:r>
    </w:p>
  </w:footnote>
  <w:footnote w:id="110">
    <w:p w14:paraId="0C465EE4" w14:textId="77777777" w:rsidR="008D64F9" w:rsidRPr="009204EA" w:rsidRDefault="008D64F9" w:rsidP="008D64F9">
      <w:pPr>
        <w:pStyle w:val="Footnote"/>
        <w:bidi/>
        <w:rPr>
          <w:rFonts w:asciiTheme="minorHAnsi" w:hAnsiTheme="minorHAnsi" w:cstheme="minorHAnsi"/>
          <w:sz w:val="18"/>
          <w:szCs w:val="18"/>
          <w:rtl/>
        </w:rPr>
      </w:pPr>
      <w:r w:rsidRPr="009204EA">
        <w:rPr>
          <w:rStyle w:val="FootnoteReference"/>
          <w:rFonts w:asciiTheme="minorHAnsi" w:hAnsiTheme="minorHAnsi" w:cstheme="minorHAnsi"/>
          <w:sz w:val="18"/>
          <w:szCs w:val="18"/>
        </w:rPr>
        <w:footnoteRef/>
      </w:r>
      <w:r w:rsidRPr="009204EA">
        <w:rPr>
          <w:rFonts w:asciiTheme="minorHAnsi" w:hAnsiTheme="minorHAnsi" w:cstheme="minorHAnsi"/>
          <w:sz w:val="18"/>
          <w:szCs w:val="18"/>
        </w:rPr>
        <w:t xml:space="preserve"> </w:t>
      </w:r>
      <w:r w:rsidRPr="009204EA">
        <w:rPr>
          <w:rFonts w:asciiTheme="minorHAnsi" w:hAnsiTheme="minorHAnsi" w:cstheme="minorHAnsi"/>
          <w:sz w:val="18"/>
          <w:szCs w:val="18"/>
          <w:rtl/>
        </w:rPr>
        <w:t xml:space="preserve">استنادا إلى: السنغال، </w:t>
      </w:r>
      <w:r w:rsidRPr="009204EA">
        <w:rPr>
          <w:rFonts w:asciiTheme="minorHAnsi" w:hAnsiTheme="minorHAnsi" w:cstheme="minorHAnsi"/>
          <w:sz w:val="18"/>
          <w:szCs w:val="18"/>
        </w:rPr>
        <w:t>DÉCRET N° 2015-682 DU 26 MAI 2015 PORTANT APPLICATION DE LA LOI N° 2008-09 DU 25 JANVIER 2008 SUR LE DROIT D’AUTEUR ET LES DROITS VOISINS, Titre VI, article 25(1) and (2</w:t>
      </w:r>
      <w:r w:rsidRPr="009204EA">
        <w:rPr>
          <w:rFonts w:asciiTheme="minorHAnsi" w:hAnsiTheme="minorHAnsi" w:cstheme="minorHAnsi"/>
          <w:sz w:val="18"/>
          <w:szCs w:val="18"/>
          <w:rtl/>
        </w:rPr>
        <w:t>).</w:t>
      </w:r>
      <w:r w:rsidRPr="009204EA">
        <w:rPr>
          <w:rFonts w:asciiTheme="minorHAnsi" w:hAnsiTheme="minorHAnsi" w:cstheme="minorHAnsi"/>
          <w:sz w:val="18"/>
          <w:szCs w:val="18"/>
        </w:rPr>
        <w:t xml:space="preserve"> </w:t>
      </w:r>
      <w:r w:rsidRPr="009204EA">
        <w:rPr>
          <w:rFonts w:asciiTheme="minorHAnsi" w:hAnsiTheme="minorHAnsi" w:cstheme="minorHAnsi"/>
          <w:sz w:val="18"/>
          <w:szCs w:val="18"/>
          <w:rtl/>
        </w:rPr>
        <w:t>ويرجى الاطلاع أيضا على: المرسوم الفرنسي لعام 2007، المادة "ر 122-4" (الفقرة الثانية).</w:t>
      </w:r>
    </w:p>
  </w:footnote>
  <w:footnote w:id="111">
    <w:p w14:paraId="02B3123F" w14:textId="77777777" w:rsidR="008D64F9" w:rsidRPr="009204EA" w:rsidRDefault="008D64F9" w:rsidP="008D64F9">
      <w:pPr>
        <w:pStyle w:val="FootnoteText"/>
        <w:rPr>
          <w:rFonts w:asciiTheme="minorHAnsi" w:hAnsiTheme="minorHAnsi" w:cstheme="minorHAnsi"/>
          <w:rtl/>
        </w:rPr>
      </w:pPr>
      <w:r w:rsidRPr="004F3D56">
        <w:rPr>
          <w:rStyle w:val="FootnoteReference"/>
          <w:rFonts w:asciiTheme="minorBidi" w:hAnsiTheme="minorBidi" w:cstheme="minorBidi"/>
        </w:rPr>
        <w:footnoteRef/>
      </w:r>
      <w:r w:rsidRPr="004F3D56">
        <w:rPr>
          <w:rFonts w:asciiTheme="minorBidi" w:hAnsiTheme="minorBidi" w:cstheme="minorBidi"/>
          <w:rtl/>
        </w:rPr>
        <w:t xml:space="preserve"> </w:t>
      </w:r>
      <w:r w:rsidRPr="009204EA">
        <w:rPr>
          <w:rFonts w:asciiTheme="minorHAnsi" w:hAnsiTheme="minorHAnsi" w:cstheme="minorHAnsi"/>
          <w:rtl/>
        </w:rPr>
        <w:t xml:space="preserve">فرنسا، قانون الملكية الفكرية، المادة "ر 122-4"، الفقرة الأولى.  </w:t>
      </w:r>
    </w:p>
  </w:footnote>
  <w:footnote w:id="112">
    <w:p w14:paraId="2ACF9DF4" w14:textId="77777777" w:rsidR="008D64F9" w:rsidRPr="009204EA" w:rsidRDefault="008D64F9" w:rsidP="008D64F9">
      <w:pPr>
        <w:pStyle w:val="FootnoteText"/>
        <w:rPr>
          <w:rFonts w:asciiTheme="minorHAnsi" w:hAnsiTheme="minorHAnsi" w:cstheme="minorHAnsi"/>
          <w:rtl/>
        </w:rPr>
      </w:pPr>
      <w:r w:rsidRPr="009204EA">
        <w:rPr>
          <w:rStyle w:val="FootnoteReference"/>
          <w:rFonts w:asciiTheme="minorHAnsi" w:hAnsiTheme="minorHAnsi" w:cstheme="minorHAnsi"/>
        </w:rPr>
        <w:footnoteRef/>
      </w:r>
      <w:r w:rsidRPr="009204EA">
        <w:rPr>
          <w:rFonts w:asciiTheme="minorHAnsi" w:hAnsiTheme="minorHAnsi" w:cstheme="minorHAnsi"/>
          <w:rtl/>
        </w:rPr>
        <w:t xml:space="preserve"> توجيه المفوضية الأوروبية، المادة 7.</w:t>
      </w:r>
    </w:p>
  </w:footnote>
  <w:footnote w:id="113">
    <w:p w14:paraId="79EB73C7" w14:textId="77777777" w:rsidR="008D64F9" w:rsidRPr="009204EA" w:rsidRDefault="008D64F9" w:rsidP="008D64F9">
      <w:pPr>
        <w:pStyle w:val="Footnote"/>
        <w:bidi/>
        <w:rPr>
          <w:rFonts w:asciiTheme="minorHAnsi" w:hAnsiTheme="minorHAnsi" w:cstheme="minorHAnsi"/>
          <w:sz w:val="18"/>
          <w:szCs w:val="18"/>
          <w:rtl/>
        </w:rPr>
      </w:pPr>
      <w:r w:rsidRPr="009204EA">
        <w:rPr>
          <w:rStyle w:val="FootnoteReference"/>
          <w:rFonts w:asciiTheme="minorHAnsi" w:hAnsiTheme="minorHAnsi" w:cstheme="minorHAnsi"/>
          <w:sz w:val="18"/>
          <w:szCs w:val="18"/>
        </w:rPr>
        <w:footnoteRef/>
      </w:r>
      <w:r w:rsidRPr="009204EA">
        <w:rPr>
          <w:rFonts w:asciiTheme="minorHAnsi" w:hAnsiTheme="minorHAnsi" w:cstheme="minorHAnsi"/>
          <w:sz w:val="18"/>
          <w:szCs w:val="18"/>
        </w:rPr>
        <w:t xml:space="preserve"> </w:t>
      </w:r>
      <w:r w:rsidRPr="009204EA">
        <w:rPr>
          <w:rFonts w:asciiTheme="minorHAnsi" w:hAnsiTheme="minorHAnsi" w:cstheme="minorHAnsi"/>
          <w:sz w:val="18"/>
          <w:szCs w:val="18"/>
          <w:rtl/>
        </w:rPr>
        <w:t>أستراليا، قانون حق التتبع لفناني المصنفات البصرية لعام 2009، المادتين 13 و14.</w:t>
      </w:r>
    </w:p>
  </w:footnote>
  <w:footnote w:id="114">
    <w:p w14:paraId="58C59DD7" w14:textId="77777777" w:rsidR="008D64F9" w:rsidRPr="009204EA" w:rsidRDefault="008D64F9" w:rsidP="008D64F9">
      <w:pPr>
        <w:pStyle w:val="FootnoteText"/>
        <w:rPr>
          <w:rFonts w:asciiTheme="minorHAnsi" w:hAnsiTheme="minorHAnsi" w:cstheme="minorHAnsi"/>
          <w:rtl/>
        </w:rPr>
      </w:pPr>
      <w:r w:rsidRPr="009204EA">
        <w:rPr>
          <w:rStyle w:val="FootnoteReference"/>
          <w:rFonts w:asciiTheme="minorHAnsi" w:hAnsiTheme="minorHAnsi" w:cstheme="minorHAnsi"/>
        </w:rPr>
        <w:footnoteRef/>
      </w:r>
      <w:r w:rsidRPr="009204EA">
        <w:rPr>
          <w:rFonts w:asciiTheme="minorHAnsi" w:hAnsiTheme="minorHAnsi" w:cstheme="minorHAnsi"/>
          <w:rtl/>
        </w:rPr>
        <w:t xml:space="preserve"> أستراليا، اللوائح التنفيذية بشأن حق التتبع لفناني المصنفات البصرية لعام 2021، اللائحة 6أ.</w:t>
      </w:r>
      <w:r w:rsidRPr="009204EA">
        <w:rPr>
          <w:rFonts w:asciiTheme="minorHAnsi" w:hAnsiTheme="minorHAnsi" w:cstheme="minorHAnsi"/>
          <w:color w:val="000000"/>
        </w:rPr>
        <w:t xml:space="preserve"> </w:t>
      </w:r>
    </w:p>
  </w:footnote>
  <w:footnote w:id="115">
    <w:p w14:paraId="30452762" w14:textId="77777777" w:rsidR="008D64F9" w:rsidRPr="009204EA" w:rsidRDefault="008D64F9" w:rsidP="008D64F9">
      <w:pPr>
        <w:pStyle w:val="FootnoteText"/>
        <w:rPr>
          <w:rFonts w:asciiTheme="minorHAnsi" w:hAnsiTheme="minorHAnsi" w:cstheme="minorHAnsi"/>
          <w:rtl/>
        </w:rPr>
      </w:pPr>
      <w:r w:rsidRPr="009204EA">
        <w:rPr>
          <w:rStyle w:val="FootnoteReference"/>
          <w:rFonts w:asciiTheme="minorHAnsi" w:hAnsiTheme="minorHAnsi" w:cstheme="minorHAnsi"/>
        </w:rPr>
        <w:footnoteRef/>
      </w:r>
      <w:r w:rsidRPr="009204EA">
        <w:rPr>
          <w:rFonts w:asciiTheme="minorHAnsi" w:hAnsiTheme="minorHAnsi" w:cstheme="minorHAnsi"/>
          <w:rtl/>
        </w:rPr>
        <w:t xml:space="preserve"> </w:t>
      </w:r>
      <w:r w:rsidRPr="009204EA">
        <w:rPr>
          <w:rFonts w:asciiTheme="minorHAnsi" w:hAnsiTheme="minorHAnsi" w:cstheme="minorHAnsi"/>
          <w:rtl/>
        </w:rPr>
        <w:t>تمت صياغته ليكون متسقا مع أحكام المادة  14(ثالثا)</w:t>
      </w:r>
      <w:r w:rsidRPr="009204EA">
        <w:rPr>
          <w:rFonts w:asciiTheme="minorHAnsi" w:hAnsiTheme="minorHAnsi" w:cstheme="minorHAnsi"/>
          <w:i/>
          <w:iCs/>
          <w:rtl/>
        </w:rPr>
        <w:t xml:space="preserve"> من اتفاقية برن.</w:t>
      </w:r>
    </w:p>
  </w:footnote>
  <w:footnote w:id="116">
    <w:p w14:paraId="6804B21E" w14:textId="77777777" w:rsidR="008D64F9" w:rsidRPr="009204EA" w:rsidRDefault="008D64F9" w:rsidP="008D64F9">
      <w:pPr>
        <w:pStyle w:val="Footnote"/>
        <w:bidi/>
        <w:rPr>
          <w:rFonts w:asciiTheme="minorHAnsi" w:hAnsiTheme="minorHAnsi" w:cstheme="minorHAnsi"/>
          <w:sz w:val="18"/>
          <w:szCs w:val="18"/>
          <w:rtl/>
        </w:rPr>
      </w:pPr>
      <w:r w:rsidRPr="009204EA">
        <w:rPr>
          <w:rStyle w:val="FootnoteReference"/>
          <w:rFonts w:asciiTheme="minorHAnsi" w:hAnsiTheme="minorHAnsi" w:cstheme="minorHAnsi"/>
          <w:sz w:val="18"/>
          <w:szCs w:val="18"/>
        </w:rPr>
        <w:footnoteRef/>
      </w:r>
      <w:r w:rsidRPr="009204EA">
        <w:rPr>
          <w:rFonts w:asciiTheme="minorHAnsi" w:hAnsiTheme="minorHAnsi" w:cstheme="minorHAnsi"/>
          <w:sz w:val="18"/>
          <w:szCs w:val="18"/>
          <w:rtl/>
        </w:rPr>
        <w:t xml:space="preserve"> توجيه المفوضية الأوروبية، المادة 6.1.</w:t>
      </w:r>
    </w:p>
  </w:footnote>
  <w:footnote w:id="117">
    <w:p w14:paraId="173208BC" w14:textId="77777777" w:rsidR="008D64F9" w:rsidRPr="009204EA" w:rsidRDefault="008D64F9" w:rsidP="008D64F9">
      <w:pPr>
        <w:pStyle w:val="Default"/>
        <w:bidi/>
        <w:rPr>
          <w:rFonts w:asciiTheme="minorHAnsi" w:hAnsiTheme="minorHAnsi" w:cstheme="minorHAnsi"/>
          <w:sz w:val="18"/>
          <w:szCs w:val="18"/>
          <w:rtl/>
        </w:rPr>
      </w:pPr>
      <w:r w:rsidRPr="009204EA">
        <w:rPr>
          <w:rStyle w:val="FootnoteReference"/>
          <w:rFonts w:asciiTheme="minorHAnsi" w:hAnsiTheme="minorHAnsi" w:cstheme="minorHAnsi"/>
          <w:sz w:val="18"/>
          <w:szCs w:val="18"/>
        </w:rPr>
        <w:footnoteRef/>
      </w:r>
      <w:r w:rsidRPr="009204EA">
        <w:rPr>
          <w:rFonts w:asciiTheme="minorHAnsi" w:hAnsiTheme="minorHAnsi" w:cstheme="minorHAnsi"/>
          <w:sz w:val="18"/>
          <w:szCs w:val="18"/>
          <w:rtl/>
        </w:rPr>
        <w:t xml:space="preserve"> المكسيك، القانون الاتحادي بشأن حق المؤلف لعام 1997، المادة 92(ثانياً).</w:t>
      </w:r>
      <w:r w:rsidRPr="009204EA">
        <w:rPr>
          <w:rFonts w:asciiTheme="minorHAnsi" w:hAnsiTheme="minorHAnsi" w:cstheme="minorHAnsi"/>
          <w:i/>
          <w:iCs/>
          <w:sz w:val="18"/>
          <w:szCs w:val="18"/>
        </w:rPr>
        <w:t xml:space="preserve"> </w:t>
      </w:r>
      <w:r w:rsidRPr="009204EA">
        <w:rPr>
          <w:rFonts w:asciiTheme="minorHAnsi" w:hAnsiTheme="minorHAnsi" w:cstheme="minorHAnsi"/>
          <w:sz w:val="18"/>
          <w:szCs w:val="18"/>
          <w:rtl/>
        </w:rPr>
        <w:t xml:space="preserve">للاطلاع على حكم مماثل، راجع </w:t>
      </w:r>
      <w:r w:rsidRPr="009204EA">
        <w:rPr>
          <w:rFonts w:asciiTheme="minorHAnsi" w:hAnsiTheme="minorHAnsi" w:cstheme="minorHAnsi"/>
          <w:sz w:val="18"/>
          <w:szCs w:val="18"/>
          <w:rtl/>
        </w:rPr>
        <w:t>قانون حق المؤلف اللاتفي رقم 203 (بصيغته المعدلة)، المادة 17(9):</w:t>
      </w:r>
      <w:r w:rsidRPr="009204EA">
        <w:rPr>
          <w:rFonts w:asciiTheme="minorHAnsi" w:hAnsiTheme="minorHAnsi" w:cstheme="minorHAnsi"/>
          <w:sz w:val="18"/>
          <w:szCs w:val="18"/>
        </w:rPr>
        <w:t xml:space="preserve"> </w:t>
      </w:r>
    </w:p>
    <w:p w14:paraId="7585D3FC" w14:textId="77777777" w:rsidR="008D64F9" w:rsidRPr="009204EA" w:rsidRDefault="008D64F9" w:rsidP="008D64F9">
      <w:pPr>
        <w:pStyle w:val="Default"/>
        <w:bidi/>
        <w:ind w:left="567"/>
        <w:rPr>
          <w:rFonts w:asciiTheme="minorHAnsi" w:hAnsiTheme="minorHAnsi" w:cstheme="minorHAnsi"/>
          <w:sz w:val="18"/>
          <w:szCs w:val="18"/>
          <w:rtl/>
        </w:rPr>
      </w:pPr>
      <w:r w:rsidRPr="009204EA">
        <w:rPr>
          <w:rFonts w:asciiTheme="minorHAnsi" w:hAnsiTheme="minorHAnsi" w:cstheme="minorHAnsi"/>
          <w:color w:val="414142"/>
          <w:sz w:val="18"/>
          <w:szCs w:val="18"/>
          <w:rtl/>
        </w:rPr>
        <w:t>بعد وفاة المؤلف تنتقل الحقوق المنصوص عليها في هذا القسم إلى ورثته.</w:t>
      </w:r>
    </w:p>
  </w:footnote>
  <w:footnote w:id="118">
    <w:p w14:paraId="2A225386" w14:textId="77777777" w:rsidR="008D64F9" w:rsidRPr="009204EA" w:rsidRDefault="008D64F9" w:rsidP="008D64F9">
      <w:pPr>
        <w:pStyle w:val="Footnote"/>
        <w:bidi/>
        <w:rPr>
          <w:rFonts w:asciiTheme="minorHAnsi" w:hAnsiTheme="minorHAnsi" w:cstheme="minorHAnsi"/>
          <w:sz w:val="18"/>
          <w:szCs w:val="18"/>
          <w:rtl/>
        </w:rPr>
      </w:pPr>
      <w:r w:rsidRPr="009204EA">
        <w:rPr>
          <w:rStyle w:val="FootnoteReference"/>
          <w:rFonts w:asciiTheme="minorHAnsi" w:hAnsiTheme="minorHAnsi" w:cstheme="minorHAnsi"/>
          <w:sz w:val="18"/>
          <w:szCs w:val="18"/>
        </w:rPr>
        <w:footnoteRef/>
      </w:r>
      <w:r w:rsidRPr="009204EA">
        <w:rPr>
          <w:rFonts w:asciiTheme="minorHAnsi" w:hAnsiTheme="minorHAnsi" w:cstheme="minorHAnsi"/>
          <w:sz w:val="18"/>
          <w:szCs w:val="18"/>
        </w:rPr>
        <w:t xml:space="preserve"> </w:t>
      </w:r>
      <w:r w:rsidRPr="009204EA">
        <w:rPr>
          <w:rFonts w:asciiTheme="minorHAnsi" w:hAnsiTheme="minorHAnsi" w:cstheme="minorHAnsi"/>
          <w:sz w:val="18"/>
          <w:szCs w:val="18"/>
          <w:rtl/>
        </w:rPr>
        <w:t>لمزيد من المعلومات، يرجى الاطلاع أيضا على اللوائح التنفيذية بشأن حق التتبع في المملكة المتحدة، اللائحة 9.</w:t>
      </w:r>
    </w:p>
  </w:footnote>
  <w:footnote w:id="119">
    <w:p w14:paraId="2FA8C364" w14:textId="0260DBBE" w:rsidR="008D64F9" w:rsidRPr="004F3D56" w:rsidRDefault="008D64F9" w:rsidP="009204EA">
      <w:pPr>
        <w:autoSpaceDE w:val="0"/>
        <w:autoSpaceDN w:val="0"/>
        <w:adjustRightInd w:val="0"/>
        <w:rPr>
          <w:rFonts w:asciiTheme="minorBidi" w:hAnsiTheme="minorBidi" w:cstheme="minorBidi"/>
          <w:szCs w:val="18"/>
          <w:lang w:val="en-AU"/>
        </w:rPr>
      </w:pPr>
      <w:r w:rsidRPr="009204EA">
        <w:rPr>
          <w:rStyle w:val="FootnoteReference"/>
          <w:rFonts w:asciiTheme="minorHAnsi" w:hAnsiTheme="minorHAnsi" w:cstheme="minorHAnsi"/>
          <w:sz w:val="18"/>
          <w:szCs w:val="18"/>
        </w:rPr>
        <w:footnoteRef/>
      </w:r>
      <w:r w:rsidRPr="009204EA">
        <w:rPr>
          <w:rFonts w:asciiTheme="minorHAnsi" w:hAnsiTheme="minorHAnsi" w:cstheme="minorHAnsi"/>
          <w:sz w:val="18"/>
          <w:szCs w:val="18"/>
          <w:rtl/>
        </w:rPr>
        <w:t xml:space="preserve"> نيوزيلندا، قانون حق التتبع لفناني المصنفات البصرية لعام 2023، الجزء 2، المادة 14.</w:t>
      </w:r>
    </w:p>
  </w:footnote>
  <w:footnote w:id="120">
    <w:p w14:paraId="785C9C62" w14:textId="77777777" w:rsidR="008D64F9" w:rsidRPr="009204EA" w:rsidRDefault="008D64F9" w:rsidP="008D64F9">
      <w:pPr>
        <w:pStyle w:val="Footnote"/>
        <w:bidi/>
        <w:rPr>
          <w:rFonts w:asciiTheme="minorHAnsi" w:hAnsiTheme="minorHAnsi" w:cstheme="minorHAnsi"/>
          <w:sz w:val="18"/>
          <w:szCs w:val="18"/>
          <w:rtl/>
        </w:rPr>
      </w:pPr>
      <w:r w:rsidRPr="009204EA">
        <w:rPr>
          <w:rStyle w:val="FootnoteReference"/>
          <w:rFonts w:asciiTheme="minorHAnsi" w:hAnsiTheme="minorHAnsi" w:cstheme="minorHAnsi"/>
          <w:sz w:val="18"/>
          <w:szCs w:val="18"/>
        </w:rPr>
        <w:footnoteRef/>
      </w:r>
      <w:r w:rsidRPr="009204EA">
        <w:rPr>
          <w:rFonts w:asciiTheme="minorHAnsi" w:hAnsiTheme="minorHAnsi" w:cstheme="minorHAnsi"/>
          <w:sz w:val="18"/>
          <w:szCs w:val="18"/>
        </w:rPr>
        <w:t xml:space="preserve"> </w:t>
      </w:r>
      <w:r w:rsidRPr="009204EA">
        <w:rPr>
          <w:rFonts w:asciiTheme="minorHAnsi" w:hAnsiTheme="minorHAnsi" w:cstheme="minorHAnsi"/>
          <w:sz w:val="18"/>
          <w:szCs w:val="18"/>
          <w:rtl/>
        </w:rPr>
        <w:t>أستراليا، قانون حق التتبع لفناني المصنفات البصرية لعام 2009، المادتين 13 و15.</w:t>
      </w:r>
    </w:p>
  </w:footnote>
  <w:footnote w:id="121">
    <w:p w14:paraId="13E85045" w14:textId="77777777" w:rsidR="008D64F9" w:rsidRPr="009204EA" w:rsidRDefault="008D64F9" w:rsidP="008D64F9">
      <w:pPr>
        <w:pStyle w:val="FootnoteText"/>
        <w:rPr>
          <w:rFonts w:asciiTheme="minorHAnsi" w:hAnsiTheme="minorHAnsi" w:cstheme="minorHAnsi"/>
          <w:rtl/>
        </w:rPr>
      </w:pPr>
      <w:r w:rsidRPr="009204EA">
        <w:rPr>
          <w:rStyle w:val="FootnoteReference"/>
          <w:rFonts w:asciiTheme="minorHAnsi" w:hAnsiTheme="minorHAnsi" w:cstheme="minorHAnsi"/>
        </w:rPr>
        <w:footnoteRef/>
      </w:r>
      <w:r w:rsidRPr="009204EA">
        <w:rPr>
          <w:rFonts w:asciiTheme="minorHAnsi" w:hAnsiTheme="minorHAnsi" w:cstheme="minorHAnsi"/>
          <w:rtl/>
        </w:rPr>
        <w:t xml:space="preserve"> المملكة المتحدة، اللوائح التنفيذية بشأن حق التتبع لعام 2006، اللائحة 5..</w:t>
      </w:r>
    </w:p>
  </w:footnote>
  <w:footnote w:id="122">
    <w:p w14:paraId="525C1380" w14:textId="77777777" w:rsidR="008D64F9" w:rsidRPr="009204EA" w:rsidRDefault="008D64F9" w:rsidP="008D64F9">
      <w:pPr>
        <w:pStyle w:val="FootnoteText"/>
        <w:rPr>
          <w:rFonts w:asciiTheme="minorHAnsi" w:hAnsiTheme="minorHAnsi" w:cstheme="minorHAnsi"/>
          <w:rtl/>
        </w:rPr>
      </w:pPr>
      <w:r w:rsidRPr="009204EA">
        <w:rPr>
          <w:rStyle w:val="FootnoteReference"/>
          <w:rFonts w:asciiTheme="minorHAnsi" w:hAnsiTheme="minorHAnsi" w:cstheme="minorHAnsi"/>
        </w:rPr>
        <w:footnoteRef/>
      </w:r>
      <w:r w:rsidRPr="009204EA">
        <w:rPr>
          <w:rFonts w:asciiTheme="minorHAnsi" w:hAnsiTheme="minorHAnsi" w:cstheme="minorHAnsi"/>
          <w:rtl/>
        </w:rPr>
        <w:t xml:space="preserve">  يرجى الاطلاع، على سبيل المثال، على قانون حق المؤلف الكيني لعام 2001، المادة 2(1) (التعريف):</w:t>
      </w:r>
      <w:r w:rsidRPr="009204EA">
        <w:rPr>
          <w:rFonts w:asciiTheme="minorHAnsi" w:hAnsiTheme="minorHAnsi" w:cstheme="minorHAnsi"/>
        </w:rPr>
        <w:t xml:space="preserve"> </w:t>
      </w:r>
    </w:p>
    <w:p w14:paraId="3164E453" w14:textId="77777777" w:rsidR="008D64F9" w:rsidRPr="009204EA" w:rsidRDefault="008D64F9" w:rsidP="008D64F9">
      <w:pPr>
        <w:pStyle w:val="FootnoteText"/>
        <w:ind w:left="567"/>
        <w:rPr>
          <w:rFonts w:asciiTheme="minorHAnsi" w:hAnsiTheme="minorHAnsi" w:cstheme="minorHAnsi"/>
          <w:rtl/>
        </w:rPr>
      </w:pPr>
      <w:r w:rsidRPr="009204EA">
        <w:rPr>
          <w:rFonts w:asciiTheme="minorHAnsi" w:hAnsiTheme="minorHAnsi" w:cstheme="minorHAnsi"/>
          <w:rtl/>
        </w:rPr>
        <w:t xml:space="preserve">" </w:t>
      </w:r>
      <w:r w:rsidRPr="009204EA">
        <w:rPr>
          <w:rFonts w:asciiTheme="minorHAnsi" w:hAnsiTheme="minorHAnsi" w:cstheme="minorHAnsi"/>
          <w:color w:val="030303"/>
          <w:rtl/>
        </w:rPr>
        <w:t>المصنف المشترك التأليف" هو المصنف الذي تم إنتاجه من خلال التعاون بين مؤلفَيْن أو أكثر وبحيث لا يمكن فصل مساهمة كل مؤلف عن مساهمة المؤلف الآخر أو المؤلفين الآخرين</w:t>
      </w:r>
      <w:r w:rsidRPr="009204EA">
        <w:rPr>
          <w:rFonts w:asciiTheme="minorHAnsi" w:hAnsiTheme="minorHAnsi" w:cstheme="minorHAnsi"/>
          <w:rtl/>
        </w:rPr>
        <w:t>.</w:t>
      </w:r>
    </w:p>
  </w:footnote>
  <w:footnote w:id="123">
    <w:p w14:paraId="0698214B" w14:textId="77777777" w:rsidR="008D64F9" w:rsidRPr="009204EA" w:rsidRDefault="008D64F9" w:rsidP="008D64F9">
      <w:pPr>
        <w:pStyle w:val="FootnoteText"/>
        <w:rPr>
          <w:rFonts w:asciiTheme="minorHAnsi" w:hAnsiTheme="minorHAnsi" w:cstheme="minorHAnsi"/>
          <w:rtl/>
        </w:rPr>
      </w:pPr>
      <w:r w:rsidRPr="009204EA">
        <w:rPr>
          <w:rStyle w:val="FootnoteReference"/>
          <w:rFonts w:asciiTheme="minorHAnsi" w:hAnsiTheme="minorHAnsi" w:cstheme="minorHAnsi"/>
        </w:rPr>
        <w:footnoteRef/>
      </w:r>
      <w:r w:rsidRPr="009204EA">
        <w:rPr>
          <w:rFonts w:asciiTheme="minorHAnsi" w:hAnsiTheme="minorHAnsi" w:cstheme="minorHAnsi"/>
          <w:rtl/>
        </w:rPr>
        <w:t xml:space="preserve"> أستراليا، قانون حق التتبع لفناني المصنفات البصرية لعام 2009، المادة 16.</w:t>
      </w:r>
      <w:r w:rsidRPr="009204EA">
        <w:rPr>
          <w:rFonts w:asciiTheme="minorHAnsi" w:hAnsiTheme="minorHAnsi" w:cstheme="minorHAnsi"/>
        </w:rPr>
        <w:t xml:space="preserve"> </w:t>
      </w:r>
    </w:p>
  </w:footnote>
  <w:footnote w:id="124">
    <w:p w14:paraId="1541E542" w14:textId="77777777" w:rsidR="008D64F9" w:rsidRPr="009204EA" w:rsidRDefault="008D64F9" w:rsidP="008D64F9">
      <w:pPr>
        <w:pStyle w:val="FootnoteText"/>
        <w:rPr>
          <w:rFonts w:asciiTheme="minorHAnsi" w:hAnsiTheme="minorHAnsi" w:cstheme="minorHAnsi"/>
          <w:rtl/>
        </w:rPr>
      </w:pPr>
      <w:r w:rsidRPr="009204EA">
        <w:rPr>
          <w:rStyle w:val="FootnoteReference"/>
          <w:rFonts w:asciiTheme="minorHAnsi" w:hAnsiTheme="minorHAnsi" w:cstheme="minorHAnsi"/>
        </w:rPr>
        <w:footnoteRef/>
      </w:r>
      <w:r w:rsidRPr="009204EA">
        <w:rPr>
          <w:rFonts w:asciiTheme="minorHAnsi" w:hAnsiTheme="minorHAnsi" w:cstheme="minorHAnsi"/>
          <w:rtl/>
        </w:rPr>
        <w:t xml:space="preserve"> نيوزيلندا، قانون حق التتبع لفناني المصنفات البصرية لعام 2023، المادة 12.</w:t>
      </w:r>
    </w:p>
  </w:footnote>
  <w:footnote w:id="125">
    <w:p w14:paraId="1C04D27F" w14:textId="77777777" w:rsidR="008D64F9" w:rsidRPr="009204EA" w:rsidRDefault="008D64F9" w:rsidP="008D64F9">
      <w:pPr>
        <w:pStyle w:val="Footnote"/>
        <w:bidi/>
        <w:rPr>
          <w:rFonts w:asciiTheme="minorHAnsi" w:hAnsiTheme="minorHAnsi" w:cstheme="minorHAnsi"/>
          <w:sz w:val="18"/>
          <w:szCs w:val="18"/>
          <w:rtl/>
        </w:rPr>
      </w:pPr>
      <w:r w:rsidRPr="009204EA">
        <w:rPr>
          <w:rStyle w:val="FootnoteReference"/>
          <w:rFonts w:asciiTheme="minorHAnsi" w:hAnsiTheme="minorHAnsi" w:cstheme="minorHAnsi"/>
          <w:sz w:val="18"/>
          <w:szCs w:val="18"/>
        </w:rPr>
        <w:footnoteRef/>
      </w:r>
      <w:r w:rsidRPr="009204EA">
        <w:rPr>
          <w:rFonts w:asciiTheme="minorHAnsi" w:hAnsiTheme="minorHAnsi" w:cstheme="minorHAnsi"/>
          <w:sz w:val="18"/>
          <w:szCs w:val="18"/>
        </w:rPr>
        <w:t xml:space="preserve"> </w:t>
      </w:r>
      <w:r w:rsidRPr="009204EA">
        <w:rPr>
          <w:rFonts w:asciiTheme="minorHAnsi" w:hAnsiTheme="minorHAnsi" w:cstheme="minorHAnsi"/>
          <w:sz w:val="18"/>
          <w:szCs w:val="18"/>
          <w:rtl/>
        </w:rPr>
        <w:t>مستمد من المادة 26د(5)، قانون حق المؤلف الكيني لعام 2001 (يتناول "الفنان" وليس "المؤلف").</w:t>
      </w:r>
      <w:r w:rsidRPr="009204EA">
        <w:rPr>
          <w:rFonts w:asciiTheme="minorHAnsi" w:hAnsiTheme="minorHAnsi" w:cstheme="minorHAnsi"/>
          <w:sz w:val="18"/>
          <w:szCs w:val="18"/>
        </w:rPr>
        <w:t xml:space="preserve"> </w:t>
      </w:r>
    </w:p>
  </w:footnote>
  <w:footnote w:id="126">
    <w:p w14:paraId="000C0A7D" w14:textId="77777777" w:rsidR="008D64F9" w:rsidRPr="009204EA" w:rsidRDefault="008D64F9" w:rsidP="008D64F9">
      <w:pPr>
        <w:pStyle w:val="Footnote"/>
        <w:bidi/>
        <w:rPr>
          <w:rFonts w:asciiTheme="minorHAnsi" w:hAnsiTheme="minorHAnsi" w:cstheme="minorHAnsi"/>
          <w:sz w:val="18"/>
          <w:szCs w:val="18"/>
          <w:rtl/>
        </w:rPr>
      </w:pPr>
      <w:r w:rsidRPr="009204EA">
        <w:rPr>
          <w:rStyle w:val="FootnoteReference"/>
          <w:rFonts w:asciiTheme="minorHAnsi" w:hAnsiTheme="minorHAnsi" w:cstheme="minorHAnsi"/>
          <w:sz w:val="18"/>
          <w:szCs w:val="18"/>
        </w:rPr>
        <w:footnoteRef/>
      </w:r>
      <w:r w:rsidRPr="009204EA">
        <w:rPr>
          <w:rFonts w:asciiTheme="minorHAnsi" w:hAnsiTheme="minorHAnsi" w:cstheme="minorHAnsi"/>
          <w:sz w:val="18"/>
          <w:szCs w:val="18"/>
        </w:rPr>
        <w:t xml:space="preserve"> </w:t>
      </w:r>
      <w:r w:rsidRPr="009204EA">
        <w:rPr>
          <w:rFonts w:asciiTheme="minorHAnsi" w:hAnsiTheme="minorHAnsi" w:cstheme="minorHAnsi"/>
          <w:sz w:val="18"/>
          <w:szCs w:val="18"/>
          <w:rtl/>
        </w:rPr>
        <w:t>المملكة المتحدة، اللوائح التنفيذية بشأن حق التتبع لعام 2006، اللائحة 6..</w:t>
      </w:r>
    </w:p>
  </w:footnote>
  <w:footnote w:id="127">
    <w:p w14:paraId="68FB014C" w14:textId="77777777" w:rsidR="008D64F9" w:rsidRPr="009204EA" w:rsidRDefault="008D64F9" w:rsidP="008D64F9">
      <w:pPr>
        <w:pStyle w:val="Footnote"/>
        <w:bidi/>
        <w:jc w:val="left"/>
        <w:rPr>
          <w:rFonts w:asciiTheme="minorHAnsi" w:hAnsiTheme="minorHAnsi" w:cstheme="minorHAnsi"/>
          <w:sz w:val="18"/>
          <w:szCs w:val="18"/>
          <w:rtl/>
        </w:rPr>
      </w:pPr>
      <w:r w:rsidRPr="009204EA">
        <w:rPr>
          <w:rStyle w:val="FootnoteReference"/>
          <w:rFonts w:asciiTheme="minorHAnsi" w:hAnsiTheme="minorHAnsi" w:cstheme="minorHAnsi"/>
          <w:sz w:val="18"/>
          <w:szCs w:val="18"/>
        </w:rPr>
        <w:footnoteRef/>
      </w:r>
      <w:r w:rsidRPr="009204EA">
        <w:rPr>
          <w:rFonts w:asciiTheme="minorHAnsi" w:hAnsiTheme="minorHAnsi" w:cstheme="minorHAnsi"/>
          <w:sz w:val="18"/>
          <w:szCs w:val="18"/>
          <w:rtl/>
        </w:rPr>
        <w:t xml:space="preserve"> أستراليا، قانون حق التتبع لفناني المصنفات البصرية لعام 2009، المادة 17.</w:t>
      </w:r>
    </w:p>
  </w:footnote>
  <w:footnote w:id="128">
    <w:p w14:paraId="006DC10B" w14:textId="77777777" w:rsidR="008D64F9" w:rsidRPr="003C4F15" w:rsidRDefault="008D64F9" w:rsidP="008D64F9">
      <w:pPr>
        <w:pStyle w:val="Footnote"/>
        <w:bidi/>
        <w:rPr>
          <w:rFonts w:asciiTheme="minorHAnsi" w:hAnsiTheme="minorHAnsi" w:cstheme="minorHAnsi"/>
          <w:sz w:val="18"/>
          <w:szCs w:val="18"/>
          <w:rtl/>
        </w:rPr>
      </w:pPr>
      <w:r w:rsidRPr="003C4F15">
        <w:rPr>
          <w:rStyle w:val="FootnoteReference"/>
          <w:rFonts w:asciiTheme="minorHAnsi" w:hAnsiTheme="minorHAnsi" w:cstheme="minorHAnsi"/>
          <w:sz w:val="18"/>
          <w:szCs w:val="18"/>
        </w:rPr>
        <w:footnoteRef/>
      </w:r>
      <w:r w:rsidRPr="003C4F15">
        <w:rPr>
          <w:rFonts w:asciiTheme="minorHAnsi" w:hAnsiTheme="minorHAnsi" w:cstheme="minorHAnsi"/>
          <w:sz w:val="18"/>
          <w:szCs w:val="18"/>
        </w:rPr>
        <w:t xml:space="preserve"> </w:t>
      </w:r>
      <w:r w:rsidRPr="003C4F15">
        <w:rPr>
          <w:rFonts w:asciiTheme="minorHAnsi" w:hAnsiTheme="minorHAnsi" w:cstheme="minorHAnsi"/>
          <w:sz w:val="18"/>
          <w:szCs w:val="18"/>
          <w:rtl/>
        </w:rPr>
        <w:t>استناداً إلى توجيه المفوضية الأوروبية، المادة 9.</w:t>
      </w:r>
    </w:p>
  </w:footnote>
  <w:footnote w:id="129">
    <w:p w14:paraId="0D936A7D" w14:textId="77777777" w:rsidR="008D64F9" w:rsidRPr="003C4F15" w:rsidRDefault="008D64F9" w:rsidP="008D64F9">
      <w:pPr>
        <w:pStyle w:val="FootnoteText"/>
        <w:rPr>
          <w:rFonts w:asciiTheme="minorHAnsi" w:hAnsiTheme="minorHAnsi" w:cstheme="minorHAnsi"/>
        </w:rPr>
      </w:pPr>
      <w:r w:rsidRPr="003C4F15">
        <w:rPr>
          <w:rStyle w:val="FootnoteReference"/>
          <w:rFonts w:asciiTheme="minorHAnsi" w:hAnsiTheme="minorHAnsi" w:cstheme="minorHAnsi"/>
        </w:rPr>
        <w:footnoteRef/>
      </w:r>
      <w:r w:rsidRPr="003C4F15">
        <w:rPr>
          <w:rFonts w:asciiTheme="minorHAnsi" w:hAnsiTheme="minorHAnsi" w:cstheme="minorHAnsi"/>
          <w:rtl/>
        </w:rPr>
        <w:t xml:space="preserve"> </w:t>
      </w:r>
      <w:r w:rsidRPr="003C4F15">
        <w:rPr>
          <w:rFonts w:asciiTheme="minorHAnsi" w:hAnsiTheme="minorHAnsi" w:cstheme="minorHAnsi"/>
          <w:rtl/>
        </w:rPr>
        <w:t>يرجى الاطلاع على ريكتسون وجينسبيرج،  [6.136-6.137].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C6FA1" w14:textId="50AF596C" w:rsidR="00D07C78" w:rsidRPr="002326AB" w:rsidRDefault="003C4F15" w:rsidP="00AB6BAA">
    <w:pPr>
      <w:bidi w:val="0"/>
      <w:rPr>
        <w:caps/>
      </w:rPr>
    </w:pPr>
    <w:bookmarkStart w:id="10" w:name="Code2"/>
    <w:bookmarkEnd w:id="10"/>
    <w:r>
      <w:t>SCCR/43/INF/2 Rev</w:t>
    </w:r>
    <w:r w:rsidR="00B96ED2">
      <w:t>.</w:t>
    </w:r>
  </w:p>
  <w:p w14:paraId="2243786A" w14:textId="77777777" w:rsidR="00D07C78" w:rsidRDefault="00D07C78" w:rsidP="00210D5F">
    <w:pPr>
      <w:bidi w:val="0"/>
    </w:pPr>
    <w:r>
      <w:fldChar w:fldCharType="begin"/>
    </w:r>
    <w:r>
      <w:instrText xml:space="preserve"> PAGE  \* MERGEFORMAT </w:instrText>
    </w:r>
    <w:r>
      <w:fldChar w:fldCharType="separate"/>
    </w:r>
    <w:r w:rsidR="00F82FE6">
      <w:rPr>
        <w:noProof/>
      </w:rPr>
      <w:t>2</w:t>
    </w:r>
    <w:r>
      <w:fldChar w:fldCharType="end"/>
    </w:r>
  </w:p>
  <w:p w14:paraId="116F36FA" w14:textId="77777777" w:rsidR="00D07C78" w:rsidRDefault="00D07C78" w:rsidP="00210D5F">
    <w:pPr>
      <w:bidi w:val="0"/>
    </w:pPr>
  </w:p>
  <w:p w14:paraId="729CDEB2" w14:textId="77777777" w:rsidR="00D07C78" w:rsidRDefault="00D07C78" w:rsidP="00210D5F">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3335"/>
    <w:multiLevelType w:val="hybridMultilevel"/>
    <w:tmpl w:val="5932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255A399C"/>
    <w:multiLevelType w:val="hybridMultilevel"/>
    <w:tmpl w:val="412A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D30E4"/>
    <w:multiLevelType w:val="multilevel"/>
    <w:tmpl w:val="5C1C3762"/>
    <w:styleLink w:val="Style2"/>
    <w:lvl w:ilvl="0">
      <w:start w:val="1"/>
      <w:numFmt w:val="lowerLetter"/>
      <w:lvlText w:val="%1."/>
      <w:lvlJc w:val="left"/>
      <w:pPr>
        <w:ind w:left="720" w:hanging="360"/>
      </w:pPr>
      <w:rPr>
        <w:rFonts w:hint="default"/>
        <w:b w:val="0"/>
        <w:i w:val="0"/>
      </w:rPr>
    </w:lvl>
    <w:lvl w:ilvl="1">
      <w:start w:val="1"/>
      <w:numFmt w:val="lowerLetter"/>
      <w:lvlText w:val="(%2)"/>
      <w:lvlJc w:val="left"/>
      <w:pPr>
        <w:tabs>
          <w:tab w:val="num" w:pos="360"/>
        </w:tabs>
        <w:ind w:left="1429" w:hanging="709"/>
      </w:pPr>
      <w:rPr>
        <w:rFonts w:hint="default"/>
        <w:b w:val="0"/>
        <w:bCs w:val="0"/>
        <w:i w:val="0"/>
      </w:rPr>
    </w:lvl>
    <w:lvl w:ilvl="2">
      <w:start w:val="1"/>
      <w:numFmt w:val="lowerRoman"/>
      <w:lvlText w:val="%3."/>
      <w:lvlJc w:val="left"/>
      <w:pPr>
        <w:tabs>
          <w:tab w:val="num" w:pos="360"/>
        </w:tabs>
        <w:ind w:left="1609" w:hanging="180"/>
      </w:pPr>
      <w:rPr>
        <w:rFonts w:hint="default"/>
      </w:rPr>
    </w:lvl>
    <w:lvl w:ilvl="3">
      <w:start w:val="1"/>
      <w:numFmt w:val="decimal"/>
      <w:lvlText w:val="%4."/>
      <w:lvlJc w:val="left"/>
      <w:pPr>
        <w:tabs>
          <w:tab w:val="num" w:pos="360"/>
        </w:tabs>
        <w:ind w:left="1969" w:hanging="360"/>
      </w:pPr>
      <w:rPr>
        <w:rFonts w:hint="default"/>
      </w:rPr>
    </w:lvl>
    <w:lvl w:ilvl="4">
      <w:start w:val="6"/>
      <w:numFmt w:val="lowerLetter"/>
      <w:lvlText w:val="(%5)"/>
      <w:lvlJc w:val="left"/>
      <w:pPr>
        <w:tabs>
          <w:tab w:val="num" w:pos="360"/>
        </w:tabs>
        <w:ind w:left="2678" w:hanging="709"/>
      </w:pPr>
      <w:rPr>
        <w:rFonts w:hint="default"/>
      </w:rPr>
    </w:lvl>
    <w:lvl w:ilvl="5">
      <w:start w:val="1"/>
      <w:numFmt w:val="lowerRoman"/>
      <w:lvlText w:val="(%6)"/>
      <w:lvlJc w:val="left"/>
      <w:pPr>
        <w:tabs>
          <w:tab w:val="num" w:pos="360"/>
        </w:tabs>
        <w:ind w:left="3386" w:hanging="708"/>
      </w:pPr>
      <w:rPr>
        <w:rFonts w:hint="default"/>
      </w:rPr>
    </w:lvl>
    <w:lvl w:ilvl="6">
      <w:start w:val="1"/>
      <w:numFmt w:val="decimal"/>
      <w:lvlText w:val="%7."/>
      <w:lvlJc w:val="left"/>
      <w:pPr>
        <w:tabs>
          <w:tab w:val="num" w:pos="360"/>
        </w:tabs>
        <w:ind w:left="3746" w:hanging="360"/>
      </w:pPr>
      <w:rPr>
        <w:rFonts w:hint="default"/>
      </w:rPr>
    </w:lvl>
    <w:lvl w:ilvl="7">
      <w:start w:val="1"/>
      <w:numFmt w:val="lowerLetter"/>
      <w:lvlText w:val="%8."/>
      <w:lvlJc w:val="left"/>
      <w:pPr>
        <w:tabs>
          <w:tab w:val="num" w:pos="360"/>
        </w:tabs>
        <w:ind w:left="4106" w:hanging="360"/>
      </w:pPr>
      <w:rPr>
        <w:rFonts w:hint="default"/>
      </w:rPr>
    </w:lvl>
    <w:lvl w:ilvl="8">
      <w:start w:val="1"/>
      <w:numFmt w:val="lowerRoman"/>
      <w:lvlText w:val="%9."/>
      <w:lvlJc w:val="left"/>
      <w:pPr>
        <w:tabs>
          <w:tab w:val="num" w:pos="360"/>
        </w:tabs>
        <w:ind w:left="4286" w:hanging="180"/>
      </w:pPr>
      <w:rPr>
        <w:rFonts w:hint="default"/>
      </w:rPr>
    </w:lvl>
  </w:abstractNum>
  <w:abstractNum w:abstractNumId="5" w15:restartNumberingAfterBreak="0">
    <w:nsid w:val="3040569A"/>
    <w:multiLevelType w:val="multilevel"/>
    <w:tmpl w:val="51188DDE"/>
    <w:styleLink w:val="Style9"/>
    <w:lvl w:ilvl="0">
      <w:start w:val="18"/>
      <w:numFmt w:val="decimal"/>
      <w:lvlText w:val="%1."/>
      <w:lvlJc w:val="left"/>
      <w:pPr>
        <w:ind w:left="360" w:hanging="360"/>
      </w:pPr>
      <w:rPr>
        <w:rFonts w:hint="default"/>
        <w:b w:val="0"/>
        <w:i w:val="0"/>
      </w:rPr>
    </w:lvl>
    <w:lvl w:ilvl="1">
      <w:start w:val="1"/>
      <w:numFmt w:val="lowerLetter"/>
      <w:lvlText w:val="(%2)"/>
      <w:lvlJc w:val="left"/>
      <w:pPr>
        <w:tabs>
          <w:tab w:val="num" w:pos="0"/>
        </w:tabs>
        <w:ind w:left="1069" w:hanging="709"/>
      </w:pPr>
      <w:rPr>
        <w:rFonts w:hint="default"/>
        <w:b w:val="0"/>
        <w:bCs w:val="0"/>
        <w:i w:val="0"/>
      </w:rPr>
    </w:lvl>
    <w:lvl w:ilvl="2">
      <w:start w:val="1"/>
      <w:numFmt w:val="lowerRoman"/>
      <w:lvlText w:val="%3."/>
      <w:lvlJc w:val="left"/>
      <w:pPr>
        <w:tabs>
          <w:tab w:val="num" w:pos="0"/>
        </w:tabs>
        <w:ind w:left="1249" w:hanging="180"/>
      </w:pPr>
      <w:rPr>
        <w:rFonts w:hint="default"/>
      </w:rPr>
    </w:lvl>
    <w:lvl w:ilvl="3">
      <w:start w:val="1"/>
      <w:numFmt w:val="decimal"/>
      <w:lvlText w:val="%4."/>
      <w:lvlJc w:val="left"/>
      <w:pPr>
        <w:tabs>
          <w:tab w:val="num" w:pos="0"/>
        </w:tabs>
        <w:ind w:left="1609" w:hanging="360"/>
      </w:pPr>
      <w:rPr>
        <w:rFonts w:hint="default"/>
      </w:rPr>
    </w:lvl>
    <w:lvl w:ilvl="4">
      <w:start w:val="6"/>
      <w:numFmt w:val="lowerLetter"/>
      <w:lvlText w:val="(%5)"/>
      <w:lvlJc w:val="left"/>
      <w:pPr>
        <w:tabs>
          <w:tab w:val="num" w:pos="0"/>
        </w:tabs>
        <w:ind w:left="2318" w:hanging="709"/>
      </w:pPr>
      <w:rPr>
        <w:rFonts w:hint="default"/>
      </w:rPr>
    </w:lvl>
    <w:lvl w:ilvl="5">
      <w:start w:val="1"/>
      <w:numFmt w:val="lowerRoman"/>
      <w:lvlText w:val="(%6)"/>
      <w:lvlJc w:val="left"/>
      <w:pPr>
        <w:tabs>
          <w:tab w:val="num" w:pos="0"/>
        </w:tabs>
        <w:ind w:left="3026" w:hanging="708"/>
      </w:pPr>
      <w:rPr>
        <w:rFonts w:hint="default"/>
      </w:rPr>
    </w:lvl>
    <w:lvl w:ilvl="6">
      <w:start w:val="1"/>
      <w:numFmt w:val="decimal"/>
      <w:lvlText w:val="%7."/>
      <w:lvlJc w:val="left"/>
      <w:pPr>
        <w:tabs>
          <w:tab w:val="num" w:pos="0"/>
        </w:tabs>
        <w:ind w:left="3386" w:hanging="360"/>
      </w:pPr>
      <w:rPr>
        <w:rFonts w:hint="default"/>
      </w:rPr>
    </w:lvl>
    <w:lvl w:ilvl="7">
      <w:start w:val="1"/>
      <w:numFmt w:val="lowerLetter"/>
      <w:lvlText w:val="%8."/>
      <w:lvlJc w:val="left"/>
      <w:pPr>
        <w:tabs>
          <w:tab w:val="num" w:pos="0"/>
        </w:tabs>
        <w:ind w:left="3746" w:hanging="360"/>
      </w:pPr>
      <w:rPr>
        <w:rFonts w:hint="default"/>
      </w:rPr>
    </w:lvl>
    <w:lvl w:ilvl="8">
      <w:start w:val="1"/>
      <w:numFmt w:val="lowerRoman"/>
      <w:lvlText w:val="%9."/>
      <w:lvlJc w:val="left"/>
      <w:pPr>
        <w:tabs>
          <w:tab w:val="num" w:pos="0"/>
        </w:tabs>
        <w:ind w:left="3926" w:hanging="180"/>
      </w:pPr>
      <w:rPr>
        <w:rFonts w:hint="default"/>
      </w:rPr>
    </w:lvl>
  </w:abstractNum>
  <w:abstractNum w:abstractNumId="6" w15:restartNumberingAfterBreak="0">
    <w:nsid w:val="3ABB50B5"/>
    <w:multiLevelType w:val="hybridMultilevel"/>
    <w:tmpl w:val="04847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A05984"/>
    <w:multiLevelType w:val="multilevel"/>
    <w:tmpl w:val="0809001D"/>
    <w:styleLink w:val="Style5"/>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6783F47"/>
    <w:multiLevelType w:val="multilevel"/>
    <w:tmpl w:val="D5CC8BB4"/>
    <w:styleLink w:val="Style7"/>
    <w:lvl w:ilvl="0">
      <w:start w:val="15"/>
      <w:numFmt w:val="decimal"/>
      <w:lvlText w:val="%1."/>
      <w:lvlJc w:val="left"/>
      <w:pPr>
        <w:ind w:left="360" w:hanging="360"/>
      </w:pPr>
      <w:rPr>
        <w:rFonts w:hint="default"/>
        <w:b w:val="0"/>
        <w:i w:val="0"/>
      </w:rPr>
    </w:lvl>
    <w:lvl w:ilvl="1">
      <w:start w:val="1"/>
      <w:numFmt w:val="lowerLetter"/>
      <w:lvlText w:val="(%2)"/>
      <w:lvlJc w:val="left"/>
      <w:pPr>
        <w:tabs>
          <w:tab w:val="num" w:pos="0"/>
        </w:tabs>
        <w:ind w:left="1069" w:hanging="709"/>
      </w:pPr>
      <w:rPr>
        <w:rFonts w:hint="default"/>
        <w:b w:val="0"/>
        <w:bCs w:val="0"/>
        <w:i w:val="0"/>
      </w:rPr>
    </w:lvl>
    <w:lvl w:ilvl="2">
      <w:start w:val="1"/>
      <w:numFmt w:val="lowerRoman"/>
      <w:lvlText w:val="%3."/>
      <w:lvlJc w:val="left"/>
      <w:pPr>
        <w:tabs>
          <w:tab w:val="num" w:pos="0"/>
        </w:tabs>
        <w:ind w:left="1249" w:hanging="180"/>
      </w:pPr>
      <w:rPr>
        <w:rFonts w:hint="default"/>
      </w:rPr>
    </w:lvl>
    <w:lvl w:ilvl="3">
      <w:start w:val="1"/>
      <w:numFmt w:val="decimal"/>
      <w:lvlText w:val="%4."/>
      <w:lvlJc w:val="left"/>
      <w:pPr>
        <w:tabs>
          <w:tab w:val="num" w:pos="0"/>
        </w:tabs>
        <w:ind w:left="1609" w:hanging="360"/>
      </w:pPr>
      <w:rPr>
        <w:rFonts w:hint="default"/>
      </w:rPr>
    </w:lvl>
    <w:lvl w:ilvl="4">
      <w:start w:val="6"/>
      <w:numFmt w:val="lowerLetter"/>
      <w:lvlText w:val="(%5)"/>
      <w:lvlJc w:val="left"/>
      <w:pPr>
        <w:tabs>
          <w:tab w:val="num" w:pos="0"/>
        </w:tabs>
        <w:ind w:left="2318" w:hanging="709"/>
      </w:pPr>
      <w:rPr>
        <w:rFonts w:hint="default"/>
      </w:rPr>
    </w:lvl>
    <w:lvl w:ilvl="5">
      <w:start w:val="1"/>
      <w:numFmt w:val="lowerRoman"/>
      <w:lvlText w:val="(%6)"/>
      <w:lvlJc w:val="left"/>
      <w:pPr>
        <w:tabs>
          <w:tab w:val="num" w:pos="0"/>
        </w:tabs>
        <w:ind w:left="3026" w:hanging="708"/>
      </w:pPr>
      <w:rPr>
        <w:rFonts w:hint="default"/>
      </w:rPr>
    </w:lvl>
    <w:lvl w:ilvl="6">
      <w:start w:val="1"/>
      <w:numFmt w:val="decimal"/>
      <w:lvlText w:val="%7."/>
      <w:lvlJc w:val="left"/>
      <w:pPr>
        <w:tabs>
          <w:tab w:val="num" w:pos="0"/>
        </w:tabs>
        <w:ind w:left="3386" w:hanging="360"/>
      </w:pPr>
      <w:rPr>
        <w:rFonts w:hint="default"/>
      </w:rPr>
    </w:lvl>
    <w:lvl w:ilvl="7">
      <w:start w:val="1"/>
      <w:numFmt w:val="lowerLetter"/>
      <w:lvlText w:val="%8."/>
      <w:lvlJc w:val="left"/>
      <w:pPr>
        <w:tabs>
          <w:tab w:val="num" w:pos="0"/>
        </w:tabs>
        <w:ind w:left="3746" w:hanging="360"/>
      </w:pPr>
      <w:rPr>
        <w:rFonts w:hint="default"/>
      </w:rPr>
    </w:lvl>
    <w:lvl w:ilvl="8">
      <w:start w:val="1"/>
      <w:numFmt w:val="lowerRoman"/>
      <w:lvlText w:val="%9."/>
      <w:lvlJc w:val="left"/>
      <w:pPr>
        <w:tabs>
          <w:tab w:val="num" w:pos="0"/>
        </w:tabs>
        <w:ind w:left="3926" w:hanging="180"/>
      </w:pPr>
      <w:rPr>
        <w:rFonts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6BB0D60"/>
    <w:multiLevelType w:val="multilevel"/>
    <w:tmpl w:val="D5CC8BB4"/>
    <w:styleLink w:val="Style6"/>
    <w:lvl w:ilvl="0">
      <w:start w:val="9"/>
      <w:numFmt w:val="decimal"/>
      <w:lvlText w:val="%1."/>
      <w:lvlJc w:val="left"/>
      <w:pPr>
        <w:ind w:left="360" w:hanging="360"/>
      </w:pPr>
      <w:rPr>
        <w:rFonts w:hint="default"/>
        <w:b w:val="0"/>
        <w:i w:val="0"/>
      </w:rPr>
    </w:lvl>
    <w:lvl w:ilvl="1">
      <w:start w:val="1"/>
      <w:numFmt w:val="lowerLetter"/>
      <w:lvlText w:val="(%2)"/>
      <w:lvlJc w:val="left"/>
      <w:pPr>
        <w:tabs>
          <w:tab w:val="num" w:pos="0"/>
        </w:tabs>
        <w:ind w:left="1069" w:hanging="709"/>
      </w:pPr>
      <w:rPr>
        <w:rFonts w:hint="default"/>
        <w:b w:val="0"/>
        <w:bCs w:val="0"/>
        <w:i w:val="0"/>
      </w:rPr>
    </w:lvl>
    <w:lvl w:ilvl="2">
      <w:start w:val="1"/>
      <w:numFmt w:val="lowerRoman"/>
      <w:lvlText w:val="%3."/>
      <w:lvlJc w:val="left"/>
      <w:pPr>
        <w:tabs>
          <w:tab w:val="num" w:pos="0"/>
        </w:tabs>
        <w:ind w:left="1249" w:hanging="180"/>
      </w:pPr>
      <w:rPr>
        <w:rFonts w:hint="default"/>
      </w:rPr>
    </w:lvl>
    <w:lvl w:ilvl="3">
      <w:start w:val="1"/>
      <w:numFmt w:val="decimal"/>
      <w:lvlText w:val="%4."/>
      <w:lvlJc w:val="left"/>
      <w:pPr>
        <w:tabs>
          <w:tab w:val="num" w:pos="0"/>
        </w:tabs>
        <w:ind w:left="1609" w:hanging="360"/>
      </w:pPr>
      <w:rPr>
        <w:rFonts w:hint="default"/>
      </w:rPr>
    </w:lvl>
    <w:lvl w:ilvl="4">
      <w:start w:val="6"/>
      <w:numFmt w:val="lowerLetter"/>
      <w:lvlText w:val="(%5)"/>
      <w:lvlJc w:val="left"/>
      <w:pPr>
        <w:tabs>
          <w:tab w:val="num" w:pos="0"/>
        </w:tabs>
        <w:ind w:left="2318" w:hanging="709"/>
      </w:pPr>
      <w:rPr>
        <w:rFonts w:hint="default"/>
      </w:rPr>
    </w:lvl>
    <w:lvl w:ilvl="5">
      <w:start w:val="1"/>
      <w:numFmt w:val="lowerRoman"/>
      <w:lvlText w:val="(%6)"/>
      <w:lvlJc w:val="left"/>
      <w:pPr>
        <w:tabs>
          <w:tab w:val="num" w:pos="0"/>
        </w:tabs>
        <w:ind w:left="3026" w:hanging="708"/>
      </w:pPr>
      <w:rPr>
        <w:rFonts w:hint="default"/>
      </w:rPr>
    </w:lvl>
    <w:lvl w:ilvl="6">
      <w:start w:val="1"/>
      <w:numFmt w:val="decimal"/>
      <w:lvlText w:val="%7."/>
      <w:lvlJc w:val="left"/>
      <w:pPr>
        <w:tabs>
          <w:tab w:val="num" w:pos="0"/>
        </w:tabs>
        <w:ind w:left="3386" w:hanging="360"/>
      </w:pPr>
      <w:rPr>
        <w:rFonts w:hint="default"/>
      </w:rPr>
    </w:lvl>
    <w:lvl w:ilvl="7">
      <w:start w:val="1"/>
      <w:numFmt w:val="lowerLetter"/>
      <w:lvlText w:val="%8."/>
      <w:lvlJc w:val="left"/>
      <w:pPr>
        <w:tabs>
          <w:tab w:val="num" w:pos="0"/>
        </w:tabs>
        <w:ind w:left="3746" w:hanging="360"/>
      </w:pPr>
      <w:rPr>
        <w:rFonts w:hint="default"/>
      </w:rPr>
    </w:lvl>
    <w:lvl w:ilvl="8">
      <w:start w:val="1"/>
      <w:numFmt w:val="lowerRoman"/>
      <w:lvlText w:val="%9."/>
      <w:lvlJc w:val="left"/>
      <w:pPr>
        <w:tabs>
          <w:tab w:val="num" w:pos="0"/>
        </w:tabs>
        <w:ind w:left="3926" w:hanging="180"/>
      </w:pPr>
      <w:rPr>
        <w:rFonts w:hint="default"/>
      </w:rPr>
    </w:lvl>
  </w:abstractNum>
  <w:abstractNum w:abstractNumId="11"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2" w15:restartNumberingAfterBreak="0">
    <w:nsid w:val="5CBD7F0C"/>
    <w:multiLevelType w:val="hybridMultilevel"/>
    <w:tmpl w:val="67DA7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787358"/>
    <w:multiLevelType w:val="multilevel"/>
    <w:tmpl w:val="0809001D"/>
    <w:styleLink w:val="Styl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85430CD"/>
    <w:multiLevelType w:val="hybridMultilevel"/>
    <w:tmpl w:val="AF08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4673A2"/>
    <w:multiLevelType w:val="hybridMultilevel"/>
    <w:tmpl w:val="B66E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551F29"/>
    <w:multiLevelType w:val="multilevel"/>
    <w:tmpl w:val="D5CC8BB4"/>
    <w:styleLink w:val="Style4"/>
    <w:lvl w:ilvl="0">
      <w:start w:val="8"/>
      <w:numFmt w:val="decimal"/>
      <w:lvlText w:val="%1."/>
      <w:lvlJc w:val="left"/>
      <w:pPr>
        <w:ind w:left="360" w:hanging="360"/>
      </w:pPr>
      <w:rPr>
        <w:rFonts w:hint="default"/>
        <w:b w:val="0"/>
        <w:i w:val="0"/>
      </w:rPr>
    </w:lvl>
    <w:lvl w:ilvl="1">
      <w:start w:val="1"/>
      <w:numFmt w:val="lowerLetter"/>
      <w:lvlText w:val="(%2)"/>
      <w:lvlJc w:val="left"/>
      <w:pPr>
        <w:tabs>
          <w:tab w:val="num" w:pos="0"/>
        </w:tabs>
        <w:ind w:left="1069" w:hanging="709"/>
      </w:pPr>
      <w:rPr>
        <w:rFonts w:hint="default"/>
        <w:b w:val="0"/>
        <w:bCs w:val="0"/>
        <w:i w:val="0"/>
      </w:rPr>
    </w:lvl>
    <w:lvl w:ilvl="2">
      <w:start w:val="1"/>
      <w:numFmt w:val="lowerRoman"/>
      <w:lvlText w:val="%3."/>
      <w:lvlJc w:val="left"/>
      <w:pPr>
        <w:tabs>
          <w:tab w:val="num" w:pos="0"/>
        </w:tabs>
        <w:ind w:left="1249" w:hanging="180"/>
      </w:pPr>
      <w:rPr>
        <w:rFonts w:hint="default"/>
      </w:rPr>
    </w:lvl>
    <w:lvl w:ilvl="3">
      <w:start w:val="1"/>
      <w:numFmt w:val="decimal"/>
      <w:lvlText w:val="%4."/>
      <w:lvlJc w:val="left"/>
      <w:pPr>
        <w:tabs>
          <w:tab w:val="num" w:pos="0"/>
        </w:tabs>
        <w:ind w:left="1609" w:hanging="360"/>
      </w:pPr>
      <w:rPr>
        <w:rFonts w:hint="default"/>
      </w:rPr>
    </w:lvl>
    <w:lvl w:ilvl="4">
      <w:start w:val="6"/>
      <w:numFmt w:val="lowerLetter"/>
      <w:lvlText w:val="(%5)"/>
      <w:lvlJc w:val="left"/>
      <w:pPr>
        <w:tabs>
          <w:tab w:val="num" w:pos="0"/>
        </w:tabs>
        <w:ind w:left="2318" w:hanging="709"/>
      </w:pPr>
      <w:rPr>
        <w:rFonts w:hint="default"/>
      </w:rPr>
    </w:lvl>
    <w:lvl w:ilvl="5">
      <w:start w:val="1"/>
      <w:numFmt w:val="lowerRoman"/>
      <w:lvlText w:val="(%6)"/>
      <w:lvlJc w:val="left"/>
      <w:pPr>
        <w:tabs>
          <w:tab w:val="num" w:pos="0"/>
        </w:tabs>
        <w:ind w:left="3026" w:hanging="708"/>
      </w:pPr>
      <w:rPr>
        <w:rFonts w:hint="default"/>
      </w:rPr>
    </w:lvl>
    <w:lvl w:ilvl="6">
      <w:start w:val="1"/>
      <w:numFmt w:val="decimal"/>
      <w:lvlText w:val="%7."/>
      <w:lvlJc w:val="left"/>
      <w:pPr>
        <w:tabs>
          <w:tab w:val="num" w:pos="0"/>
        </w:tabs>
        <w:ind w:left="3386" w:hanging="360"/>
      </w:pPr>
      <w:rPr>
        <w:rFonts w:hint="default"/>
      </w:rPr>
    </w:lvl>
    <w:lvl w:ilvl="7">
      <w:start w:val="1"/>
      <w:numFmt w:val="lowerLetter"/>
      <w:lvlText w:val="%8."/>
      <w:lvlJc w:val="left"/>
      <w:pPr>
        <w:tabs>
          <w:tab w:val="num" w:pos="0"/>
        </w:tabs>
        <w:ind w:left="3746" w:hanging="360"/>
      </w:pPr>
      <w:rPr>
        <w:rFonts w:hint="default"/>
      </w:rPr>
    </w:lvl>
    <w:lvl w:ilvl="8">
      <w:start w:val="1"/>
      <w:numFmt w:val="lowerRoman"/>
      <w:lvlText w:val="%9."/>
      <w:lvlJc w:val="left"/>
      <w:pPr>
        <w:tabs>
          <w:tab w:val="num" w:pos="0"/>
        </w:tabs>
        <w:ind w:left="3926" w:hanging="180"/>
      </w:pPr>
      <w:rPr>
        <w:rFonts w:hint="default"/>
      </w:rPr>
    </w:lvl>
  </w:abstractNum>
  <w:abstractNum w:abstractNumId="17" w15:restartNumberingAfterBreak="0">
    <w:nsid w:val="78F64A45"/>
    <w:multiLevelType w:val="multilevel"/>
    <w:tmpl w:val="EE3AC7A8"/>
    <w:styleLink w:val="Style3"/>
    <w:lvl w:ilvl="0">
      <w:start w:val="7"/>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9E644D8"/>
    <w:multiLevelType w:val="multilevel"/>
    <w:tmpl w:val="D5CC8BB4"/>
    <w:styleLink w:val="Style10"/>
    <w:lvl w:ilvl="0">
      <w:start w:val="25"/>
      <w:numFmt w:val="decimal"/>
      <w:lvlText w:val="%1."/>
      <w:lvlJc w:val="left"/>
      <w:pPr>
        <w:ind w:left="360" w:hanging="360"/>
      </w:pPr>
      <w:rPr>
        <w:rFonts w:hint="default"/>
        <w:b w:val="0"/>
        <w:i w:val="0"/>
      </w:rPr>
    </w:lvl>
    <w:lvl w:ilvl="1">
      <w:start w:val="1"/>
      <w:numFmt w:val="lowerLetter"/>
      <w:lvlText w:val="(%2)"/>
      <w:lvlJc w:val="left"/>
      <w:pPr>
        <w:tabs>
          <w:tab w:val="num" w:pos="0"/>
        </w:tabs>
        <w:ind w:left="1069" w:hanging="709"/>
      </w:pPr>
      <w:rPr>
        <w:rFonts w:hint="default"/>
        <w:b w:val="0"/>
        <w:bCs w:val="0"/>
        <w:i w:val="0"/>
      </w:rPr>
    </w:lvl>
    <w:lvl w:ilvl="2">
      <w:start w:val="1"/>
      <w:numFmt w:val="lowerRoman"/>
      <w:lvlText w:val="%3."/>
      <w:lvlJc w:val="left"/>
      <w:pPr>
        <w:tabs>
          <w:tab w:val="num" w:pos="0"/>
        </w:tabs>
        <w:ind w:left="1249" w:hanging="180"/>
      </w:pPr>
      <w:rPr>
        <w:rFonts w:hint="default"/>
      </w:rPr>
    </w:lvl>
    <w:lvl w:ilvl="3">
      <w:start w:val="1"/>
      <w:numFmt w:val="decimal"/>
      <w:lvlText w:val="%4."/>
      <w:lvlJc w:val="left"/>
      <w:pPr>
        <w:tabs>
          <w:tab w:val="num" w:pos="0"/>
        </w:tabs>
        <w:ind w:left="1609" w:hanging="360"/>
      </w:pPr>
      <w:rPr>
        <w:rFonts w:hint="default"/>
      </w:rPr>
    </w:lvl>
    <w:lvl w:ilvl="4">
      <w:start w:val="6"/>
      <w:numFmt w:val="lowerLetter"/>
      <w:lvlText w:val="(%5)"/>
      <w:lvlJc w:val="left"/>
      <w:pPr>
        <w:tabs>
          <w:tab w:val="num" w:pos="0"/>
        </w:tabs>
        <w:ind w:left="2318" w:hanging="709"/>
      </w:pPr>
      <w:rPr>
        <w:rFonts w:hint="default"/>
      </w:rPr>
    </w:lvl>
    <w:lvl w:ilvl="5">
      <w:start w:val="1"/>
      <w:numFmt w:val="lowerRoman"/>
      <w:lvlText w:val="(%6)"/>
      <w:lvlJc w:val="left"/>
      <w:pPr>
        <w:tabs>
          <w:tab w:val="num" w:pos="0"/>
        </w:tabs>
        <w:ind w:left="3026" w:hanging="708"/>
      </w:pPr>
      <w:rPr>
        <w:rFonts w:hint="default"/>
      </w:rPr>
    </w:lvl>
    <w:lvl w:ilvl="6">
      <w:start w:val="1"/>
      <w:numFmt w:val="decimal"/>
      <w:lvlText w:val="%7."/>
      <w:lvlJc w:val="left"/>
      <w:pPr>
        <w:tabs>
          <w:tab w:val="num" w:pos="0"/>
        </w:tabs>
        <w:ind w:left="3386" w:hanging="360"/>
      </w:pPr>
      <w:rPr>
        <w:rFonts w:hint="default"/>
      </w:rPr>
    </w:lvl>
    <w:lvl w:ilvl="7">
      <w:start w:val="1"/>
      <w:numFmt w:val="lowerLetter"/>
      <w:lvlText w:val="%8."/>
      <w:lvlJc w:val="left"/>
      <w:pPr>
        <w:tabs>
          <w:tab w:val="num" w:pos="0"/>
        </w:tabs>
        <w:ind w:left="3746" w:hanging="360"/>
      </w:pPr>
      <w:rPr>
        <w:rFonts w:hint="default"/>
      </w:rPr>
    </w:lvl>
    <w:lvl w:ilvl="8">
      <w:start w:val="1"/>
      <w:numFmt w:val="lowerRoman"/>
      <w:lvlText w:val="%9."/>
      <w:lvlJc w:val="left"/>
      <w:pPr>
        <w:tabs>
          <w:tab w:val="num" w:pos="0"/>
        </w:tabs>
        <w:ind w:left="3926" w:hanging="180"/>
      </w:pPr>
      <w:rPr>
        <w:rFonts w:hint="default"/>
      </w:rPr>
    </w:lvl>
  </w:abstractNum>
  <w:num w:numId="1" w16cid:durableId="1753549833">
    <w:abstractNumId w:val="9"/>
  </w:num>
  <w:num w:numId="2" w16cid:durableId="2009552882">
    <w:abstractNumId w:val="1"/>
  </w:num>
  <w:num w:numId="3" w16cid:durableId="1679261674">
    <w:abstractNumId w:val="2"/>
  </w:num>
  <w:num w:numId="4" w16cid:durableId="845679948">
    <w:abstractNumId w:val="11"/>
  </w:num>
  <w:num w:numId="5" w16cid:durableId="259802377">
    <w:abstractNumId w:val="4"/>
  </w:num>
  <w:num w:numId="6" w16cid:durableId="1263954873">
    <w:abstractNumId w:val="17"/>
  </w:num>
  <w:num w:numId="7" w16cid:durableId="72629822">
    <w:abstractNumId w:val="16"/>
  </w:num>
  <w:num w:numId="8" w16cid:durableId="2014799883">
    <w:abstractNumId w:val="7"/>
  </w:num>
  <w:num w:numId="9" w16cid:durableId="1264995381">
    <w:abstractNumId w:val="10"/>
  </w:num>
  <w:num w:numId="10" w16cid:durableId="1107316436">
    <w:abstractNumId w:val="8"/>
  </w:num>
  <w:num w:numId="11" w16cid:durableId="2044094874">
    <w:abstractNumId w:val="13"/>
  </w:num>
  <w:num w:numId="12" w16cid:durableId="442186735">
    <w:abstractNumId w:val="5"/>
  </w:num>
  <w:num w:numId="13" w16cid:durableId="410660737">
    <w:abstractNumId w:val="18"/>
  </w:num>
  <w:num w:numId="14" w16cid:durableId="667443414">
    <w:abstractNumId w:val="6"/>
  </w:num>
  <w:num w:numId="15" w16cid:durableId="1766611639">
    <w:abstractNumId w:val="15"/>
  </w:num>
  <w:num w:numId="16" w16cid:durableId="136918089">
    <w:abstractNumId w:val="3"/>
  </w:num>
  <w:num w:numId="17" w16cid:durableId="1083916415">
    <w:abstractNumId w:val="0"/>
  </w:num>
  <w:num w:numId="18" w16cid:durableId="362950557">
    <w:abstractNumId w:val="14"/>
  </w:num>
  <w:num w:numId="19" w16cid:durableId="1894651957">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0B6"/>
    <w:rsid w:val="00043CAA"/>
    <w:rsid w:val="00056816"/>
    <w:rsid w:val="00075432"/>
    <w:rsid w:val="000968ED"/>
    <w:rsid w:val="000A3D97"/>
    <w:rsid w:val="000B76E2"/>
    <w:rsid w:val="000F5E56"/>
    <w:rsid w:val="00104ED0"/>
    <w:rsid w:val="001362EE"/>
    <w:rsid w:val="001406E1"/>
    <w:rsid w:val="00155D8A"/>
    <w:rsid w:val="001647D5"/>
    <w:rsid w:val="001832A6"/>
    <w:rsid w:val="0019592A"/>
    <w:rsid w:val="001B1B7C"/>
    <w:rsid w:val="001D4107"/>
    <w:rsid w:val="00203D24"/>
    <w:rsid w:val="00210D5F"/>
    <w:rsid w:val="0021217E"/>
    <w:rsid w:val="002326AB"/>
    <w:rsid w:val="00243430"/>
    <w:rsid w:val="002634C4"/>
    <w:rsid w:val="002928D3"/>
    <w:rsid w:val="002F1FE6"/>
    <w:rsid w:val="002F4E68"/>
    <w:rsid w:val="00312F7F"/>
    <w:rsid w:val="00334BF8"/>
    <w:rsid w:val="00361450"/>
    <w:rsid w:val="00364BBC"/>
    <w:rsid w:val="003673CF"/>
    <w:rsid w:val="003845C1"/>
    <w:rsid w:val="003A6F89"/>
    <w:rsid w:val="003B355C"/>
    <w:rsid w:val="003B38C1"/>
    <w:rsid w:val="003C34E9"/>
    <w:rsid w:val="003C4F15"/>
    <w:rsid w:val="00423E3E"/>
    <w:rsid w:val="00427AF4"/>
    <w:rsid w:val="004647DA"/>
    <w:rsid w:val="00474062"/>
    <w:rsid w:val="00477D6B"/>
    <w:rsid w:val="004A10B6"/>
    <w:rsid w:val="005019FF"/>
    <w:rsid w:val="0053057A"/>
    <w:rsid w:val="00534856"/>
    <w:rsid w:val="00556076"/>
    <w:rsid w:val="00560A29"/>
    <w:rsid w:val="00577563"/>
    <w:rsid w:val="005C6649"/>
    <w:rsid w:val="005E7B89"/>
    <w:rsid w:val="00605827"/>
    <w:rsid w:val="00627324"/>
    <w:rsid w:val="00631BB6"/>
    <w:rsid w:val="00646050"/>
    <w:rsid w:val="006713CA"/>
    <w:rsid w:val="00676C5C"/>
    <w:rsid w:val="006B5C12"/>
    <w:rsid w:val="006C4038"/>
    <w:rsid w:val="00720EFD"/>
    <w:rsid w:val="007854AF"/>
    <w:rsid w:val="00793A7C"/>
    <w:rsid w:val="007A398A"/>
    <w:rsid w:val="007A3D24"/>
    <w:rsid w:val="007C4902"/>
    <w:rsid w:val="007D1613"/>
    <w:rsid w:val="007E4C0E"/>
    <w:rsid w:val="007F2029"/>
    <w:rsid w:val="00803410"/>
    <w:rsid w:val="00850727"/>
    <w:rsid w:val="00860A13"/>
    <w:rsid w:val="008A134B"/>
    <w:rsid w:val="008B2694"/>
    <w:rsid w:val="008B2CC1"/>
    <w:rsid w:val="008B60B2"/>
    <w:rsid w:val="008D3587"/>
    <w:rsid w:val="008D64F9"/>
    <w:rsid w:val="008E4690"/>
    <w:rsid w:val="0090731E"/>
    <w:rsid w:val="00916EE2"/>
    <w:rsid w:val="009204EA"/>
    <w:rsid w:val="00966A22"/>
    <w:rsid w:val="0096722F"/>
    <w:rsid w:val="00980843"/>
    <w:rsid w:val="009B0855"/>
    <w:rsid w:val="009C698A"/>
    <w:rsid w:val="009E2791"/>
    <w:rsid w:val="009E3F6F"/>
    <w:rsid w:val="009F499F"/>
    <w:rsid w:val="00A37342"/>
    <w:rsid w:val="00A42DAF"/>
    <w:rsid w:val="00A45BD8"/>
    <w:rsid w:val="00A85F64"/>
    <w:rsid w:val="00A869B7"/>
    <w:rsid w:val="00A90F0A"/>
    <w:rsid w:val="00AB6BAA"/>
    <w:rsid w:val="00AC205C"/>
    <w:rsid w:val="00AF0A6B"/>
    <w:rsid w:val="00B03EF8"/>
    <w:rsid w:val="00B05A69"/>
    <w:rsid w:val="00B42CA9"/>
    <w:rsid w:val="00B51FF7"/>
    <w:rsid w:val="00B66EAD"/>
    <w:rsid w:val="00B75281"/>
    <w:rsid w:val="00B92F1F"/>
    <w:rsid w:val="00B96ED2"/>
    <w:rsid w:val="00B9734B"/>
    <w:rsid w:val="00BA30E2"/>
    <w:rsid w:val="00C11BFE"/>
    <w:rsid w:val="00C2105C"/>
    <w:rsid w:val="00C5068F"/>
    <w:rsid w:val="00C86D74"/>
    <w:rsid w:val="00CB3DBA"/>
    <w:rsid w:val="00CC3E2D"/>
    <w:rsid w:val="00CD04F1"/>
    <w:rsid w:val="00CE19F8"/>
    <w:rsid w:val="00CF681A"/>
    <w:rsid w:val="00D07C78"/>
    <w:rsid w:val="00D45252"/>
    <w:rsid w:val="00D531F5"/>
    <w:rsid w:val="00D60B2C"/>
    <w:rsid w:val="00D67EAE"/>
    <w:rsid w:val="00D71B4D"/>
    <w:rsid w:val="00D90B96"/>
    <w:rsid w:val="00D93D55"/>
    <w:rsid w:val="00DD7B7F"/>
    <w:rsid w:val="00E15015"/>
    <w:rsid w:val="00E319DF"/>
    <w:rsid w:val="00E335FE"/>
    <w:rsid w:val="00E56C4B"/>
    <w:rsid w:val="00E66CC5"/>
    <w:rsid w:val="00E7374D"/>
    <w:rsid w:val="00EA7D6E"/>
    <w:rsid w:val="00EB2F76"/>
    <w:rsid w:val="00EC2EB8"/>
    <w:rsid w:val="00EC4E49"/>
    <w:rsid w:val="00ED77FB"/>
    <w:rsid w:val="00EE066C"/>
    <w:rsid w:val="00EE45FA"/>
    <w:rsid w:val="00F043DE"/>
    <w:rsid w:val="00F25959"/>
    <w:rsid w:val="00F33ED1"/>
    <w:rsid w:val="00F66152"/>
    <w:rsid w:val="00F82FE6"/>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8C5DF7"/>
  <w15:docId w15:val="{793C5359-E8F3-4B05-927B-6C627BD3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link w:val="Heading1Char"/>
    <w:uiPriority w:val="9"/>
    <w:qFormat/>
    <w:rsid w:val="00155D8A"/>
    <w:pPr>
      <w:keepNext/>
      <w:spacing w:after="480"/>
      <w:outlineLvl w:val="0"/>
    </w:pPr>
    <w:rPr>
      <w:b/>
      <w:bCs/>
      <w:caps/>
      <w:kern w:val="32"/>
      <w:sz w:val="32"/>
      <w:szCs w:val="32"/>
    </w:rPr>
  </w:style>
  <w:style w:type="paragraph" w:styleId="Heading2">
    <w:name w:val="heading 2"/>
    <w:basedOn w:val="Normal"/>
    <w:next w:val="Normal"/>
    <w:link w:val="Heading2Char"/>
    <w:uiPriority w:val="9"/>
    <w:qFormat/>
    <w:rsid w:val="00534856"/>
    <w:pPr>
      <w:keepNext/>
      <w:spacing w:before="240" w:after="240"/>
      <w:outlineLvl w:val="1"/>
    </w:pPr>
    <w:rPr>
      <w:bCs/>
      <w:i/>
      <w:caps/>
      <w:sz w:val="28"/>
      <w:szCs w:val="28"/>
      <w:lang w:bidi="ar-LB"/>
    </w:rPr>
  </w:style>
  <w:style w:type="paragraph" w:styleId="Heading3">
    <w:name w:val="heading 3"/>
    <w:basedOn w:val="Normal"/>
    <w:next w:val="Normal"/>
    <w:link w:val="Heading3Char"/>
    <w:uiPriority w:val="9"/>
    <w:qFormat/>
    <w:rsid w:val="00155D8A"/>
    <w:pPr>
      <w:keepNext/>
      <w:spacing w:before="240" w:after="60"/>
      <w:outlineLvl w:val="2"/>
    </w:pPr>
    <w:rPr>
      <w:bCs/>
      <w:sz w:val="26"/>
      <w:szCs w:val="26"/>
      <w:u w:val="single"/>
    </w:rPr>
  </w:style>
  <w:style w:type="paragraph" w:styleId="Heading4">
    <w:name w:val="heading 4"/>
    <w:basedOn w:val="Normal"/>
    <w:next w:val="Normal"/>
    <w:link w:val="Heading4Char"/>
    <w:uiPriority w:val="9"/>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rsid w:val="009B0855"/>
    <w:rPr>
      <w:sz w:val="18"/>
      <w:szCs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4"/>
      </w:numPr>
    </w:pPr>
    <w:rPr>
      <w:rFonts w:eastAsia="Times New Roman"/>
      <w:lang w:eastAsia="en-US"/>
    </w:rPr>
  </w:style>
  <w:style w:type="table" w:styleId="TableGrid">
    <w:name w:val="Table Grid"/>
    <w:basedOn w:val="TableNormal"/>
    <w:uiPriority w:val="39"/>
    <w:rsid w:val="008D6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64F9"/>
    <w:rPr>
      <w:rFonts w:ascii="Arial" w:eastAsia="SimSun" w:hAnsi="Arial" w:cs="Calibri"/>
      <w:b/>
      <w:bCs/>
      <w:caps/>
      <w:kern w:val="32"/>
      <w:sz w:val="32"/>
      <w:szCs w:val="32"/>
      <w:lang w:val="en-US" w:eastAsia="zh-CN"/>
    </w:rPr>
  </w:style>
  <w:style w:type="character" w:customStyle="1" w:styleId="Heading2Char">
    <w:name w:val="Heading 2 Char"/>
    <w:basedOn w:val="DefaultParagraphFont"/>
    <w:link w:val="Heading2"/>
    <w:uiPriority w:val="9"/>
    <w:rsid w:val="00534856"/>
    <w:rPr>
      <w:rFonts w:ascii="Arial" w:eastAsia="SimSun" w:hAnsi="Arial" w:cs="Calibri"/>
      <w:bCs/>
      <w:i/>
      <w:caps/>
      <w:sz w:val="28"/>
      <w:szCs w:val="28"/>
      <w:lang w:val="en-US" w:eastAsia="zh-CN" w:bidi="ar-LB"/>
    </w:rPr>
  </w:style>
  <w:style w:type="character" w:customStyle="1" w:styleId="Heading3Char">
    <w:name w:val="Heading 3 Char"/>
    <w:basedOn w:val="DefaultParagraphFont"/>
    <w:link w:val="Heading3"/>
    <w:uiPriority w:val="9"/>
    <w:rsid w:val="008D64F9"/>
    <w:rPr>
      <w:rFonts w:ascii="Arial" w:eastAsia="SimSun" w:hAnsi="Arial" w:cs="Calibri"/>
      <w:bCs/>
      <w:sz w:val="26"/>
      <w:szCs w:val="26"/>
      <w:u w:val="single"/>
      <w:lang w:val="en-US" w:eastAsia="zh-CN"/>
    </w:rPr>
  </w:style>
  <w:style w:type="character" w:customStyle="1" w:styleId="Heading4Char">
    <w:name w:val="Heading 4 Char"/>
    <w:basedOn w:val="DefaultParagraphFont"/>
    <w:link w:val="Heading4"/>
    <w:uiPriority w:val="9"/>
    <w:rsid w:val="008D64F9"/>
    <w:rPr>
      <w:rFonts w:ascii="Arial" w:eastAsia="SimSun" w:hAnsi="Arial" w:cs="Calibri"/>
      <w:bCs/>
      <w:i/>
      <w:sz w:val="24"/>
      <w:szCs w:val="24"/>
      <w:lang w:val="en-US" w:eastAsia="zh-CN"/>
    </w:rPr>
  </w:style>
  <w:style w:type="paragraph" w:customStyle="1" w:styleId="Style1">
    <w:name w:val="Style1"/>
    <w:basedOn w:val="Normal"/>
    <w:qFormat/>
    <w:rsid w:val="008D64F9"/>
    <w:pPr>
      <w:widowControl w:val="0"/>
      <w:autoSpaceDE w:val="0"/>
      <w:autoSpaceDN w:val="0"/>
      <w:bidi w:val="0"/>
      <w:adjustRightInd w:val="0"/>
      <w:spacing w:before="120" w:after="120" w:line="360" w:lineRule="auto"/>
      <w:jc w:val="both"/>
    </w:pPr>
    <w:rPr>
      <w:rFonts w:ascii="Tms Rmn 12pt" w:eastAsiaTheme="minorEastAsia" w:hAnsi="Tms Rmn 12pt" w:cs="Tms Rmn 12pt"/>
      <w:sz w:val="24"/>
      <w:szCs w:val="24"/>
      <w:lang w:eastAsia="en-GB" w:bidi="ar-LB"/>
    </w:rPr>
  </w:style>
  <w:style w:type="character" w:customStyle="1" w:styleId="FootnoteTextChar">
    <w:name w:val="Footnote Text Char"/>
    <w:basedOn w:val="DefaultParagraphFont"/>
    <w:link w:val="FootnoteText"/>
    <w:rsid w:val="008D64F9"/>
    <w:rPr>
      <w:rFonts w:ascii="Arial" w:eastAsia="SimSun" w:hAnsi="Arial" w:cs="Calibri"/>
      <w:sz w:val="18"/>
      <w:szCs w:val="18"/>
      <w:lang w:val="en-US" w:eastAsia="zh-CN"/>
    </w:rPr>
  </w:style>
  <w:style w:type="paragraph" w:customStyle="1" w:styleId="Footnote">
    <w:name w:val="Footnote"/>
    <w:basedOn w:val="FootnoteText"/>
    <w:qFormat/>
    <w:rsid w:val="008D64F9"/>
    <w:pPr>
      <w:bidi w:val="0"/>
      <w:spacing w:before="120" w:after="120"/>
      <w:jc w:val="both"/>
    </w:pPr>
    <w:rPr>
      <w:rFonts w:ascii="Times New Roman" w:eastAsia="Times New Roman" w:hAnsi="Times New Roman" w:cs="Times New Roman"/>
      <w:sz w:val="20"/>
      <w:szCs w:val="20"/>
      <w:lang w:val="en-AU" w:eastAsia="en-GB" w:bidi="ar-LB"/>
    </w:rPr>
  </w:style>
  <w:style w:type="paragraph" w:styleId="ListParagraph">
    <w:name w:val="List Paragraph"/>
    <w:basedOn w:val="Normal"/>
    <w:uiPriority w:val="34"/>
    <w:qFormat/>
    <w:rsid w:val="008D64F9"/>
    <w:pPr>
      <w:bidi w:val="0"/>
      <w:spacing w:before="240" w:after="240"/>
      <w:contextualSpacing/>
      <w:jc w:val="both"/>
    </w:pPr>
    <w:rPr>
      <w:rFonts w:eastAsia="Times New Roman" w:cs="Times New Roman"/>
      <w:szCs w:val="24"/>
      <w:lang w:val="en-AU" w:eastAsia="en-GB" w:bidi="ar-LB"/>
    </w:rPr>
  </w:style>
  <w:style w:type="paragraph" w:styleId="Quote">
    <w:name w:val="Quote"/>
    <w:basedOn w:val="Normal"/>
    <w:next w:val="Normal"/>
    <w:link w:val="QuoteChar"/>
    <w:uiPriority w:val="29"/>
    <w:qFormat/>
    <w:rsid w:val="008D64F9"/>
    <w:pPr>
      <w:bidi w:val="0"/>
      <w:spacing w:before="120" w:after="120"/>
      <w:ind w:left="567"/>
      <w:jc w:val="both"/>
    </w:pPr>
    <w:rPr>
      <w:rFonts w:ascii="Times New Roman" w:eastAsia="Times New Roman" w:hAnsi="Times New Roman" w:cs="Times New Roman (Body CS)"/>
      <w:iCs/>
      <w:color w:val="404040" w:themeColor="text1" w:themeTint="BF"/>
      <w:sz w:val="20"/>
      <w:szCs w:val="24"/>
      <w:lang w:val="en-AU" w:eastAsia="en-GB" w:bidi="ar-LB"/>
    </w:rPr>
  </w:style>
  <w:style w:type="character" w:customStyle="1" w:styleId="QuoteChar">
    <w:name w:val="Quote Char"/>
    <w:basedOn w:val="DefaultParagraphFont"/>
    <w:link w:val="Quote"/>
    <w:uiPriority w:val="29"/>
    <w:rsid w:val="008D64F9"/>
    <w:rPr>
      <w:rFonts w:cs="Times New Roman (Body CS)"/>
      <w:iCs/>
      <w:color w:val="404040" w:themeColor="text1" w:themeTint="BF"/>
      <w:szCs w:val="24"/>
      <w:lang w:val="en-AU" w:eastAsia="en-GB" w:bidi="ar-LB"/>
    </w:rPr>
  </w:style>
  <w:style w:type="paragraph" w:customStyle="1" w:styleId="DocListParagraph">
    <w:name w:val="Doc List Paragraph"/>
    <w:autoRedefine/>
    <w:uiPriority w:val="1"/>
    <w:unhideWhenUsed/>
    <w:qFormat/>
    <w:rsid w:val="008D64F9"/>
    <w:pPr>
      <w:spacing w:after="160"/>
      <w:jc w:val="both"/>
    </w:pPr>
    <w:rPr>
      <w:rFonts w:ascii="Arial" w:eastAsiaTheme="minorEastAsia" w:hAnsiTheme="minorHAnsi" w:cstheme="minorBidi"/>
      <w:szCs w:val="22"/>
      <w:lang w:val="en-AU" w:eastAsia="en-AU" w:bidi="ar-LB"/>
    </w:rPr>
  </w:style>
  <w:style w:type="numbering" w:customStyle="1" w:styleId="Style2">
    <w:name w:val="Style2"/>
    <w:uiPriority w:val="99"/>
    <w:rsid w:val="008D64F9"/>
    <w:pPr>
      <w:numPr>
        <w:numId w:val="5"/>
      </w:numPr>
    </w:pPr>
  </w:style>
  <w:style w:type="character" w:styleId="FootnoteReference">
    <w:name w:val="footnote reference"/>
    <w:basedOn w:val="DefaultParagraphFont"/>
    <w:semiHidden/>
    <w:rsid w:val="008D64F9"/>
    <w:rPr>
      <w:vertAlign w:val="superscript"/>
    </w:rPr>
  </w:style>
  <w:style w:type="character" w:styleId="Hyperlink">
    <w:name w:val="Hyperlink"/>
    <w:basedOn w:val="DefaultParagraphFont"/>
    <w:uiPriority w:val="99"/>
    <w:unhideWhenUsed/>
    <w:rsid w:val="008D64F9"/>
    <w:rPr>
      <w:color w:val="0000FF" w:themeColor="hyperlink"/>
      <w:u w:val="single"/>
    </w:rPr>
  </w:style>
  <w:style w:type="paragraph" w:styleId="NormalWeb">
    <w:name w:val="Normal (Web)"/>
    <w:basedOn w:val="Normal"/>
    <w:uiPriority w:val="99"/>
    <w:unhideWhenUsed/>
    <w:rsid w:val="008D64F9"/>
    <w:pPr>
      <w:bidi w:val="0"/>
      <w:spacing w:before="100" w:beforeAutospacing="1" w:after="100" w:afterAutospacing="1"/>
    </w:pPr>
    <w:rPr>
      <w:rFonts w:ascii="Times New Roman" w:eastAsia="Times New Roman" w:hAnsi="Times New Roman" w:cs="Times New Roman"/>
      <w:sz w:val="24"/>
      <w:szCs w:val="24"/>
      <w:lang w:val="en-GB" w:eastAsia="en-GB" w:bidi="ar-LB"/>
    </w:rPr>
  </w:style>
  <w:style w:type="character" w:styleId="Emphasis">
    <w:name w:val="Emphasis"/>
    <w:basedOn w:val="DefaultParagraphFont"/>
    <w:uiPriority w:val="20"/>
    <w:qFormat/>
    <w:rsid w:val="008D64F9"/>
    <w:rPr>
      <w:i/>
      <w:iCs/>
    </w:rPr>
  </w:style>
  <w:style w:type="numbering" w:customStyle="1" w:styleId="Style3">
    <w:name w:val="Style3"/>
    <w:uiPriority w:val="99"/>
    <w:rsid w:val="008D64F9"/>
    <w:pPr>
      <w:numPr>
        <w:numId w:val="6"/>
      </w:numPr>
    </w:pPr>
  </w:style>
  <w:style w:type="numbering" w:customStyle="1" w:styleId="Style4">
    <w:name w:val="Style4"/>
    <w:uiPriority w:val="99"/>
    <w:rsid w:val="008D64F9"/>
    <w:pPr>
      <w:numPr>
        <w:numId w:val="7"/>
      </w:numPr>
    </w:pPr>
  </w:style>
  <w:style w:type="numbering" w:customStyle="1" w:styleId="Style5">
    <w:name w:val="Style5"/>
    <w:uiPriority w:val="99"/>
    <w:rsid w:val="008D64F9"/>
    <w:pPr>
      <w:numPr>
        <w:numId w:val="8"/>
      </w:numPr>
    </w:pPr>
  </w:style>
  <w:style w:type="numbering" w:customStyle="1" w:styleId="Style6">
    <w:name w:val="Style6"/>
    <w:uiPriority w:val="99"/>
    <w:rsid w:val="008D64F9"/>
    <w:pPr>
      <w:numPr>
        <w:numId w:val="9"/>
      </w:numPr>
    </w:pPr>
  </w:style>
  <w:style w:type="numbering" w:customStyle="1" w:styleId="Style7">
    <w:name w:val="Style7"/>
    <w:uiPriority w:val="99"/>
    <w:rsid w:val="008D64F9"/>
    <w:pPr>
      <w:numPr>
        <w:numId w:val="10"/>
      </w:numPr>
    </w:pPr>
  </w:style>
  <w:style w:type="numbering" w:customStyle="1" w:styleId="Style8">
    <w:name w:val="Style8"/>
    <w:uiPriority w:val="99"/>
    <w:rsid w:val="008D64F9"/>
    <w:pPr>
      <w:numPr>
        <w:numId w:val="11"/>
      </w:numPr>
    </w:pPr>
  </w:style>
  <w:style w:type="numbering" w:customStyle="1" w:styleId="Style9">
    <w:name w:val="Style9"/>
    <w:uiPriority w:val="99"/>
    <w:rsid w:val="008D64F9"/>
    <w:pPr>
      <w:numPr>
        <w:numId w:val="12"/>
      </w:numPr>
    </w:pPr>
  </w:style>
  <w:style w:type="numbering" w:customStyle="1" w:styleId="Style10">
    <w:name w:val="Style10"/>
    <w:uiPriority w:val="99"/>
    <w:rsid w:val="008D64F9"/>
    <w:pPr>
      <w:numPr>
        <w:numId w:val="13"/>
      </w:numPr>
    </w:pPr>
  </w:style>
  <w:style w:type="character" w:customStyle="1" w:styleId="apple-converted-space">
    <w:name w:val="apple-converted-space"/>
    <w:basedOn w:val="DefaultParagraphFont"/>
    <w:rsid w:val="008D64F9"/>
  </w:style>
  <w:style w:type="character" w:customStyle="1" w:styleId="FooterChar">
    <w:name w:val="Footer Char"/>
    <w:basedOn w:val="DefaultParagraphFont"/>
    <w:link w:val="Footer"/>
    <w:uiPriority w:val="99"/>
    <w:rsid w:val="008D64F9"/>
    <w:rPr>
      <w:rFonts w:ascii="Arial" w:eastAsia="SimSun" w:hAnsi="Arial" w:cs="Calibri"/>
      <w:sz w:val="22"/>
      <w:szCs w:val="22"/>
      <w:lang w:val="en-US" w:eastAsia="zh-CN"/>
    </w:rPr>
  </w:style>
  <w:style w:type="character" w:styleId="PageNumber">
    <w:name w:val="page number"/>
    <w:basedOn w:val="DefaultParagraphFont"/>
    <w:uiPriority w:val="99"/>
    <w:semiHidden/>
    <w:unhideWhenUsed/>
    <w:rsid w:val="008D64F9"/>
  </w:style>
  <w:style w:type="paragraph" w:styleId="Title">
    <w:name w:val="Title"/>
    <w:basedOn w:val="Normal"/>
    <w:next w:val="Normal"/>
    <w:link w:val="TitleChar"/>
    <w:uiPriority w:val="10"/>
    <w:qFormat/>
    <w:rsid w:val="008D64F9"/>
    <w:pPr>
      <w:bidi w:val="0"/>
      <w:contextualSpacing/>
    </w:pPr>
    <w:rPr>
      <w:rFonts w:asciiTheme="majorHAnsi" w:eastAsiaTheme="majorEastAsia" w:hAnsiTheme="majorHAnsi" w:cstheme="majorBidi"/>
      <w:spacing w:val="-10"/>
      <w:kern w:val="28"/>
      <w:sz w:val="56"/>
      <w:szCs w:val="56"/>
      <w:lang w:val="en-AU" w:eastAsia="en-GB" w:bidi="ar-LB"/>
    </w:rPr>
  </w:style>
  <w:style w:type="character" w:customStyle="1" w:styleId="TitleChar">
    <w:name w:val="Title Char"/>
    <w:basedOn w:val="DefaultParagraphFont"/>
    <w:link w:val="Title"/>
    <w:uiPriority w:val="10"/>
    <w:rsid w:val="008D64F9"/>
    <w:rPr>
      <w:rFonts w:asciiTheme="majorHAnsi" w:eastAsiaTheme="majorEastAsia" w:hAnsiTheme="majorHAnsi" w:cstheme="majorBidi"/>
      <w:spacing w:val="-10"/>
      <w:kern w:val="28"/>
      <w:sz w:val="56"/>
      <w:szCs w:val="56"/>
      <w:lang w:val="en-AU" w:eastAsia="en-GB" w:bidi="ar-LB"/>
    </w:rPr>
  </w:style>
  <w:style w:type="paragraph" w:styleId="Subtitle">
    <w:name w:val="Subtitle"/>
    <w:basedOn w:val="Normal"/>
    <w:next w:val="Normal"/>
    <w:link w:val="SubtitleChar"/>
    <w:uiPriority w:val="11"/>
    <w:qFormat/>
    <w:rsid w:val="008D64F9"/>
    <w:pPr>
      <w:numPr>
        <w:ilvl w:val="1"/>
      </w:numPr>
      <w:bidi w:val="0"/>
      <w:spacing w:after="160"/>
    </w:pPr>
    <w:rPr>
      <w:rFonts w:ascii="Times New Roman" w:eastAsiaTheme="minorEastAsia" w:hAnsi="Times New Roman" w:cs="Times New Roman"/>
      <w:color w:val="5A5A5A" w:themeColor="text1" w:themeTint="A5"/>
      <w:spacing w:val="15"/>
      <w:lang w:val="en-AU" w:eastAsia="en-GB" w:bidi="ar-LB"/>
    </w:rPr>
  </w:style>
  <w:style w:type="character" w:customStyle="1" w:styleId="SubtitleChar">
    <w:name w:val="Subtitle Char"/>
    <w:basedOn w:val="DefaultParagraphFont"/>
    <w:link w:val="Subtitle"/>
    <w:uiPriority w:val="11"/>
    <w:rsid w:val="008D64F9"/>
    <w:rPr>
      <w:rFonts w:eastAsiaTheme="minorEastAsia"/>
      <w:color w:val="5A5A5A" w:themeColor="text1" w:themeTint="A5"/>
      <w:spacing w:val="15"/>
      <w:sz w:val="22"/>
      <w:szCs w:val="22"/>
      <w:lang w:val="en-AU" w:eastAsia="en-GB" w:bidi="ar-LB"/>
    </w:rPr>
  </w:style>
  <w:style w:type="paragraph" w:customStyle="1" w:styleId="firstpara">
    <w:name w:val="firstpara"/>
    <w:basedOn w:val="Normal"/>
    <w:rsid w:val="008D64F9"/>
    <w:pPr>
      <w:bidi w:val="0"/>
      <w:spacing w:before="120" w:line="280" w:lineRule="exact"/>
      <w:jc w:val="both"/>
    </w:pPr>
    <w:rPr>
      <w:rFonts w:ascii="Times New Roman" w:eastAsia="Times New Roman" w:hAnsi="Times New Roman" w:cs="Times New Roman"/>
      <w:noProof/>
      <w:sz w:val="24"/>
      <w:szCs w:val="20"/>
      <w:lang w:eastAsia="en-GB" w:bidi="ar-LB"/>
    </w:rPr>
  </w:style>
  <w:style w:type="paragraph" w:styleId="Revision">
    <w:name w:val="Revision"/>
    <w:hidden/>
    <w:uiPriority w:val="99"/>
    <w:semiHidden/>
    <w:rsid w:val="008D64F9"/>
    <w:rPr>
      <w:rFonts w:asciiTheme="minorHAnsi" w:eastAsiaTheme="minorHAnsi" w:hAnsiTheme="minorHAnsi" w:cstheme="minorBidi"/>
      <w:sz w:val="24"/>
      <w:szCs w:val="24"/>
      <w:lang w:val="en-AU" w:eastAsia="en-US" w:bidi="ar-LB"/>
    </w:rPr>
  </w:style>
  <w:style w:type="paragraph" w:customStyle="1" w:styleId="Default">
    <w:name w:val="Default"/>
    <w:rsid w:val="008D64F9"/>
    <w:pPr>
      <w:autoSpaceDE w:val="0"/>
      <w:autoSpaceDN w:val="0"/>
      <w:adjustRightInd w:val="0"/>
    </w:pPr>
    <w:rPr>
      <w:rFonts w:ascii="Arial" w:eastAsiaTheme="minorHAnsi" w:hAnsi="Arial" w:cs="Arial"/>
      <w:color w:val="000000"/>
      <w:sz w:val="24"/>
      <w:szCs w:val="24"/>
      <w:lang w:val="en-GB" w:eastAsia="en-US" w:bidi="ar-LB"/>
    </w:rPr>
  </w:style>
  <w:style w:type="character" w:customStyle="1" w:styleId="b-stepstep-name">
    <w:name w:val="b-step__step-name"/>
    <w:basedOn w:val="DefaultParagraphFont"/>
    <w:rsid w:val="008D64F9"/>
  </w:style>
  <w:style w:type="paragraph" w:customStyle="1" w:styleId="CM1">
    <w:name w:val="CM1"/>
    <w:basedOn w:val="Default"/>
    <w:next w:val="Default"/>
    <w:uiPriority w:val="99"/>
    <w:rsid w:val="008D64F9"/>
    <w:pPr>
      <w:spacing w:line="278" w:lineRule="atLeast"/>
    </w:pPr>
    <w:rPr>
      <w:rFonts w:ascii="Times New Roman" w:hAnsi="Times New Roman" w:cs="Times New Roman"/>
      <w:color w:val="auto"/>
    </w:rPr>
  </w:style>
  <w:style w:type="character" w:styleId="FollowedHyperlink">
    <w:name w:val="FollowedHyperlink"/>
    <w:basedOn w:val="DefaultParagraphFont"/>
    <w:uiPriority w:val="99"/>
    <w:semiHidden/>
    <w:unhideWhenUsed/>
    <w:rsid w:val="008D64F9"/>
    <w:rPr>
      <w:color w:val="800080" w:themeColor="followedHyperlink"/>
      <w:u w:val="single"/>
    </w:rPr>
  </w:style>
  <w:style w:type="paragraph" w:styleId="HTMLPreformatted">
    <w:name w:val="HTML Preformatted"/>
    <w:basedOn w:val="Normal"/>
    <w:link w:val="HTMLPreformattedChar"/>
    <w:uiPriority w:val="99"/>
    <w:semiHidden/>
    <w:unhideWhenUsed/>
    <w:rsid w:val="008D6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Times New Roman" w:hAnsi="Courier New" w:cs="Courier New"/>
      <w:sz w:val="20"/>
      <w:szCs w:val="20"/>
      <w:lang w:val="en-AU" w:eastAsia="en-GB" w:bidi="ar-LB"/>
    </w:rPr>
  </w:style>
  <w:style w:type="character" w:customStyle="1" w:styleId="HTMLPreformattedChar">
    <w:name w:val="HTML Preformatted Char"/>
    <w:basedOn w:val="DefaultParagraphFont"/>
    <w:link w:val="HTMLPreformatted"/>
    <w:uiPriority w:val="99"/>
    <w:semiHidden/>
    <w:rsid w:val="008D64F9"/>
    <w:rPr>
      <w:rFonts w:ascii="Courier New" w:hAnsi="Courier New" w:cs="Courier New"/>
      <w:lang w:val="en-AU" w:eastAsia="en-GB" w:bidi="ar-LB"/>
    </w:rPr>
  </w:style>
  <w:style w:type="character" w:customStyle="1" w:styleId="y2iqfc">
    <w:name w:val="y2iqfc"/>
    <w:basedOn w:val="DefaultParagraphFont"/>
    <w:rsid w:val="008D64F9"/>
  </w:style>
  <w:style w:type="paragraph" w:styleId="BalloonText">
    <w:name w:val="Balloon Text"/>
    <w:basedOn w:val="Normal"/>
    <w:link w:val="BalloonTextChar"/>
    <w:uiPriority w:val="99"/>
    <w:semiHidden/>
    <w:unhideWhenUsed/>
    <w:rsid w:val="008D64F9"/>
    <w:pPr>
      <w:bidi w:val="0"/>
    </w:pPr>
    <w:rPr>
      <w:rFonts w:ascii="Segoe UI" w:eastAsia="Times New Roman" w:hAnsi="Segoe UI" w:cs="Segoe UI"/>
      <w:sz w:val="18"/>
      <w:szCs w:val="18"/>
      <w:lang w:val="en-AU" w:eastAsia="en-GB" w:bidi="ar-LB"/>
    </w:rPr>
  </w:style>
  <w:style w:type="character" w:customStyle="1" w:styleId="BalloonTextChar">
    <w:name w:val="Balloon Text Char"/>
    <w:basedOn w:val="DefaultParagraphFont"/>
    <w:link w:val="BalloonText"/>
    <w:uiPriority w:val="99"/>
    <w:semiHidden/>
    <w:rsid w:val="008D64F9"/>
    <w:rPr>
      <w:rFonts w:ascii="Segoe UI" w:hAnsi="Segoe UI" w:cs="Segoe UI"/>
      <w:sz w:val="18"/>
      <w:szCs w:val="18"/>
      <w:lang w:val="en-AU" w:eastAsia="en-GB" w:bidi="ar-LB"/>
    </w:rPr>
  </w:style>
  <w:style w:type="character" w:customStyle="1" w:styleId="HeaderChar">
    <w:name w:val="Header Char"/>
    <w:basedOn w:val="DefaultParagraphFont"/>
    <w:link w:val="Header"/>
    <w:uiPriority w:val="99"/>
    <w:rsid w:val="008D64F9"/>
    <w:rPr>
      <w:rFonts w:ascii="Arial" w:eastAsia="SimSun" w:hAnsi="Arial" w:cs="Calibri"/>
      <w:sz w:val="22"/>
      <w:szCs w:val="22"/>
      <w:lang w:val="en-US" w:eastAsia="zh-CN"/>
    </w:rPr>
  </w:style>
  <w:style w:type="character" w:styleId="CommentReference">
    <w:name w:val="annotation reference"/>
    <w:basedOn w:val="DefaultParagraphFont"/>
    <w:uiPriority w:val="99"/>
    <w:semiHidden/>
    <w:unhideWhenUsed/>
    <w:rsid w:val="008D64F9"/>
    <w:rPr>
      <w:sz w:val="16"/>
      <w:szCs w:val="16"/>
    </w:rPr>
  </w:style>
  <w:style w:type="character" w:customStyle="1" w:styleId="CommentTextChar">
    <w:name w:val="Comment Text Char"/>
    <w:basedOn w:val="DefaultParagraphFont"/>
    <w:uiPriority w:val="99"/>
    <w:semiHidden/>
    <w:rsid w:val="008D64F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D64F9"/>
    <w:pPr>
      <w:bidi w:val="0"/>
    </w:pPr>
    <w:rPr>
      <w:rFonts w:ascii="Times New Roman" w:eastAsia="Times New Roman" w:hAnsi="Times New Roman" w:cs="Times New Roman"/>
      <w:b/>
      <w:bCs/>
      <w:sz w:val="20"/>
      <w:szCs w:val="20"/>
      <w:lang w:val="en-AU" w:eastAsia="en-GB" w:bidi="ar-LB"/>
    </w:rPr>
  </w:style>
  <w:style w:type="character" w:customStyle="1" w:styleId="CommentTextChar1">
    <w:name w:val="Comment Text Char1"/>
    <w:basedOn w:val="DefaultParagraphFont"/>
    <w:link w:val="CommentText"/>
    <w:uiPriority w:val="99"/>
    <w:rsid w:val="008D64F9"/>
    <w:rPr>
      <w:rFonts w:ascii="Arial" w:eastAsia="SimSun" w:hAnsi="Arial" w:cs="Calibri"/>
      <w:sz w:val="18"/>
      <w:szCs w:val="22"/>
      <w:lang w:val="en-US" w:eastAsia="zh-CN"/>
    </w:rPr>
  </w:style>
  <w:style w:type="character" w:customStyle="1" w:styleId="CommentSubjectChar">
    <w:name w:val="Comment Subject Char"/>
    <w:basedOn w:val="CommentTextChar1"/>
    <w:link w:val="CommentSubject"/>
    <w:uiPriority w:val="99"/>
    <w:semiHidden/>
    <w:rsid w:val="008D64F9"/>
    <w:rPr>
      <w:rFonts w:ascii="Arial" w:eastAsia="SimSun" w:hAnsi="Arial" w:cs="Calibri"/>
      <w:b/>
      <w:bCs/>
      <w:sz w:val="18"/>
      <w:szCs w:val="22"/>
      <w:lang w:val="en-AU" w:eastAsia="en-GB" w:bidi="ar-LB"/>
    </w:rPr>
  </w:style>
  <w:style w:type="character" w:styleId="UnresolvedMention">
    <w:name w:val="Unresolved Mention"/>
    <w:basedOn w:val="DefaultParagraphFont"/>
    <w:uiPriority w:val="99"/>
    <w:semiHidden/>
    <w:unhideWhenUsed/>
    <w:rsid w:val="008D64F9"/>
    <w:rPr>
      <w:color w:val="605E5C"/>
      <w:shd w:val="clear" w:color="auto" w:fill="E1DFDD"/>
    </w:rPr>
  </w:style>
  <w:style w:type="paragraph" w:customStyle="1" w:styleId="subsection">
    <w:name w:val="subsection"/>
    <w:basedOn w:val="Normal"/>
    <w:rsid w:val="008D64F9"/>
    <w:pPr>
      <w:bidi w:val="0"/>
      <w:spacing w:before="100" w:beforeAutospacing="1" w:after="100" w:afterAutospacing="1"/>
    </w:pPr>
    <w:rPr>
      <w:rFonts w:ascii="Times New Roman" w:eastAsia="Times New Roman" w:hAnsi="Times New Roman" w:cs="Times New Roman"/>
      <w:sz w:val="24"/>
      <w:szCs w:val="24"/>
      <w:lang w:val="en-AU" w:eastAsia="en-GB" w:bidi="ar-LB"/>
    </w:rPr>
  </w:style>
  <w:style w:type="paragraph" w:customStyle="1" w:styleId="paragraph">
    <w:name w:val="paragraph"/>
    <w:basedOn w:val="Normal"/>
    <w:rsid w:val="008D64F9"/>
    <w:pPr>
      <w:bidi w:val="0"/>
      <w:spacing w:before="100" w:beforeAutospacing="1" w:after="100" w:afterAutospacing="1"/>
    </w:pPr>
    <w:rPr>
      <w:rFonts w:ascii="Times New Roman" w:eastAsia="Times New Roman" w:hAnsi="Times New Roman" w:cs="Times New Roman"/>
      <w:sz w:val="24"/>
      <w:szCs w:val="24"/>
      <w:lang w:val="en-AU" w:eastAsia="en-GB" w:bidi="ar-LB"/>
    </w:rPr>
  </w:style>
  <w:style w:type="character" w:styleId="Strong">
    <w:name w:val="Strong"/>
    <w:basedOn w:val="DefaultParagraphFont"/>
    <w:uiPriority w:val="22"/>
    <w:qFormat/>
    <w:rsid w:val="008D64F9"/>
    <w:rPr>
      <w:b/>
      <w:bCs/>
    </w:rPr>
  </w:style>
  <w:style w:type="paragraph" w:customStyle="1" w:styleId="CM50">
    <w:name w:val="CM50"/>
    <w:basedOn w:val="Default"/>
    <w:next w:val="Default"/>
    <w:uiPriority w:val="99"/>
    <w:rsid w:val="008D64F9"/>
    <w:rPr>
      <w:rFonts w:ascii="Times New Roman" w:eastAsia="Times New Roman" w:hAnsi="Times New Roman" w:cs="Times New Roman"/>
      <w:color w:val="auto"/>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wipolex/en/treaties/textdetails/1221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copyrighthistory.org/" TargetMode="External"/><Relationship Id="rId7" Type="http://schemas.openxmlformats.org/officeDocument/2006/relationships/hyperlink" Target="https://committees.parliament.uk/writtenevidence/114737/html/" TargetMode="External"/><Relationship Id="rId2" Type="http://schemas.openxmlformats.org/officeDocument/2006/relationships/hyperlink" Target="https://www.resale-right.org/countries-with-arr/" TargetMode="External"/><Relationship Id="rId1" Type="http://schemas.openxmlformats.org/officeDocument/2006/relationships/hyperlink" Target="https://www.resale-right.org/countries-with-arr/" TargetMode="External"/><Relationship Id="rId6" Type="http://schemas.openxmlformats.org/officeDocument/2006/relationships/hyperlink" Target="https://committees.parliament.uk/writtenevidence/114737/html/" TargetMode="External"/><Relationship Id="rId5" Type="http://schemas.openxmlformats.org/officeDocument/2006/relationships/hyperlink" Target="https://www.theverge.com/2021/3/11/22325054/beeple-christies-nft-sale-cost-everydays-69-million" TargetMode="External"/><Relationship Id="rId4" Type="http://schemas.openxmlformats.org/officeDocument/2006/relationships/hyperlink" Target="http://parlinfo.aph.gov.au/parlInfo/search/display/display.w3p;query=BillId_Phrase:r4010%20Title:%22second%20reading%22%20Content:%22I%20move%22|%22and%20move%22%20Content:%22be%20now%20read%20a%20second%20time%22%20(Dataset:hansardr%20|%20Dataset:hansards);re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76D22-FA3E-48BA-811C-C8D5E0615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55</Pages>
  <Words>19300</Words>
  <Characters>92082</Characters>
  <Application>Microsoft Office Word</Application>
  <DocSecurity>0</DocSecurity>
  <Lines>9208</Lines>
  <Paragraphs>6187</Paragraphs>
  <ScaleCrop>false</ScaleCrop>
  <HeadingPairs>
    <vt:vector size="2" baseType="variant">
      <vt:variant>
        <vt:lpstr>Title</vt:lpstr>
      </vt:variant>
      <vt:variant>
        <vt:i4>1</vt:i4>
      </vt:variant>
    </vt:vector>
  </HeadingPairs>
  <TitlesOfParts>
    <vt:vector size="1" baseType="lpstr">
      <vt:lpstr>SCCR/43/1 PROV.</vt:lpstr>
    </vt:vector>
  </TitlesOfParts>
  <Company>WIPO</Company>
  <LinksUpToDate>false</LinksUpToDate>
  <CharactersWithSpaces>105195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SCCR/43/1 PROV.</dc:title>
  <dc:creator>WIPO</dc:creator>
  <cp:keywords>FOR OFFICIAL USE ONLY</cp:keywords>
  <cp:lastModifiedBy>HAIZEL Francesca</cp:lastModifiedBy>
  <cp:revision>2</cp:revision>
  <cp:lastPrinted>2025-03-11T07:30:00Z</cp:lastPrinted>
  <dcterms:created xsi:type="dcterms:W3CDTF">2025-03-11T09:21:00Z</dcterms:created>
  <dcterms:modified xsi:type="dcterms:W3CDTF">2025-03-11T09:21:00Z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2025-03-11T06:17:24Z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30398cf5-abef-455c-9770-4a28d2ae5f41</vt:lpwstr>
  </property>
  <property fmtid="{D5CDD505-2E9C-101B-9397-08002B2CF9AE}" pid="13" name="MSIP_Label_20773ee6-353b-4fb9-a59d-0b94c8c67bea_ContentBits">
    <vt:lpwstr>0</vt:lpwstr>
  </property>
  <property fmtid="{D5CDD505-2E9C-101B-9397-08002B2CF9AE}" pid="14" name="MSIP_Label_20773ee6-353b-4fb9-a59d-0b94c8c67bea_Tag">
    <vt:lpwstr>10, 0, 1, 1</vt:lpwstr>
  </property>
</Properties>
</file>