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42091" w14:textId="77777777" w:rsidR="00616A15" w:rsidRDefault="00433A25">
      <w:pPr>
        <w:pBdr>
          <w:bottom w:val="single" w:sz="4" w:space="10" w:color="auto"/>
        </w:pBdr>
        <w:bidi w:val="0"/>
        <w:spacing w:after="120"/>
        <w:rPr>
          <w:b/>
          <w:sz w:val="32"/>
          <w:szCs w:val="40"/>
        </w:rPr>
      </w:pPr>
      <w:r>
        <w:rPr>
          <w:b/>
          <w:noProof/>
          <w:sz w:val="32"/>
          <w:szCs w:val="40"/>
          <w:lang w:eastAsia="en-US"/>
        </w:rPr>
        <mc:AlternateContent>
          <mc:Choice Requires="wpg">
            <w:drawing>
              <wp:inline distT="0" distB="0" distL="0" distR="0" wp14:anchorId="6C514C36" wp14:editId="05E59362">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57E22394" w14:textId="303BB0F8" w:rsidR="00616A15" w:rsidRDefault="00433A25">
      <w:pPr>
        <w:bidi w:val="0"/>
        <w:rPr>
          <w:rFonts w:ascii="Arial Black" w:hAnsi="Arial Black"/>
          <w:caps/>
          <w:sz w:val="15"/>
          <w:szCs w:val="15"/>
        </w:rPr>
      </w:pPr>
      <w:r>
        <w:rPr>
          <w:rFonts w:ascii="Arial Black" w:hAnsi="Arial Black"/>
          <w:caps/>
          <w:sz w:val="15"/>
          <w:szCs w:val="15"/>
        </w:rPr>
        <w:t>sccr/44/</w:t>
      </w:r>
      <w:bookmarkStart w:id="0" w:name="Code"/>
      <w:bookmarkEnd w:id="0"/>
      <w:r>
        <w:rPr>
          <w:rFonts w:ascii="Arial Black" w:hAnsi="Arial Black"/>
          <w:caps/>
          <w:sz w:val="15"/>
          <w:szCs w:val="15"/>
        </w:rPr>
        <w:t>7</w:t>
      </w:r>
      <w:r w:rsidR="0070267B">
        <w:rPr>
          <w:rFonts w:ascii="Arial Black" w:hAnsi="Arial Black"/>
          <w:caps/>
          <w:sz w:val="15"/>
          <w:szCs w:val="15"/>
        </w:rPr>
        <w:t xml:space="preserve"> REV.</w:t>
      </w:r>
    </w:p>
    <w:p w14:paraId="197BDADB" w14:textId="48C5A374" w:rsidR="00616A15" w:rsidRDefault="00433A25">
      <w:pPr>
        <w:jc w:val="right"/>
        <w:rPr>
          <w:rFonts w:asciiTheme="minorHAnsi" w:hAnsiTheme="minorHAnsi" w:cstheme="minorHAnsi"/>
          <w:b/>
          <w:bCs/>
          <w:caps/>
          <w:sz w:val="15"/>
          <w:szCs w:val="15"/>
        </w:rPr>
      </w:pPr>
      <w:bookmarkStart w:id="1" w:name="Original"/>
      <w:r>
        <w:rPr>
          <w:rFonts w:asciiTheme="minorHAnsi" w:hAnsiTheme="minorHAnsi" w:cstheme="minorHAnsi" w:hint="cs"/>
          <w:b/>
          <w:bCs/>
          <w:caps/>
          <w:sz w:val="15"/>
          <w:szCs w:val="15"/>
          <w:rtl/>
        </w:rPr>
        <w:t xml:space="preserve">الأصل: </w:t>
      </w:r>
      <w:r w:rsidR="0070267B">
        <w:rPr>
          <w:rFonts w:asciiTheme="minorHAnsi" w:hAnsiTheme="minorHAnsi" w:cstheme="minorHAnsi" w:hint="cs"/>
          <w:b/>
          <w:bCs/>
          <w:caps/>
          <w:sz w:val="15"/>
          <w:szCs w:val="15"/>
          <w:rtl/>
        </w:rPr>
        <w:t>بالإنكليزية</w:t>
      </w:r>
    </w:p>
    <w:p w14:paraId="3F87C13A" w14:textId="19892786" w:rsidR="00616A15" w:rsidRDefault="00433A25">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70267B">
        <w:rPr>
          <w:rFonts w:asciiTheme="minorHAnsi" w:hAnsiTheme="minorHAnsi" w:cstheme="minorHAnsi" w:hint="cs"/>
          <w:b/>
          <w:bCs/>
          <w:caps/>
          <w:sz w:val="15"/>
          <w:szCs w:val="15"/>
          <w:rtl/>
        </w:rPr>
        <w:t>8</w:t>
      </w:r>
      <w:r>
        <w:rPr>
          <w:rFonts w:asciiTheme="minorHAnsi" w:hAnsiTheme="minorHAnsi" w:cstheme="minorHAnsi" w:hint="cs"/>
          <w:b/>
          <w:bCs/>
          <w:caps/>
          <w:sz w:val="15"/>
          <w:szCs w:val="15"/>
          <w:rtl/>
        </w:rPr>
        <w:t xml:space="preserve"> </w:t>
      </w:r>
      <w:r w:rsidR="0070267B">
        <w:rPr>
          <w:rFonts w:asciiTheme="minorHAnsi" w:hAnsiTheme="minorHAnsi" w:cstheme="minorHAnsi" w:hint="cs"/>
          <w:b/>
          <w:bCs/>
          <w:caps/>
          <w:sz w:val="15"/>
          <w:szCs w:val="15"/>
          <w:rtl/>
        </w:rPr>
        <w:t>أبريل</w:t>
      </w:r>
      <w:r>
        <w:rPr>
          <w:rFonts w:asciiTheme="minorHAnsi" w:hAnsiTheme="minorHAnsi" w:cstheme="minorHAnsi" w:hint="cs"/>
          <w:b/>
          <w:bCs/>
          <w:caps/>
          <w:sz w:val="15"/>
          <w:szCs w:val="15"/>
          <w:rtl/>
        </w:rPr>
        <w:t xml:space="preserve"> </w:t>
      </w:r>
      <w:r w:rsidR="0070267B">
        <w:rPr>
          <w:rFonts w:asciiTheme="minorHAnsi" w:hAnsiTheme="minorHAnsi" w:cstheme="minorHAnsi" w:hint="cs"/>
          <w:b/>
          <w:bCs/>
          <w:caps/>
          <w:sz w:val="15"/>
          <w:szCs w:val="15"/>
          <w:rtl/>
        </w:rPr>
        <w:t>2025</w:t>
      </w:r>
    </w:p>
    <w:bookmarkEnd w:id="2"/>
    <w:p w14:paraId="560C945A" w14:textId="77777777" w:rsidR="00616A15" w:rsidRDefault="00433A25">
      <w:pPr>
        <w:pStyle w:val="Heading1"/>
      </w:pPr>
      <w:r>
        <w:rPr>
          <w:rtl/>
        </w:rPr>
        <w:t>اللجنة ال</w:t>
      </w:r>
      <w:r>
        <w:rPr>
          <w:rFonts w:hint="cs"/>
          <w:rtl/>
        </w:rPr>
        <w:t>دائمة المعنية بحق المؤلف والحقوق المجاورة</w:t>
      </w:r>
    </w:p>
    <w:p w14:paraId="3BA42912" w14:textId="77777777" w:rsidR="00616A15" w:rsidRDefault="00433A25">
      <w:pPr>
        <w:outlineLvl w:val="1"/>
        <w:rPr>
          <w:rFonts w:asciiTheme="minorHAnsi" w:hAnsiTheme="minorHAnsi" w:cstheme="minorHAnsi"/>
          <w:bCs/>
          <w:sz w:val="24"/>
          <w:szCs w:val="24"/>
        </w:rPr>
      </w:pPr>
      <w:r>
        <w:rPr>
          <w:rFonts w:asciiTheme="minorHAnsi" w:hAnsiTheme="minorHAnsi" w:cstheme="minorHAnsi" w:hint="cs"/>
          <w:bCs/>
          <w:sz w:val="24"/>
          <w:szCs w:val="24"/>
          <w:rtl/>
        </w:rPr>
        <w:t>الدورة الرابعة والأربعون</w:t>
      </w:r>
    </w:p>
    <w:p w14:paraId="23C8725B" w14:textId="77777777" w:rsidR="00616A15" w:rsidRDefault="00433A25">
      <w:pPr>
        <w:spacing w:after="720"/>
        <w:outlineLvl w:val="1"/>
        <w:rPr>
          <w:rFonts w:asciiTheme="minorHAnsi" w:hAnsiTheme="minorHAnsi" w:cstheme="minorHAnsi"/>
          <w:bCs/>
          <w:sz w:val="24"/>
          <w:szCs w:val="24"/>
        </w:rPr>
      </w:pPr>
      <w:r>
        <w:rPr>
          <w:rFonts w:asciiTheme="minorHAnsi" w:hAnsiTheme="minorHAnsi" w:cstheme="minorHAnsi" w:hint="cs"/>
          <w:bCs/>
          <w:sz w:val="24"/>
          <w:szCs w:val="24"/>
          <w:rtl/>
        </w:rPr>
        <w:t>جنيف، من 6 إلى 8 نوفمبر 2023</w:t>
      </w:r>
    </w:p>
    <w:p w14:paraId="5BD7C63A" w14:textId="77777777" w:rsidR="00616A15" w:rsidRDefault="00433A25">
      <w:pPr>
        <w:spacing w:after="360"/>
        <w:outlineLvl w:val="0"/>
        <w:rPr>
          <w:rFonts w:asciiTheme="minorHAnsi" w:hAnsiTheme="minorHAnsi" w:cstheme="minorHAnsi"/>
          <w:caps/>
          <w:sz w:val="24"/>
        </w:rPr>
      </w:pPr>
      <w:bookmarkStart w:id="3" w:name="TitleOfDoc"/>
      <w:r>
        <w:rPr>
          <w:rFonts w:asciiTheme="minorHAnsi" w:hAnsiTheme="minorHAnsi" w:cstheme="minorHAnsi" w:hint="cs"/>
          <w:caps/>
          <w:sz w:val="28"/>
          <w:szCs w:val="24"/>
          <w:rtl/>
        </w:rPr>
        <w:t>اقتراح بإجراء دراسة عن حقوق مؤلفي المواد السمعية البصرية ومكافأتهم مقابل استغلال مصنفاتهم</w:t>
      </w:r>
    </w:p>
    <w:p w14:paraId="7FDC8F9C" w14:textId="0193F428" w:rsidR="00616A15" w:rsidRDefault="00433A25">
      <w:pPr>
        <w:spacing w:after="1040"/>
        <w:rPr>
          <w:rFonts w:asciiTheme="minorHAnsi" w:hAnsiTheme="minorHAnsi" w:cstheme="minorHAnsi"/>
          <w:iCs/>
          <w:rtl/>
        </w:rPr>
      </w:pPr>
      <w:bookmarkStart w:id="4" w:name="Prepared"/>
      <w:bookmarkEnd w:id="3"/>
      <w:bookmarkEnd w:id="4"/>
      <w:r>
        <w:rPr>
          <w:rFonts w:asciiTheme="minorHAnsi" w:hAnsiTheme="minorHAnsi" w:cstheme="minorHAnsi" w:hint="cs"/>
          <w:iCs/>
          <w:rtl/>
        </w:rPr>
        <w:t>من إعداد</w:t>
      </w:r>
      <w:r w:rsidR="0070267B">
        <w:rPr>
          <w:rFonts w:asciiTheme="minorHAnsi" w:hAnsiTheme="minorHAnsi" w:cstheme="minorHAnsi" w:hint="cs"/>
          <w:iCs/>
          <w:rtl/>
        </w:rPr>
        <w:t xml:space="preserve"> وفد </w:t>
      </w:r>
      <w:r>
        <w:rPr>
          <w:rFonts w:asciiTheme="minorHAnsi" w:hAnsiTheme="minorHAnsi" w:cstheme="minorHAnsi" w:hint="cs"/>
          <w:iCs/>
          <w:rtl/>
        </w:rPr>
        <w:t>كوت ديفوار</w:t>
      </w:r>
    </w:p>
    <w:p w14:paraId="4B7E4D21" w14:textId="77777777" w:rsidR="00616A15" w:rsidRDefault="00433A25">
      <w:pPr>
        <w:bidi w:val="0"/>
        <w:rPr>
          <w:rFonts w:asciiTheme="minorHAnsi" w:hAnsiTheme="minorHAnsi" w:cstheme="minorHAnsi"/>
          <w:iCs/>
          <w:rtl/>
        </w:rPr>
      </w:pPr>
      <w:r>
        <w:rPr>
          <w:rFonts w:asciiTheme="minorHAnsi" w:hAnsiTheme="minorHAnsi" w:cstheme="minorHAnsi"/>
          <w:iCs/>
          <w:rtl/>
        </w:rPr>
        <w:br w:type="page"/>
      </w:r>
    </w:p>
    <w:p w14:paraId="4761D5C3" w14:textId="345621F9" w:rsidR="00616A15" w:rsidRDefault="00433A25">
      <w:pPr>
        <w:pStyle w:val="BodyText"/>
        <w:spacing w:after="480"/>
        <w:rPr>
          <w:sz w:val="24"/>
          <w:szCs w:val="24"/>
          <w:rtl/>
          <w:lang w:bidi="ar-EG"/>
        </w:rPr>
      </w:pPr>
      <w:r>
        <w:rPr>
          <w:rFonts w:hint="cs"/>
          <w:sz w:val="24"/>
          <w:szCs w:val="24"/>
          <w:rtl/>
        </w:rPr>
        <w:lastRenderedPageBreak/>
        <w:t xml:space="preserve">اقتراح بإجراء دراسة عن حقوق مؤلفي المواد السمعية البصرية </w:t>
      </w:r>
      <w:r w:rsidR="0070267B">
        <w:rPr>
          <w:rFonts w:hint="cs"/>
          <w:sz w:val="24"/>
          <w:szCs w:val="24"/>
          <w:rtl/>
        </w:rPr>
        <w:t xml:space="preserve">وآليات </w:t>
      </w:r>
      <w:r w:rsidR="00C66736">
        <w:rPr>
          <w:rFonts w:hint="cs"/>
          <w:sz w:val="24"/>
          <w:szCs w:val="24"/>
          <w:rtl/>
        </w:rPr>
        <w:t>دفع المكافآت لهم</w:t>
      </w:r>
      <w:r>
        <w:rPr>
          <w:rFonts w:hint="cs"/>
          <w:sz w:val="24"/>
          <w:szCs w:val="24"/>
          <w:rtl/>
        </w:rPr>
        <w:t xml:space="preserve"> مقابل استغلال مصنفاتهم لتقديمها إلى اللجنة الدائمة المعنية بحق المؤلف والحقوق المجاورة</w:t>
      </w:r>
    </w:p>
    <w:p w14:paraId="0F526D77" w14:textId="6FF4B9DB" w:rsidR="00616A15" w:rsidRDefault="00433A25">
      <w:pPr>
        <w:pStyle w:val="BodyText"/>
        <w:rPr>
          <w:lang w:val="fr-FR"/>
        </w:rPr>
      </w:pPr>
      <w:r>
        <w:rPr>
          <w:rtl/>
        </w:rPr>
        <w:t xml:space="preserve">نود أن نقترح أن تشرع </w:t>
      </w:r>
      <w:r w:rsidR="0070267B">
        <w:rPr>
          <w:rFonts w:hint="cs"/>
          <w:rtl/>
        </w:rPr>
        <w:t>المنظمة العالمية للملكية الفكرية (</w:t>
      </w:r>
      <w:r>
        <w:rPr>
          <w:rtl/>
        </w:rPr>
        <w:t>الويبو</w:t>
      </w:r>
      <w:r w:rsidR="0070267B">
        <w:rPr>
          <w:rFonts w:hint="cs"/>
          <w:rtl/>
        </w:rPr>
        <w:t>)</w:t>
      </w:r>
      <w:r>
        <w:rPr>
          <w:rtl/>
        </w:rPr>
        <w:t xml:space="preserve"> في عملية إذكاء الوعي من خلال التكليف بإجراء دراسة عن وضع </w:t>
      </w:r>
      <w:r>
        <w:rPr>
          <w:rFonts w:hint="cs"/>
          <w:rtl/>
        </w:rPr>
        <w:t>مؤلفي المواد</w:t>
      </w:r>
      <w:r>
        <w:rPr>
          <w:rtl/>
        </w:rPr>
        <w:t xml:space="preserve"> السمعي</w:t>
      </w:r>
      <w:r>
        <w:rPr>
          <w:rFonts w:hint="cs"/>
          <w:rtl/>
        </w:rPr>
        <w:t>ة</w:t>
      </w:r>
      <w:r>
        <w:rPr>
          <w:rtl/>
        </w:rPr>
        <w:t xml:space="preserve"> البصري</w:t>
      </w:r>
      <w:r>
        <w:rPr>
          <w:rFonts w:hint="cs"/>
          <w:rtl/>
        </w:rPr>
        <w:t>ة</w:t>
      </w:r>
      <w:r>
        <w:rPr>
          <w:rtl/>
        </w:rPr>
        <w:t>. وينبغي أن ترك</w:t>
      </w:r>
      <w:r>
        <w:rPr>
          <w:rFonts w:hint="cs"/>
          <w:rtl/>
        </w:rPr>
        <w:t>ّ</w:t>
      </w:r>
      <w:r>
        <w:rPr>
          <w:rtl/>
        </w:rPr>
        <w:t xml:space="preserve">ز </w:t>
      </w:r>
      <w:r>
        <w:rPr>
          <w:rFonts w:hint="cs"/>
          <w:rtl/>
        </w:rPr>
        <w:t>تلك</w:t>
      </w:r>
      <w:r>
        <w:rPr>
          <w:rtl/>
        </w:rPr>
        <w:t xml:space="preserve"> الدراسة على النماذج القائمة </w:t>
      </w:r>
      <w:r>
        <w:rPr>
          <w:rFonts w:hint="cs"/>
          <w:rtl/>
        </w:rPr>
        <w:t>الخاصة بتوفير ال</w:t>
      </w:r>
      <w:r>
        <w:rPr>
          <w:rtl/>
        </w:rPr>
        <w:t xml:space="preserve">حماية القانونية لمؤلفي </w:t>
      </w:r>
      <w:r>
        <w:rPr>
          <w:rFonts w:hint="cs"/>
          <w:rtl/>
        </w:rPr>
        <w:t xml:space="preserve">المواد </w:t>
      </w:r>
      <w:r>
        <w:rPr>
          <w:rtl/>
        </w:rPr>
        <w:t>السمعي</w:t>
      </w:r>
      <w:r>
        <w:rPr>
          <w:rFonts w:hint="cs"/>
          <w:rtl/>
        </w:rPr>
        <w:t>ة</w:t>
      </w:r>
      <w:r>
        <w:rPr>
          <w:rtl/>
        </w:rPr>
        <w:t xml:space="preserve"> البصري</w:t>
      </w:r>
      <w:r>
        <w:rPr>
          <w:rFonts w:hint="cs"/>
          <w:rtl/>
        </w:rPr>
        <w:t>ة</w:t>
      </w:r>
      <w:r>
        <w:rPr>
          <w:rtl/>
        </w:rPr>
        <w:t xml:space="preserve"> في جميع أنحاء العالم وتأثيرها على ممارسة حقوقهم و</w:t>
      </w:r>
      <w:r w:rsidR="00C66736">
        <w:rPr>
          <w:rFonts w:hint="cs"/>
          <w:rtl/>
        </w:rPr>
        <w:t xml:space="preserve">على طريقة </w:t>
      </w:r>
      <w:r w:rsidR="00873310">
        <w:rPr>
          <w:rFonts w:hint="cs"/>
          <w:rtl/>
        </w:rPr>
        <w:t>دفع المكافآت لهم</w:t>
      </w:r>
      <w:r w:rsidR="00C66736">
        <w:rPr>
          <w:rFonts w:hint="cs"/>
          <w:rtl/>
        </w:rPr>
        <w:t xml:space="preserve"> مقابل استغلال مصنفاتهم</w:t>
      </w:r>
      <w:r>
        <w:rPr>
          <w:rtl/>
        </w:rPr>
        <w:t xml:space="preserve">. </w:t>
      </w:r>
      <w:r>
        <w:rPr>
          <w:rFonts w:hint="cs"/>
          <w:rtl/>
        </w:rPr>
        <w:t>و</w:t>
      </w:r>
      <w:r>
        <w:rPr>
          <w:rtl/>
        </w:rPr>
        <w:t xml:space="preserve">نشهد </w:t>
      </w:r>
      <w:r>
        <w:rPr>
          <w:rFonts w:hint="cs"/>
          <w:rtl/>
        </w:rPr>
        <w:t xml:space="preserve">حالياً </w:t>
      </w:r>
      <w:r>
        <w:rPr>
          <w:rtl/>
        </w:rPr>
        <w:t>تطورا</w:t>
      </w:r>
      <w:r>
        <w:rPr>
          <w:rFonts w:hint="cs"/>
          <w:rtl/>
        </w:rPr>
        <w:t>ً</w:t>
      </w:r>
      <w:r>
        <w:rPr>
          <w:rtl/>
        </w:rPr>
        <w:t xml:space="preserve"> مثيرا</w:t>
      </w:r>
      <w:r>
        <w:rPr>
          <w:rFonts w:hint="cs"/>
          <w:rtl/>
        </w:rPr>
        <w:t>ً</w:t>
      </w:r>
      <w:r>
        <w:rPr>
          <w:rtl/>
        </w:rPr>
        <w:t xml:space="preserve"> للاهتمام في التشريعات التي تنص على حقوق المكافأة في الإدارة الجماعية في أوروبا وأمريكا اللاتينية وأفريقيا من أجل تجهيز أصحاب الحقوق بشكل أفضل</w:t>
      </w:r>
      <w:r>
        <w:rPr>
          <w:rFonts w:hint="cs"/>
          <w:rtl/>
        </w:rPr>
        <w:t>،</w:t>
      </w:r>
      <w:r>
        <w:rPr>
          <w:rtl/>
        </w:rPr>
        <w:t xml:space="preserve"> وخاصة مؤلفي</w:t>
      </w:r>
      <w:r>
        <w:rPr>
          <w:rFonts w:hint="cs"/>
          <w:rtl/>
        </w:rPr>
        <w:t xml:space="preserve"> المواد</w:t>
      </w:r>
      <w:r>
        <w:rPr>
          <w:rtl/>
        </w:rPr>
        <w:t xml:space="preserve"> السمعي</w:t>
      </w:r>
      <w:r>
        <w:rPr>
          <w:rFonts w:hint="cs"/>
          <w:rtl/>
        </w:rPr>
        <w:t>ة</w:t>
      </w:r>
      <w:r>
        <w:rPr>
          <w:rtl/>
        </w:rPr>
        <w:t xml:space="preserve"> البصري</w:t>
      </w:r>
      <w:r>
        <w:rPr>
          <w:rFonts w:hint="cs"/>
          <w:rtl/>
        </w:rPr>
        <w:t>ة،</w:t>
      </w:r>
      <w:r>
        <w:rPr>
          <w:rtl/>
        </w:rPr>
        <w:t xml:space="preserve"> للتعامل مع </w:t>
      </w:r>
      <w:r>
        <w:rPr>
          <w:rFonts w:hint="cs"/>
          <w:rtl/>
        </w:rPr>
        <w:t>الطفرة المسجّلة</w:t>
      </w:r>
      <w:r>
        <w:rPr>
          <w:rtl/>
        </w:rPr>
        <w:t xml:space="preserve"> في استغلال مصنفاتهم، لا سيما عبر الإنترنت.</w:t>
      </w:r>
      <w:r w:rsidR="00C66736">
        <w:rPr>
          <w:rFonts w:hint="cs"/>
          <w:rtl/>
        </w:rPr>
        <w:t xml:space="preserve"> </w:t>
      </w:r>
      <w:r w:rsidR="00C66736" w:rsidRPr="00C66736">
        <w:rPr>
          <w:rtl/>
        </w:rPr>
        <w:t>ولا بد من دراسة تلك التطورات والنماذج القائمة لتوفير الحماية القانونية لمؤلفي المواد السمعية البصرية في جميع مناطق العالم الأخرى.  وستستفيد الدراسة أيضاً من النظر فيما يلي: (1) كيف يمكن أن تؤثر القرصنة على ما يُدفع لمؤلفي المواد السمعية البصرية (على سبيل المثال مقارنة معدلات القرصنة مقابل معدلات الدفع حسب البلد/المنطقة)؛ (2) وكيف يمكن أن يؤثر الانضمام إلى المعاهدات الدولية على ما يُدفع لمؤلفي المواد السمعية البصرية (على سبيل المثال مقارنة آليات الدفع في البلدان التي انضمت إلى المعاهدات الدولية وتلك التي لم تنضم إليها)؛ (3) وكيف يمكن أن يؤثر وجود منظمات أو نقابات الإدارة الجماعية واتفاقات التفاوض الجماعي على ما يُدفع لمؤلفي المواد السمعية البصرية مقابل استغلال مصنفاتهم.</w:t>
      </w:r>
    </w:p>
    <w:p w14:paraId="683E169D" w14:textId="4DA7A2C1" w:rsidR="00616A15" w:rsidRDefault="00433A25">
      <w:pPr>
        <w:pStyle w:val="BodyText"/>
        <w:rPr>
          <w:lang w:val="fr-FR"/>
        </w:rPr>
      </w:pPr>
      <w:r>
        <w:rPr>
          <w:rFonts w:hint="cs"/>
          <w:rtl/>
          <w:lang w:val="fr-FR"/>
        </w:rPr>
        <w:t>و</w:t>
      </w:r>
      <w:r>
        <w:rPr>
          <w:rFonts w:hint="cs"/>
          <w:rtl/>
        </w:rPr>
        <w:t>يوجد</w:t>
      </w:r>
      <w:r>
        <w:rPr>
          <w:rtl/>
        </w:rPr>
        <w:t xml:space="preserve"> كت</w:t>
      </w:r>
      <w:r>
        <w:rPr>
          <w:rFonts w:hint="cs"/>
          <w:rtl/>
        </w:rPr>
        <w:t>ّ</w:t>
      </w:r>
      <w:r>
        <w:rPr>
          <w:rtl/>
        </w:rPr>
        <w:t>اب السيناريو</w:t>
      </w:r>
      <w:r>
        <w:rPr>
          <w:rFonts w:hint="cs"/>
          <w:rtl/>
        </w:rPr>
        <w:t>هات</w:t>
      </w:r>
      <w:r>
        <w:rPr>
          <w:rtl/>
        </w:rPr>
        <w:t xml:space="preserve"> والمخرجون، من بين آخرين، في </w:t>
      </w:r>
      <w:r>
        <w:rPr>
          <w:rFonts w:hint="cs"/>
          <w:rtl/>
        </w:rPr>
        <w:t>صميم</w:t>
      </w:r>
      <w:r>
        <w:rPr>
          <w:rtl/>
        </w:rPr>
        <w:t xml:space="preserve"> العملية الإبداعية للصناعة السمعية البصرية، لكن</w:t>
      </w:r>
      <w:r>
        <w:rPr>
          <w:rFonts w:hint="cs"/>
          <w:rtl/>
        </w:rPr>
        <w:t>ّ</w:t>
      </w:r>
      <w:r>
        <w:rPr>
          <w:rtl/>
        </w:rPr>
        <w:t xml:space="preserve"> وضعهم القانوني والاقتصادي يختلف اختلافا</w:t>
      </w:r>
      <w:r>
        <w:rPr>
          <w:rFonts w:hint="cs"/>
          <w:rtl/>
        </w:rPr>
        <w:t>ً</w:t>
      </w:r>
      <w:r>
        <w:rPr>
          <w:rtl/>
        </w:rPr>
        <w:t xml:space="preserve"> كبيرا</w:t>
      </w:r>
      <w:r>
        <w:rPr>
          <w:rFonts w:hint="cs"/>
          <w:rtl/>
        </w:rPr>
        <w:t>ً</w:t>
      </w:r>
      <w:r>
        <w:rPr>
          <w:rtl/>
        </w:rPr>
        <w:t xml:space="preserve"> من بلد إلى آخر. </w:t>
      </w:r>
      <w:r>
        <w:rPr>
          <w:rFonts w:hint="cs"/>
          <w:rtl/>
        </w:rPr>
        <w:t>ف</w:t>
      </w:r>
      <w:r>
        <w:rPr>
          <w:rtl/>
        </w:rPr>
        <w:t>في بعض المناطق، لا ي</w:t>
      </w:r>
      <w:r>
        <w:rPr>
          <w:rFonts w:hint="cs"/>
          <w:rtl/>
        </w:rPr>
        <w:t>ُ</w:t>
      </w:r>
      <w:r>
        <w:rPr>
          <w:rtl/>
        </w:rPr>
        <w:t>عترف بهم كمؤلفين للمصنفات السمعية البصرية، و</w:t>
      </w:r>
      <w:r w:rsidR="00873310">
        <w:rPr>
          <w:rFonts w:hint="cs"/>
          <w:rtl/>
        </w:rPr>
        <w:t xml:space="preserve">قد </w:t>
      </w:r>
      <w:r w:rsidR="00873310">
        <w:rPr>
          <w:rtl/>
        </w:rPr>
        <w:t>لا ي</w:t>
      </w:r>
      <w:r w:rsidR="00873310">
        <w:rPr>
          <w:rFonts w:hint="cs"/>
          <w:rtl/>
        </w:rPr>
        <w:t xml:space="preserve">ستفيدون </w:t>
      </w:r>
      <w:r>
        <w:rPr>
          <w:rtl/>
        </w:rPr>
        <w:t xml:space="preserve">بالتالي </w:t>
      </w:r>
      <w:r>
        <w:rPr>
          <w:rFonts w:hint="cs"/>
          <w:rtl/>
        </w:rPr>
        <w:t xml:space="preserve">من </w:t>
      </w:r>
      <w:r>
        <w:rPr>
          <w:rtl/>
        </w:rPr>
        <w:t xml:space="preserve">أي حماية. ومع </w:t>
      </w:r>
      <w:r>
        <w:rPr>
          <w:rFonts w:hint="cs"/>
          <w:rtl/>
        </w:rPr>
        <w:t>تزايد</w:t>
      </w:r>
      <w:r>
        <w:rPr>
          <w:rtl/>
        </w:rPr>
        <w:t xml:space="preserve"> حجم الإنتاج السمعي البصري، الذي ي</w:t>
      </w:r>
      <w:r>
        <w:rPr>
          <w:rFonts w:hint="cs"/>
          <w:rtl/>
        </w:rPr>
        <w:t>ُ</w:t>
      </w:r>
      <w:r>
        <w:rPr>
          <w:rtl/>
        </w:rPr>
        <w:t>عزى جزئيا</w:t>
      </w:r>
      <w:r>
        <w:rPr>
          <w:rFonts w:hint="cs"/>
          <w:rtl/>
        </w:rPr>
        <w:t>ً</w:t>
      </w:r>
      <w:r>
        <w:rPr>
          <w:rtl/>
        </w:rPr>
        <w:t xml:space="preserve"> إلى تطور الخدمات عند الطلب والخدمات الإلكترونية، والاستخدام الواسع النطاق ل</w:t>
      </w:r>
      <w:r>
        <w:rPr>
          <w:rFonts w:hint="cs"/>
          <w:rtl/>
        </w:rPr>
        <w:t>ما يُسمى</w:t>
      </w:r>
      <w:r>
        <w:rPr>
          <w:rtl/>
        </w:rPr>
        <w:t xml:space="preserve"> "عقود </w:t>
      </w:r>
      <w:r>
        <w:rPr>
          <w:rFonts w:hint="cs"/>
          <w:rtl/>
        </w:rPr>
        <w:t>الاستحواذ</w:t>
      </w:r>
      <w:r>
        <w:rPr>
          <w:rtl/>
        </w:rPr>
        <w:t xml:space="preserve">" </w:t>
      </w:r>
      <w:r w:rsidR="00873310">
        <w:rPr>
          <w:rFonts w:hint="cs"/>
          <w:rtl/>
        </w:rPr>
        <w:t>(</w:t>
      </w:r>
      <w:r>
        <w:rPr>
          <w:rtl/>
        </w:rPr>
        <w:t xml:space="preserve">التي </w:t>
      </w:r>
      <w:r w:rsidR="00873310">
        <w:rPr>
          <w:rFonts w:hint="cs"/>
          <w:rtl/>
        </w:rPr>
        <w:t>ينقل</w:t>
      </w:r>
      <w:r>
        <w:rPr>
          <w:rtl/>
        </w:rPr>
        <w:t xml:space="preserve"> بموجبها المبدعون </w:t>
      </w:r>
      <w:r w:rsidR="00873310">
        <w:rPr>
          <w:rFonts w:hint="cs"/>
          <w:rtl/>
        </w:rPr>
        <w:t>ملكية حق المؤلف الخاص بهم، وأي حق في إيرادات ترد في المستقبل من الإتاوات، إلى المنتجين</w:t>
      </w:r>
      <w:r>
        <w:rPr>
          <w:rtl/>
        </w:rPr>
        <w:t xml:space="preserve"> مقابل دفع مبلغ مقطوع</w:t>
      </w:r>
      <w:r w:rsidR="00873310">
        <w:rPr>
          <w:rFonts w:hint="cs"/>
          <w:rtl/>
        </w:rPr>
        <w:t xml:space="preserve"> مقدماً)</w:t>
      </w:r>
      <w:r>
        <w:rPr>
          <w:rtl/>
        </w:rPr>
        <w:t xml:space="preserve">، </w:t>
      </w:r>
      <w:r w:rsidR="00E04C08">
        <w:rPr>
          <w:rFonts w:hint="cs"/>
          <w:rtl/>
        </w:rPr>
        <w:t>س</w:t>
      </w:r>
      <w:r w:rsidR="00873310">
        <w:rPr>
          <w:rFonts w:hint="cs"/>
          <w:rtl/>
        </w:rPr>
        <w:t xml:space="preserve">يكون من المفيد </w:t>
      </w:r>
      <w:r w:rsidR="00E04C08">
        <w:rPr>
          <w:rFonts w:hint="cs"/>
          <w:rtl/>
        </w:rPr>
        <w:t>إجراء استقصاء</w:t>
      </w:r>
      <w:r>
        <w:rPr>
          <w:rtl/>
        </w:rPr>
        <w:t xml:space="preserve"> </w:t>
      </w:r>
      <w:r w:rsidR="00E04C08">
        <w:rPr>
          <w:rFonts w:hint="cs"/>
          <w:rtl/>
        </w:rPr>
        <w:t>ال</w:t>
      </w:r>
      <w:r>
        <w:rPr>
          <w:rtl/>
        </w:rPr>
        <w:t xml:space="preserve">حماية القانونية والاقتصادية لمؤلفي </w:t>
      </w:r>
      <w:r>
        <w:rPr>
          <w:rFonts w:hint="cs"/>
          <w:rtl/>
        </w:rPr>
        <w:t xml:space="preserve">المواد </w:t>
      </w:r>
      <w:r>
        <w:rPr>
          <w:rtl/>
        </w:rPr>
        <w:t>السمعي</w:t>
      </w:r>
      <w:r>
        <w:rPr>
          <w:rFonts w:hint="cs"/>
          <w:rtl/>
        </w:rPr>
        <w:t>ة</w:t>
      </w:r>
      <w:r>
        <w:rPr>
          <w:rtl/>
        </w:rPr>
        <w:t xml:space="preserve"> البصري</w:t>
      </w:r>
      <w:r>
        <w:rPr>
          <w:rFonts w:hint="cs"/>
          <w:rtl/>
        </w:rPr>
        <w:t>ة</w:t>
      </w:r>
      <w:r>
        <w:rPr>
          <w:rtl/>
        </w:rPr>
        <w:t>.</w:t>
      </w:r>
    </w:p>
    <w:p w14:paraId="30F68191" w14:textId="1A957D3F" w:rsidR="00616A15" w:rsidRDefault="00433A25">
      <w:pPr>
        <w:pStyle w:val="BodyText"/>
        <w:rPr>
          <w:lang w:val="fr-FR"/>
        </w:rPr>
      </w:pPr>
      <w:r>
        <w:rPr>
          <w:rFonts w:hint="cs"/>
          <w:rtl/>
        </w:rPr>
        <w:t>ومن الأفضل</w:t>
      </w:r>
      <w:r>
        <w:rPr>
          <w:rtl/>
        </w:rPr>
        <w:t xml:space="preserve"> ألا</w:t>
      </w:r>
      <w:r>
        <w:rPr>
          <w:rFonts w:hint="cs"/>
          <w:rtl/>
        </w:rPr>
        <w:t>ّ</w:t>
      </w:r>
      <w:r>
        <w:rPr>
          <w:rtl/>
        </w:rPr>
        <w:t xml:space="preserve"> </w:t>
      </w:r>
      <w:r>
        <w:rPr>
          <w:rFonts w:hint="cs"/>
          <w:rtl/>
        </w:rPr>
        <w:t>تقتصر</w:t>
      </w:r>
      <w:r>
        <w:rPr>
          <w:rtl/>
        </w:rPr>
        <w:t xml:space="preserve"> الدراسة </w:t>
      </w:r>
      <w:r>
        <w:rPr>
          <w:rFonts w:hint="cs"/>
          <w:rtl/>
        </w:rPr>
        <w:t xml:space="preserve">في تركيزها </w:t>
      </w:r>
      <w:r>
        <w:rPr>
          <w:rtl/>
        </w:rPr>
        <w:t>على وضع كت</w:t>
      </w:r>
      <w:r>
        <w:rPr>
          <w:rFonts w:hint="cs"/>
          <w:rtl/>
        </w:rPr>
        <w:t>ّ</w:t>
      </w:r>
      <w:r>
        <w:rPr>
          <w:rtl/>
        </w:rPr>
        <w:t>اب السيناريو</w:t>
      </w:r>
      <w:r>
        <w:rPr>
          <w:rFonts w:hint="cs"/>
          <w:rtl/>
        </w:rPr>
        <w:t>هات</w:t>
      </w:r>
      <w:r>
        <w:rPr>
          <w:rtl/>
        </w:rPr>
        <w:t xml:space="preserve"> والمخرجين باعتبارهم المشاركين </w:t>
      </w:r>
      <w:r w:rsidR="00114950">
        <w:rPr>
          <w:rFonts w:hint="cs"/>
          <w:rtl/>
        </w:rPr>
        <w:t>المحتملين</w:t>
      </w:r>
      <w:r>
        <w:rPr>
          <w:rtl/>
        </w:rPr>
        <w:t xml:space="preserve"> </w:t>
      </w:r>
      <w:r>
        <w:rPr>
          <w:rFonts w:hint="cs"/>
          <w:rtl/>
        </w:rPr>
        <w:t>في تأليف ا</w:t>
      </w:r>
      <w:r>
        <w:rPr>
          <w:rtl/>
        </w:rPr>
        <w:t xml:space="preserve">لمصنفات السمعية البصرية، بل يمكن أن </w:t>
      </w:r>
      <w:r>
        <w:rPr>
          <w:rFonts w:hint="cs"/>
          <w:rtl/>
        </w:rPr>
        <w:t>تتناول</w:t>
      </w:r>
      <w:r>
        <w:rPr>
          <w:rtl/>
        </w:rPr>
        <w:t xml:space="preserve">، في سياق أعم، جميع المؤلفين الآخرين الذين </w:t>
      </w:r>
      <w:r>
        <w:rPr>
          <w:rFonts w:hint="cs"/>
          <w:rtl/>
        </w:rPr>
        <w:t>يساهمون</w:t>
      </w:r>
      <w:r>
        <w:rPr>
          <w:rtl/>
        </w:rPr>
        <w:t xml:space="preserve">، </w:t>
      </w:r>
      <w:r>
        <w:rPr>
          <w:rFonts w:hint="cs"/>
          <w:rtl/>
        </w:rPr>
        <w:t>بما يقدمه كل منهم</w:t>
      </w:r>
      <w:r>
        <w:rPr>
          <w:rtl/>
        </w:rPr>
        <w:t xml:space="preserve">، في إبداع المصنف السمعي البصري. وينبغي أن </w:t>
      </w:r>
      <w:r w:rsidR="00114950">
        <w:rPr>
          <w:rFonts w:hint="cs"/>
          <w:rtl/>
        </w:rPr>
        <w:t>تستقصي</w:t>
      </w:r>
      <w:r>
        <w:rPr>
          <w:rtl/>
        </w:rPr>
        <w:t xml:space="preserve"> </w:t>
      </w:r>
      <w:r>
        <w:rPr>
          <w:rFonts w:hint="cs"/>
          <w:rtl/>
        </w:rPr>
        <w:t xml:space="preserve">الدراسة </w:t>
      </w:r>
      <w:r w:rsidR="00114950">
        <w:rPr>
          <w:rFonts w:hint="cs"/>
          <w:rtl/>
        </w:rPr>
        <w:t>كيفية تعامل مختلف الولايات القضائية مع أبوة المصنفات السمعية البصرية، و</w:t>
      </w:r>
      <w:r>
        <w:rPr>
          <w:rtl/>
        </w:rPr>
        <w:t xml:space="preserve">الحقوق الممنوحة </w:t>
      </w:r>
      <w:r w:rsidR="00114950">
        <w:rPr>
          <w:rFonts w:hint="cs"/>
          <w:rtl/>
        </w:rPr>
        <w:t>لمؤلفي المواد السمعية البصرية</w:t>
      </w:r>
      <w:r>
        <w:rPr>
          <w:rtl/>
        </w:rPr>
        <w:t xml:space="preserve"> في مناطق مختلفة من العالم والطريقة التي يمارسونها بها، وعلاقتهم التعاقدية مع المنتجين</w:t>
      </w:r>
      <w:r w:rsidR="00114950">
        <w:rPr>
          <w:rFonts w:hint="cs"/>
          <w:rtl/>
        </w:rPr>
        <w:t xml:space="preserve"> والأطراف المعنية الأخرى</w:t>
      </w:r>
      <w:r>
        <w:rPr>
          <w:rtl/>
        </w:rPr>
        <w:t>، والطرق المختلفة التي ت</w:t>
      </w:r>
      <w:r>
        <w:rPr>
          <w:rFonts w:hint="cs"/>
          <w:rtl/>
        </w:rPr>
        <w:t>ُ</w:t>
      </w:r>
      <w:r>
        <w:rPr>
          <w:rtl/>
        </w:rPr>
        <w:t>ستغل بها مصنفاتهم، ودور منظمات الإدارة الجماعية الخاصة بهم</w:t>
      </w:r>
      <w:r w:rsidR="00114950">
        <w:rPr>
          <w:rFonts w:hint="cs"/>
          <w:rtl/>
        </w:rPr>
        <w:t>، وحسب الاقتضاء، تأثير النقابات واتفاقات التفاوض الجماعي</w:t>
      </w:r>
      <w:r>
        <w:rPr>
          <w:rtl/>
        </w:rPr>
        <w:t>.</w:t>
      </w:r>
    </w:p>
    <w:p w14:paraId="7BD56D2A" w14:textId="0B534665" w:rsidR="00616A15" w:rsidRDefault="00433A25">
      <w:pPr>
        <w:pStyle w:val="BodyText"/>
        <w:rPr>
          <w:lang w:val="fr-FR"/>
        </w:rPr>
      </w:pPr>
      <w:r>
        <w:rPr>
          <w:rtl/>
        </w:rPr>
        <w:t>وينبغي أن ترك</w:t>
      </w:r>
      <w:r>
        <w:rPr>
          <w:rFonts w:hint="cs"/>
          <w:rtl/>
        </w:rPr>
        <w:t>ّ</w:t>
      </w:r>
      <w:r>
        <w:rPr>
          <w:rtl/>
        </w:rPr>
        <w:t>ز الدراسة على قدرة مؤلفي</w:t>
      </w:r>
      <w:r>
        <w:rPr>
          <w:rFonts w:hint="cs"/>
          <w:rtl/>
        </w:rPr>
        <w:t xml:space="preserve"> المواد</w:t>
      </w:r>
      <w:r>
        <w:rPr>
          <w:rtl/>
        </w:rPr>
        <w:t xml:space="preserve"> السمعي</w:t>
      </w:r>
      <w:r>
        <w:rPr>
          <w:rFonts w:hint="cs"/>
          <w:rtl/>
        </w:rPr>
        <w:t>ة</w:t>
      </w:r>
      <w:r>
        <w:rPr>
          <w:rtl/>
        </w:rPr>
        <w:t xml:space="preserve"> البصري</w:t>
      </w:r>
      <w:r>
        <w:rPr>
          <w:rFonts w:hint="cs"/>
          <w:rtl/>
        </w:rPr>
        <w:t>ة</w:t>
      </w:r>
      <w:r>
        <w:rPr>
          <w:rtl/>
        </w:rPr>
        <w:t xml:space="preserve"> و/أو حقهم في الحصول على </w:t>
      </w:r>
      <w:r w:rsidR="00A341D0">
        <w:rPr>
          <w:rFonts w:hint="cs"/>
          <w:rtl/>
        </w:rPr>
        <w:t>مدفوعات</w:t>
      </w:r>
      <w:r>
        <w:rPr>
          <w:rtl/>
        </w:rPr>
        <w:t xml:space="preserve"> </w:t>
      </w:r>
      <w:r w:rsidR="00A341D0">
        <w:rPr>
          <w:rFonts w:hint="cs"/>
          <w:rtl/>
        </w:rPr>
        <w:t>مناسبة</w:t>
      </w:r>
      <w:r>
        <w:rPr>
          <w:rtl/>
        </w:rPr>
        <w:t xml:space="preserve"> مقابل استغلال مصنفاتهم في وسائط مختلفة، </w:t>
      </w:r>
      <w:r>
        <w:rPr>
          <w:rFonts w:hint="cs"/>
          <w:rtl/>
        </w:rPr>
        <w:t>وبخاصة في</w:t>
      </w:r>
      <w:r>
        <w:rPr>
          <w:rtl/>
        </w:rPr>
        <w:t xml:space="preserve">ما يتعلق بالطرق الجديدة لاستغلال المصنفات السمعية البصرية </w:t>
      </w:r>
      <w:r>
        <w:rPr>
          <w:rFonts w:hint="cs"/>
          <w:rtl/>
        </w:rPr>
        <w:t>عن طريق</w:t>
      </w:r>
      <w:r>
        <w:rPr>
          <w:rtl/>
        </w:rPr>
        <w:t xml:space="preserve"> الخدمات عند الطلب والخدمات الإلكترونية (حق الإتاحة).</w:t>
      </w:r>
    </w:p>
    <w:p w14:paraId="45C9EE20" w14:textId="5D68E959" w:rsidR="00616A15" w:rsidRDefault="00433A25">
      <w:pPr>
        <w:pStyle w:val="BodyText"/>
        <w:rPr>
          <w:lang w:val="fr-FR"/>
        </w:rPr>
      </w:pPr>
      <w:r>
        <w:rPr>
          <w:rtl/>
        </w:rPr>
        <w:t xml:space="preserve">ومن خلال تحليل </w:t>
      </w:r>
      <w:r w:rsidR="00A341D0">
        <w:rPr>
          <w:rFonts w:hint="cs"/>
          <w:rtl/>
        </w:rPr>
        <w:t xml:space="preserve">واستعراض </w:t>
      </w:r>
      <w:r>
        <w:rPr>
          <w:rtl/>
        </w:rPr>
        <w:t xml:space="preserve">الأنظمة القانونية </w:t>
      </w:r>
      <w:r w:rsidR="00A341D0">
        <w:rPr>
          <w:rFonts w:hint="cs"/>
          <w:rtl/>
        </w:rPr>
        <w:t>القائمة</w:t>
      </w:r>
      <w:r>
        <w:rPr>
          <w:rtl/>
        </w:rPr>
        <w:t xml:space="preserve"> في جميع أنحاء العالم</w:t>
      </w:r>
      <w:r w:rsidR="00A341D0">
        <w:rPr>
          <w:rFonts w:hint="cs"/>
          <w:rtl/>
        </w:rPr>
        <w:t xml:space="preserve"> بشأن حماية مؤلفي المواد السمعية البصرية</w:t>
      </w:r>
      <w:r>
        <w:rPr>
          <w:rtl/>
        </w:rPr>
        <w:t xml:space="preserve">، </w:t>
      </w:r>
      <w:r w:rsidR="00A341D0">
        <w:rPr>
          <w:rFonts w:hint="cs"/>
          <w:rtl/>
        </w:rPr>
        <w:t>ستساعد</w:t>
      </w:r>
      <w:r>
        <w:rPr>
          <w:rtl/>
        </w:rPr>
        <w:t xml:space="preserve"> الدراسة </w:t>
      </w:r>
      <w:r w:rsidR="00A341D0">
        <w:rPr>
          <w:rFonts w:hint="cs"/>
          <w:rtl/>
        </w:rPr>
        <w:t>واضعي السياسات على المستوى الوطني في فهم مختلف النُهج إزاء آليات دفع المكافآت لمؤلفي المواد السمعية البصرية مقابل الاستغلال الاقتصادي لمصنفاتهم، وإبلاغهم بالطرق المتاحة لدعم قدرة المؤلفين على مواصلة الإبداع</w:t>
      </w:r>
      <w:r>
        <w:rPr>
          <w:rtl/>
        </w:rPr>
        <w:t>.</w:t>
      </w:r>
    </w:p>
    <w:p w14:paraId="6EC123DA" w14:textId="77777777" w:rsidR="00616A15" w:rsidRDefault="00433A25">
      <w:pPr>
        <w:pStyle w:val="BodyText"/>
        <w:rPr>
          <w:rtl/>
        </w:rPr>
      </w:pPr>
      <w:r>
        <w:rPr>
          <w:rtl/>
        </w:rPr>
        <w:t xml:space="preserve">ونحن واثقون من أن أعضاء </w:t>
      </w:r>
      <w:r>
        <w:rPr>
          <w:rFonts w:hint="cs"/>
          <w:rtl/>
        </w:rPr>
        <w:t>لجنة حق المؤلف</w:t>
      </w:r>
      <w:r>
        <w:rPr>
          <w:rtl/>
        </w:rPr>
        <w:t xml:space="preserve"> والمراقبين فيها سيستفيدون من تبادل المعارف والممارسات بشأن هذه المسألة ذات الأهمية القصوى </w:t>
      </w:r>
      <w:r>
        <w:rPr>
          <w:rFonts w:hint="cs"/>
          <w:rtl/>
        </w:rPr>
        <w:t xml:space="preserve">بالنسبة لمجتمع مؤلفي المواد السمعية البصرية على الصعيد </w:t>
      </w:r>
      <w:r>
        <w:rPr>
          <w:rtl/>
        </w:rPr>
        <w:t>العالمي.</w:t>
      </w:r>
    </w:p>
    <w:p w14:paraId="7903CBB0" w14:textId="604D727D" w:rsidR="00A341D0" w:rsidRDefault="00BF134F">
      <w:pPr>
        <w:pStyle w:val="BodyText"/>
        <w:rPr>
          <w:rtl/>
          <w:lang w:val="fr-FR"/>
        </w:rPr>
      </w:pPr>
      <w:r w:rsidRPr="00BF134F">
        <w:rPr>
          <w:rtl/>
          <w:lang w:val="fr-FR"/>
        </w:rPr>
        <w:t>ومراعاة</w:t>
      </w:r>
      <w:r>
        <w:rPr>
          <w:rFonts w:hint="cs"/>
          <w:rtl/>
          <w:lang w:val="fr-FR"/>
        </w:rPr>
        <w:t>ً</w:t>
      </w:r>
      <w:r w:rsidRPr="00BF134F">
        <w:rPr>
          <w:rtl/>
          <w:lang w:val="fr-FR"/>
        </w:rPr>
        <w:t xml:space="preserve"> لاقتراح بعض الوفود بتوسيع نطاق هذه الدراسة ل</w:t>
      </w:r>
      <w:r w:rsidR="00D0398F">
        <w:rPr>
          <w:rFonts w:hint="cs"/>
          <w:rtl/>
          <w:lang w:val="fr-FR"/>
        </w:rPr>
        <w:t>ي</w:t>
      </w:r>
      <w:r w:rsidRPr="00BF134F">
        <w:rPr>
          <w:rtl/>
          <w:lang w:val="fr-FR"/>
        </w:rPr>
        <w:t>شمل فناني الأداء السمعي البصري، يقترح وفد كوت ديفوار إقرار ذلك</w:t>
      </w:r>
      <w:r>
        <w:rPr>
          <w:rFonts w:hint="cs"/>
          <w:rtl/>
          <w:lang w:val="fr-FR"/>
        </w:rPr>
        <w:t> </w:t>
      </w:r>
      <w:r w:rsidRPr="00BF134F">
        <w:rPr>
          <w:rtl/>
          <w:lang w:val="fr-FR"/>
        </w:rPr>
        <w:t>التوسيع.</w:t>
      </w:r>
    </w:p>
    <w:p w14:paraId="763006B1" w14:textId="0BA65C56" w:rsidR="00BF134F" w:rsidRDefault="00BF134F">
      <w:pPr>
        <w:pStyle w:val="BodyText"/>
        <w:rPr>
          <w:lang w:val="fr-FR"/>
        </w:rPr>
      </w:pPr>
      <w:r w:rsidRPr="00BF134F">
        <w:rPr>
          <w:rtl/>
          <w:lang w:val="fr-FR"/>
        </w:rPr>
        <w:t xml:space="preserve">بالفعل، وبالنظر إلى هدف الدراسة المتمثل في تقديم نظرة شاملة للحماية القانونية والاقتصادية المقدمة لكل المساهمين في المصنفات السمعية البصرية، فمن </w:t>
      </w:r>
      <w:r w:rsidR="00D0398F">
        <w:rPr>
          <w:rFonts w:hint="cs"/>
          <w:rtl/>
          <w:lang w:val="fr-FR"/>
        </w:rPr>
        <w:t>المهم للغاية</w:t>
      </w:r>
      <w:r w:rsidRPr="00BF134F">
        <w:rPr>
          <w:rtl/>
          <w:lang w:val="fr-FR"/>
        </w:rPr>
        <w:t xml:space="preserve"> توسيع نطاقها ل</w:t>
      </w:r>
      <w:r w:rsidR="00D0398F">
        <w:rPr>
          <w:rFonts w:hint="cs"/>
          <w:rtl/>
          <w:lang w:val="fr-FR"/>
        </w:rPr>
        <w:t>ي</w:t>
      </w:r>
      <w:r w:rsidRPr="00BF134F">
        <w:rPr>
          <w:rtl/>
          <w:lang w:val="fr-FR"/>
        </w:rPr>
        <w:t xml:space="preserve">شمل فناني الأداء السمعي البصري. </w:t>
      </w:r>
      <w:r w:rsidR="00D0398F">
        <w:rPr>
          <w:rFonts w:hint="cs"/>
          <w:rtl/>
          <w:lang w:val="fr-FR"/>
        </w:rPr>
        <w:t>ف</w:t>
      </w:r>
      <w:r w:rsidRPr="00BF134F">
        <w:rPr>
          <w:rtl/>
          <w:lang w:val="fr-FR"/>
        </w:rPr>
        <w:t>على غرار كتّاب السيناريو والمخرجين، يلعب فنانو الأداء (مثل الممثلين ومؤدي الأصوات) دوراً محورياً في العملية الإبداعية وتلقي الجمهور للإنتاج السمعي البصري. ويشكّل أداؤهم إلى حد كبير هوية تلك المصنفات وقابليتها للتسويق، لا سيما في سياق العولمة والتوزيع بلغات متعددة. غير</w:t>
      </w:r>
      <w:r w:rsidR="00D0398F">
        <w:rPr>
          <w:rFonts w:hint="cs"/>
          <w:rtl/>
          <w:lang w:val="fr-FR"/>
        </w:rPr>
        <w:t> </w:t>
      </w:r>
      <w:r w:rsidRPr="00BF134F">
        <w:rPr>
          <w:rtl/>
          <w:lang w:val="fr-FR"/>
        </w:rPr>
        <w:t xml:space="preserve">أن الاعتراف القانوني بهم واستحقاقهم لمكافأة مقابل استغلال أدائهم يختلفان بشكل كبير </w:t>
      </w:r>
      <w:r w:rsidR="00D0398F">
        <w:rPr>
          <w:rFonts w:hint="cs"/>
          <w:rtl/>
          <w:lang w:val="fr-FR"/>
        </w:rPr>
        <w:t>باختلاف</w:t>
      </w:r>
      <w:r w:rsidRPr="00BF134F">
        <w:rPr>
          <w:rtl/>
          <w:lang w:val="fr-FR"/>
        </w:rPr>
        <w:t xml:space="preserve"> الولايات القضائية. ومن شأن إدراج فناني الأداء في الدراسة أن يضمن تمثيلاً أكثر شمولاً ودقة للنظام الإيكولوجي للإبداع السمعي البصري، وأن يوفر معلومات قيّمة حول كيفية تحسين دعم الأطر القانونية والآليات الجماعية لجميع المساهمين في مشهد رقمي سريع التطور.</w:t>
      </w:r>
    </w:p>
    <w:p w14:paraId="0289676C" w14:textId="77777777" w:rsidR="00616A15" w:rsidRDefault="00433A25" w:rsidP="00D0398F">
      <w:pPr>
        <w:pStyle w:val="Endofdocument-Annex"/>
        <w:spacing w:before="240"/>
        <w:rPr>
          <w:lang w:val="fr-FR"/>
        </w:rPr>
      </w:pPr>
      <w:r>
        <w:rPr>
          <w:rFonts w:hint="cs"/>
          <w:rtl/>
          <w:lang w:val="fr-FR"/>
        </w:rPr>
        <w:t>[نهاية الوثيقة]</w:t>
      </w:r>
    </w:p>
    <w:sectPr w:rsidR="00616A15">
      <w:headerReference w:type="default" r:id="rId12"/>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17217" w14:textId="77777777" w:rsidR="00616A15" w:rsidRDefault="00433A25">
      <w:r>
        <w:separator/>
      </w:r>
    </w:p>
  </w:endnote>
  <w:endnote w:type="continuationSeparator" w:id="0">
    <w:p w14:paraId="55D47229" w14:textId="77777777" w:rsidR="00616A15" w:rsidRDefault="00433A25">
      <w:r>
        <w:separator/>
      </w:r>
    </w:p>
    <w:p w14:paraId="522C7D7D" w14:textId="77777777" w:rsidR="00616A15" w:rsidRDefault="00433A25">
      <w:pPr>
        <w:spacing w:after="60"/>
        <w:rPr>
          <w:sz w:val="17"/>
        </w:rPr>
      </w:pPr>
      <w:r>
        <w:rPr>
          <w:sz w:val="17"/>
        </w:rPr>
        <w:t>[Endnote continued from previous page]</w:t>
      </w:r>
    </w:p>
  </w:endnote>
  <w:endnote w:type="continuationNotice" w:id="1">
    <w:p w14:paraId="467A2832" w14:textId="77777777" w:rsidR="00616A15" w:rsidRDefault="00433A25">
      <w:pPr>
        <w:spacing w:before="60"/>
        <w:jc w:val="right"/>
        <w:rPr>
          <w:sz w:val="17"/>
          <w:szCs w:val="17"/>
        </w:rPr>
      </w:pPr>
      <w:r>
        <w:rPr>
          <w:sz w:val="17"/>
          <w:szCs w:val="17"/>
        </w:rPr>
        <w:t xml:space="preserve">[Endnote </w:t>
      </w:r>
      <w:r>
        <w:rPr>
          <w:sz w:val="17"/>
          <w:szCs w:val="17"/>
        </w:rPr>
        <w:t>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B0444" w14:textId="77777777" w:rsidR="00616A15" w:rsidRDefault="00433A25">
      <w:r>
        <w:separator/>
      </w:r>
    </w:p>
  </w:footnote>
  <w:footnote w:type="continuationSeparator" w:id="0">
    <w:p w14:paraId="3139D2D2" w14:textId="77777777" w:rsidR="00616A15" w:rsidRDefault="00433A25">
      <w:r>
        <w:separator/>
      </w:r>
    </w:p>
    <w:p w14:paraId="12599995" w14:textId="77777777" w:rsidR="00616A15" w:rsidRDefault="00433A25">
      <w:pPr>
        <w:spacing w:after="60"/>
        <w:rPr>
          <w:sz w:val="17"/>
          <w:szCs w:val="17"/>
        </w:rPr>
      </w:pPr>
      <w:r>
        <w:rPr>
          <w:sz w:val="17"/>
          <w:szCs w:val="17"/>
        </w:rPr>
        <w:t>[Footnote continued from previous page]</w:t>
      </w:r>
    </w:p>
  </w:footnote>
  <w:footnote w:type="continuationNotice" w:id="1">
    <w:p w14:paraId="62B96F80" w14:textId="77777777" w:rsidR="00616A15" w:rsidRDefault="00433A25">
      <w:pPr>
        <w:spacing w:before="60"/>
        <w:jc w:val="right"/>
        <w:rPr>
          <w:sz w:val="17"/>
          <w:szCs w:val="17"/>
        </w:rPr>
      </w:pPr>
      <w:r>
        <w:rPr>
          <w:sz w:val="17"/>
          <w:szCs w:val="17"/>
        </w:rPr>
        <w:t xml:space="preserve">[Footnote </w:t>
      </w:r>
      <w:r>
        <w:rPr>
          <w:sz w:val="17"/>
          <w:szCs w:val="17"/>
        </w:rPr>
        <w:t>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27D65" w14:textId="1DA7B109" w:rsidR="00616A15" w:rsidRDefault="00433A25">
    <w:pPr>
      <w:bidi w:val="0"/>
      <w:rPr>
        <w:caps/>
      </w:rPr>
    </w:pPr>
    <w:r>
      <w:rPr>
        <w:caps/>
      </w:rPr>
      <w:t>SCCR/44/7</w:t>
    </w:r>
    <w:r w:rsidR="0070267B">
      <w:rPr>
        <w:caps/>
      </w:rPr>
      <w:t xml:space="preserve"> Rev.</w:t>
    </w:r>
  </w:p>
  <w:p w14:paraId="4FD16023" w14:textId="77777777" w:rsidR="00616A15" w:rsidRDefault="00433A25">
    <w:pPr>
      <w:bidi w:val="0"/>
    </w:pPr>
    <w:r>
      <w:fldChar w:fldCharType="begin"/>
    </w:r>
    <w:r>
      <w:instrText xml:space="preserve"> PAGE  \* MERGEFORMAT </w:instrText>
    </w:r>
    <w:r>
      <w:fldChar w:fldCharType="separate"/>
    </w:r>
    <w:r>
      <w:rPr>
        <w:noProof/>
      </w:rPr>
      <w:t>2</w:t>
    </w:r>
    <w:r>
      <w:fldChar w:fldCharType="end"/>
    </w:r>
  </w:p>
  <w:p w14:paraId="2E61ED64" w14:textId="77777777" w:rsidR="00616A15" w:rsidRDefault="00616A15">
    <w:pPr>
      <w:bidi w:val="0"/>
    </w:pPr>
  </w:p>
  <w:p w14:paraId="7DDCE486" w14:textId="77777777" w:rsidR="00616A15" w:rsidRDefault="00616A15">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524365995">
    <w:abstractNumId w:val="2"/>
  </w:num>
  <w:num w:numId="2" w16cid:durableId="541332790">
    <w:abstractNumId w:val="5"/>
  </w:num>
  <w:num w:numId="3" w16cid:durableId="283194232">
    <w:abstractNumId w:val="0"/>
  </w:num>
  <w:num w:numId="4" w16cid:durableId="2066685444">
    <w:abstractNumId w:val="6"/>
  </w:num>
  <w:num w:numId="5" w16cid:durableId="845172662">
    <w:abstractNumId w:val="1"/>
  </w:num>
  <w:num w:numId="6" w16cid:durableId="2030519815">
    <w:abstractNumId w:val="3"/>
  </w:num>
  <w:num w:numId="7" w16cid:durableId="1981809195">
    <w:abstractNumId w:val="7"/>
  </w:num>
  <w:num w:numId="8" w16cid:durableId="243298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A15"/>
    <w:rsid w:val="00114950"/>
    <w:rsid w:val="00236D31"/>
    <w:rsid w:val="00320A12"/>
    <w:rsid w:val="00433A25"/>
    <w:rsid w:val="00504525"/>
    <w:rsid w:val="00616A15"/>
    <w:rsid w:val="0070267B"/>
    <w:rsid w:val="00873310"/>
    <w:rsid w:val="00A341D0"/>
    <w:rsid w:val="00BB284F"/>
    <w:rsid w:val="00BE1CAD"/>
    <w:rsid w:val="00BF134F"/>
    <w:rsid w:val="00C66736"/>
    <w:rsid w:val="00C86A2A"/>
    <w:rsid w:val="00D0398F"/>
    <w:rsid w:val="00E04C08"/>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966769"/>
  <w15:docId w15:val="{3F12E98F-6E0B-415C-B6D5-00B4F99D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Arial" w:eastAsia="SimSun" w:hAnsi="Arial" w:cs="Calibri"/>
      <w:sz w:val="22"/>
      <w:szCs w:val="22"/>
      <w:lang w:val="en-US" w:eastAsia="zh-CN"/>
    </w:rPr>
  </w:style>
  <w:style w:type="paragraph" w:styleId="Heading1">
    <w:name w:val="heading 1"/>
    <w:basedOn w:val="Normal"/>
    <w:next w:val="Normal"/>
    <w:qFormat/>
    <w:pPr>
      <w:keepNext/>
      <w:spacing w:after="480"/>
      <w:outlineLvl w:val="0"/>
    </w:pPr>
    <w:rPr>
      <w:b/>
      <w:bCs/>
      <w:caps/>
      <w:kern w:val="32"/>
      <w:sz w:val="32"/>
      <w:szCs w:val="32"/>
    </w:rPr>
  </w:style>
  <w:style w:type="paragraph" w:styleId="Heading2">
    <w:name w:val="heading 2"/>
    <w:basedOn w:val="Normal"/>
    <w:next w:val="Normal"/>
    <w:qFormat/>
    <w:pPr>
      <w:keepNext/>
      <w:spacing w:before="240" w:after="60"/>
      <w:outlineLvl w:val="1"/>
    </w:pPr>
    <w:rPr>
      <w:bCs/>
      <w:iCs/>
      <w:caps/>
      <w:sz w:val="28"/>
      <w:szCs w:val="28"/>
    </w:rPr>
  </w:style>
  <w:style w:type="paragraph" w:styleId="Heading3">
    <w:name w:val="heading 3"/>
    <w:basedOn w:val="Normal"/>
    <w:next w:val="Normal"/>
    <w:qFormat/>
    <w:pPr>
      <w:keepNext/>
      <w:spacing w:before="240" w:after="60"/>
      <w:outlineLvl w:val="2"/>
    </w:pPr>
    <w:rPr>
      <w:bCs/>
      <w:sz w:val="26"/>
      <w:szCs w:val="26"/>
      <w:u w:val="single"/>
    </w:rPr>
  </w:style>
  <w:style w:type="paragraph" w:styleId="Heading4">
    <w:name w:val="heading 4"/>
    <w:basedOn w:val="Normal"/>
    <w:next w:val="Normal"/>
    <w:qFormat/>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pPr>
      <w:spacing w:after="220"/>
    </w:pPr>
  </w:style>
  <w:style w:type="paragraph" w:styleId="Caption">
    <w:name w:val="caption"/>
    <w:basedOn w:val="Normal"/>
    <w:next w:val="Normal"/>
    <w:qFormat/>
    <w:rPr>
      <w:b/>
      <w:bCs/>
      <w:sz w:val="18"/>
    </w:rPr>
  </w:style>
  <w:style w:type="paragraph" w:styleId="CommentText">
    <w:name w:val="annotation text"/>
    <w:basedOn w:val="Normal"/>
    <w:semiHidden/>
    <w:rPr>
      <w:sz w:val="18"/>
    </w:rPr>
  </w:style>
  <w:style w:type="paragraph" w:styleId="EndnoteText">
    <w:name w:val="endnote text"/>
    <w:basedOn w:val="Normal"/>
    <w:semiHidden/>
    <w:rPr>
      <w:sz w:val="18"/>
      <w:szCs w:val="18"/>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18"/>
      <w:szCs w:val="18"/>
    </w:rPr>
  </w:style>
  <w:style w:type="paragraph" w:styleId="Header">
    <w:name w:val="header"/>
    <w:basedOn w:val="Normal"/>
    <w:semiHidden/>
    <w:pPr>
      <w:tabs>
        <w:tab w:val="center" w:pos="4536"/>
        <w:tab w:val="right" w:pos="9072"/>
      </w:tabs>
    </w:pPr>
  </w:style>
  <w:style w:type="paragraph" w:styleId="ListNumber">
    <w:name w:val="List Number"/>
    <w:basedOn w:val="Normal"/>
    <w:semiHidden/>
    <w:pPr>
      <w:numPr>
        <w:numId w:val="4"/>
      </w:numPr>
    </w:pPr>
  </w:style>
  <w:style w:type="paragraph" w:customStyle="1" w:styleId="ONUME">
    <w:name w:val="ONUM E"/>
    <w:basedOn w:val="BodyText"/>
    <w:pPr>
      <w:numPr>
        <w:numId w:val="5"/>
      </w:numPr>
    </w:pPr>
  </w:style>
  <w:style w:type="paragraph" w:customStyle="1" w:styleId="ONUMFS">
    <w:name w:val="ONUM FS"/>
    <w:basedOn w:val="BodyText"/>
    <w:pPr>
      <w:numPr>
        <w:numId w:val="6"/>
      </w:numPr>
    </w:pPr>
  </w:style>
  <w:style w:type="paragraph" w:styleId="Salutation">
    <w:name w:val="Salutation"/>
    <w:basedOn w:val="Normal"/>
    <w:next w:val="Normal"/>
    <w:semiHidden/>
  </w:style>
  <w:style w:type="paragraph" w:styleId="Signature">
    <w:name w:val="Signature"/>
    <w:basedOn w:val="Normal"/>
    <w:semiHidden/>
    <w:pPr>
      <w:ind w:left="5250"/>
    </w:pPr>
  </w:style>
  <w:style w:type="paragraph" w:customStyle="1" w:styleId="ONUMA">
    <w:name w:val="ONUM A"/>
    <w:basedOn w:val="BodyText"/>
    <w:pPr>
      <w:numPr>
        <w:numId w:val="7"/>
      </w:numPr>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4A95F-43A8-4C7C-B9E7-FFA7E941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4094</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SCCR/44/7 REV. (Arabic)</vt:lpstr>
    </vt:vector>
  </TitlesOfParts>
  <Company>WIPO</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SCCR/44/7 REV. (Arabic)</dc:title>
  <dc:creator>MERZOUK Fawzi</dc:creator>
  <cp:keywords>FOR OFFICIAL USE ONLY</cp:keywords>
  <cp:lastModifiedBy>HAIZEL Francesca</cp:lastModifiedBy>
  <cp:revision>2</cp:revision>
  <cp:lastPrinted>2025-04-09T11:05:00Z</cp:lastPrinted>
  <dcterms:created xsi:type="dcterms:W3CDTF">2025-04-10T09:06:00Z</dcterms:created>
  <dcterms:modified xsi:type="dcterms:W3CDTF">2025-04-10T09:06:00Z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2025-04-09T10:00:37Z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9c1fc9a1-6cee-4bbc-a01e-19d36768e233</vt:lpwstr>
  </property>
  <property fmtid="{D5CDD505-2E9C-101B-9397-08002B2CF9AE}" pid="13" name="MSIP_Label_20773ee6-353b-4fb9-a59d-0b94c8c67bea_ContentBits">
    <vt:lpwstr>0</vt:lpwstr>
  </property>
  <property fmtid="{D5CDD505-2E9C-101B-9397-08002B2CF9AE}" pid="14" name="MSIP_Label_20773ee6-353b-4fb9-a59d-0b94c8c67bea_Tag">
    <vt:lpwstr>10, 0, 1, 1</vt:lpwstr>
  </property>
</Properties>
</file>