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2FCB7" w14:textId="77777777" w:rsidR="008B2CC1" w:rsidRPr="001F3D6E" w:rsidRDefault="008B14EA" w:rsidP="008B14EA">
      <w:pPr>
        <w:spacing w:after="120"/>
        <w:jc w:val="right"/>
        <w:rPr>
          <w:lang w:val="es-ES_tradnl"/>
        </w:rPr>
      </w:pPr>
      <w:r w:rsidRPr="001F3D6E">
        <w:rPr>
          <w:noProof/>
          <w:lang w:val="es-ES_tradnl" w:eastAsia="en-US"/>
        </w:rPr>
        <w:drawing>
          <wp:inline distT="0" distB="0" distL="0" distR="0" wp14:anchorId="738ED877" wp14:editId="4A13420B">
            <wp:extent cx="3014550" cy="1332000"/>
            <wp:effectExtent l="0" t="0" r="0" b="1905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03"/>
                    <a:stretch/>
                  </pic:blipFill>
                  <pic:spPr bwMode="auto">
                    <a:xfrm>
                      <a:off x="0" y="0"/>
                      <a:ext cx="3014550" cy="13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7787" w:rsidRPr="001F3D6E">
        <w:rPr>
          <w:rFonts w:ascii="Arial Black" w:hAnsi="Arial Black"/>
          <w:caps/>
          <w:noProof/>
          <w:sz w:val="15"/>
          <w:szCs w:val="15"/>
          <w:lang w:val="es-ES_tradnl" w:eastAsia="en-US"/>
        </w:rPr>
        <mc:AlternateContent>
          <mc:Choice Requires="wps">
            <w:drawing>
              <wp:inline distT="0" distB="0" distL="0" distR="0" wp14:anchorId="5FD980BA" wp14:editId="362C4C84">
                <wp:extent cx="5935980" cy="0"/>
                <wp:effectExtent l="0" t="0" r="26670" b="19050"/>
                <wp:docPr id="3" name="Straight Connector 3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1B0DBF7" id="Straight Connector 3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3155B9F8" w14:textId="77777777" w:rsidR="008B2CC1" w:rsidRPr="001F3D6E" w:rsidRDefault="00D05711" w:rsidP="008B14EA">
      <w:pPr>
        <w:jc w:val="right"/>
        <w:rPr>
          <w:rFonts w:ascii="Arial Black" w:hAnsi="Arial Black"/>
          <w:caps/>
          <w:sz w:val="15"/>
          <w:lang w:val="es-ES_tradnl"/>
        </w:rPr>
      </w:pPr>
      <w:r w:rsidRPr="001F3D6E">
        <w:rPr>
          <w:rFonts w:ascii="Arial Black" w:hAnsi="Arial Black"/>
          <w:caps/>
          <w:sz w:val="15"/>
          <w:szCs w:val="15"/>
          <w:lang w:val="es-ES_tradnl"/>
        </w:rPr>
        <w:t>SCCR/4</w:t>
      </w:r>
      <w:r w:rsidR="006A60BE" w:rsidRPr="001F3D6E">
        <w:rPr>
          <w:rFonts w:ascii="Arial Black" w:hAnsi="Arial Black"/>
          <w:caps/>
          <w:sz w:val="15"/>
          <w:szCs w:val="15"/>
          <w:lang w:val="es-ES_tradnl"/>
        </w:rPr>
        <w:t>5</w:t>
      </w:r>
      <w:r w:rsidR="00E2115C" w:rsidRPr="001F3D6E">
        <w:rPr>
          <w:rFonts w:ascii="Arial Black" w:hAnsi="Arial Black"/>
          <w:caps/>
          <w:sz w:val="15"/>
          <w:szCs w:val="15"/>
          <w:lang w:val="es-ES_tradnl"/>
        </w:rPr>
        <w:t>/</w:t>
      </w:r>
      <w:bookmarkStart w:id="0" w:name="Code"/>
      <w:bookmarkEnd w:id="0"/>
      <w:r w:rsidR="001F3D6E" w:rsidRPr="001F3D6E">
        <w:rPr>
          <w:rFonts w:ascii="Arial Black" w:hAnsi="Arial Black"/>
          <w:caps/>
          <w:sz w:val="15"/>
          <w:szCs w:val="15"/>
          <w:lang w:val="es-ES_tradnl"/>
        </w:rPr>
        <w:t>6</w:t>
      </w:r>
    </w:p>
    <w:p w14:paraId="40CC2F7E" w14:textId="77777777" w:rsidR="008B2CC1" w:rsidRPr="001F3D6E" w:rsidRDefault="008B14EA" w:rsidP="008B14EA">
      <w:pPr>
        <w:jc w:val="right"/>
        <w:rPr>
          <w:rFonts w:ascii="Arial Black" w:hAnsi="Arial Black"/>
          <w:caps/>
          <w:sz w:val="15"/>
          <w:lang w:val="es-ES_tradnl"/>
        </w:rPr>
      </w:pPr>
      <w:r w:rsidRPr="001F3D6E">
        <w:rPr>
          <w:rFonts w:ascii="Arial Black" w:hAnsi="Arial Black"/>
          <w:caps/>
          <w:sz w:val="15"/>
          <w:lang w:val="es-ES_tradnl"/>
        </w:rPr>
        <w:t xml:space="preserve">ORIGINAL: </w:t>
      </w:r>
      <w:bookmarkStart w:id="1" w:name="Original"/>
      <w:r w:rsidR="001F3D6E" w:rsidRPr="001F3D6E">
        <w:rPr>
          <w:rFonts w:ascii="Arial Black" w:hAnsi="Arial Black"/>
          <w:caps/>
          <w:sz w:val="15"/>
          <w:lang w:val="es-ES_tradnl"/>
        </w:rPr>
        <w:t>INGLÉS</w:t>
      </w:r>
    </w:p>
    <w:bookmarkEnd w:id="1"/>
    <w:p w14:paraId="7446CACA" w14:textId="77777777" w:rsidR="008B2CC1" w:rsidRPr="001F3D6E" w:rsidRDefault="008B14EA" w:rsidP="008B14EA">
      <w:pPr>
        <w:spacing w:after="1200"/>
        <w:jc w:val="right"/>
        <w:rPr>
          <w:rFonts w:ascii="Arial Black" w:hAnsi="Arial Black"/>
          <w:caps/>
          <w:sz w:val="15"/>
          <w:lang w:val="es-ES_tradnl"/>
        </w:rPr>
      </w:pPr>
      <w:r w:rsidRPr="001F3D6E">
        <w:rPr>
          <w:rFonts w:ascii="Arial Black" w:hAnsi="Arial Black"/>
          <w:caps/>
          <w:sz w:val="15"/>
          <w:lang w:val="es-ES_tradnl"/>
        </w:rPr>
        <w:t xml:space="preserve">FECHA: </w:t>
      </w:r>
      <w:bookmarkStart w:id="2" w:name="Date"/>
      <w:r w:rsidR="001F3D6E" w:rsidRPr="001F3D6E">
        <w:rPr>
          <w:rFonts w:ascii="Arial Black" w:hAnsi="Arial Black"/>
          <w:caps/>
          <w:sz w:val="15"/>
          <w:lang w:val="es-ES_tradnl"/>
        </w:rPr>
        <w:t>8 DE ABRIL DE 2024</w:t>
      </w:r>
    </w:p>
    <w:bookmarkEnd w:id="2"/>
    <w:p w14:paraId="5ADE954D" w14:textId="77777777" w:rsidR="001C4DD3" w:rsidRPr="001F3D6E" w:rsidRDefault="00E2115C" w:rsidP="008B14EA">
      <w:pPr>
        <w:spacing w:after="720"/>
        <w:rPr>
          <w:b/>
          <w:sz w:val="28"/>
          <w:szCs w:val="28"/>
          <w:lang w:val="es-ES_tradnl"/>
        </w:rPr>
      </w:pPr>
      <w:r w:rsidRPr="001F3D6E">
        <w:rPr>
          <w:b/>
          <w:sz w:val="28"/>
          <w:szCs w:val="28"/>
          <w:lang w:val="es-ES_tradnl"/>
        </w:rPr>
        <w:t>Comité Permanente de Derecho de Autor y Derechos Conexos</w:t>
      </w:r>
    </w:p>
    <w:p w14:paraId="281296CC" w14:textId="77777777" w:rsidR="00E2115C" w:rsidRPr="001F3D6E" w:rsidRDefault="00D05711" w:rsidP="00E2115C">
      <w:pPr>
        <w:rPr>
          <w:b/>
          <w:sz w:val="24"/>
          <w:szCs w:val="24"/>
          <w:lang w:val="es-ES_tradnl"/>
        </w:rPr>
      </w:pPr>
      <w:r w:rsidRPr="001F3D6E">
        <w:rPr>
          <w:b/>
          <w:sz w:val="24"/>
          <w:szCs w:val="24"/>
          <w:lang w:val="es-ES_tradnl"/>
        </w:rPr>
        <w:t xml:space="preserve">Cuadragésima </w:t>
      </w:r>
      <w:r w:rsidR="006A60BE" w:rsidRPr="001F3D6E">
        <w:rPr>
          <w:b/>
          <w:sz w:val="24"/>
          <w:szCs w:val="24"/>
          <w:lang w:val="es-ES_tradnl"/>
        </w:rPr>
        <w:t>quinta</w:t>
      </w:r>
      <w:r w:rsidR="009E4D3B" w:rsidRPr="001F3D6E">
        <w:rPr>
          <w:b/>
          <w:sz w:val="24"/>
          <w:szCs w:val="24"/>
          <w:lang w:val="es-ES_tradnl"/>
        </w:rPr>
        <w:t xml:space="preserve"> </w:t>
      </w:r>
      <w:r w:rsidR="00E2115C" w:rsidRPr="001F3D6E">
        <w:rPr>
          <w:b/>
          <w:sz w:val="24"/>
          <w:szCs w:val="24"/>
          <w:lang w:val="es-ES_tradnl"/>
        </w:rPr>
        <w:t>sesión</w:t>
      </w:r>
    </w:p>
    <w:p w14:paraId="6C2FD232" w14:textId="77777777" w:rsidR="008B2CC1" w:rsidRPr="001F3D6E" w:rsidRDefault="00E2115C" w:rsidP="008B14EA">
      <w:pPr>
        <w:spacing w:after="720"/>
        <w:rPr>
          <w:b/>
          <w:sz w:val="24"/>
          <w:szCs w:val="24"/>
          <w:lang w:val="es-ES_tradnl"/>
        </w:rPr>
      </w:pPr>
      <w:r w:rsidRPr="001F3D6E">
        <w:rPr>
          <w:b/>
          <w:sz w:val="24"/>
          <w:szCs w:val="24"/>
          <w:lang w:val="es-ES_tradnl"/>
        </w:rPr>
        <w:t xml:space="preserve">Ginebra, </w:t>
      </w:r>
      <w:r w:rsidR="006A60BE" w:rsidRPr="001F3D6E">
        <w:rPr>
          <w:b/>
          <w:sz w:val="24"/>
          <w:szCs w:val="24"/>
          <w:lang w:val="es-ES_tradnl"/>
        </w:rPr>
        <w:t>15</w:t>
      </w:r>
      <w:r w:rsidR="009E4D3B" w:rsidRPr="001F3D6E">
        <w:rPr>
          <w:b/>
          <w:sz w:val="24"/>
          <w:szCs w:val="24"/>
          <w:lang w:val="es-ES_tradnl"/>
        </w:rPr>
        <w:t xml:space="preserve"> a </w:t>
      </w:r>
      <w:r w:rsidR="006A60BE" w:rsidRPr="001F3D6E">
        <w:rPr>
          <w:b/>
          <w:sz w:val="24"/>
          <w:szCs w:val="24"/>
          <w:lang w:val="es-ES_tradnl"/>
        </w:rPr>
        <w:t>19</w:t>
      </w:r>
      <w:r w:rsidR="009E4D3B" w:rsidRPr="001F3D6E">
        <w:rPr>
          <w:b/>
          <w:sz w:val="24"/>
          <w:szCs w:val="24"/>
          <w:lang w:val="es-ES_tradnl"/>
        </w:rPr>
        <w:t xml:space="preserve"> de </w:t>
      </w:r>
      <w:r w:rsidR="006A60BE" w:rsidRPr="001F3D6E">
        <w:rPr>
          <w:b/>
          <w:sz w:val="24"/>
          <w:szCs w:val="24"/>
          <w:lang w:val="es-ES_tradnl"/>
        </w:rPr>
        <w:t xml:space="preserve">abril </w:t>
      </w:r>
      <w:r w:rsidR="009E4D3B" w:rsidRPr="001F3D6E">
        <w:rPr>
          <w:b/>
          <w:sz w:val="24"/>
          <w:szCs w:val="24"/>
          <w:lang w:val="es-ES_tradnl"/>
        </w:rPr>
        <w:t>de 202</w:t>
      </w:r>
      <w:r w:rsidR="006A60BE" w:rsidRPr="001F3D6E">
        <w:rPr>
          <w:b/>
          <w:sz w:val="24"/>
          <w:szCs w:val="24"/>
          <w:lang w:val="es-ES_tradnl"/>
        </w:rPr>
        <w:t>4</w:t>
      </w:r>
    </w:p>
    <w:p w14:paraId="019FA9F3" w14:textId="56F12B27" w:rsidR="008B2CC1" w:rsidRPr="001F3D6E" w:rsidRDefault="001F3D6E" w:rsidP="008B14EA">
      <w:pPr>
        <w:spacing w:after="360"/>
        <w:rPr>
          <w:caps/>
          <w:sz w:val="24"/>
          <w:lang w:val="es-ES_tradnl"/>
        </w:rPr>
      </w:pPr>
      <w:bookmarkStart w:id="3" w:name="TitleOfDoc"/>
      <w:r w:rsidRPr="001F3D6E">
        <w:rPr>
          <w:lang w:val="es-ES_tradnl"/>
        </w:rPr>
        <w:t xml:space="preserve">PROYECTO DE PLAN DE EJECUCIÓN DEL PROGRAMA DE TRABAJO SOBRE LIMITACIONES Y EXCEPCIONES Y COMENTARIOS PRELIMINARES RECIBIDOS HASTA EL </w:t>
      </w:r>
      <w:r w:rsidRPr="001F3D6E">
        <w:rPr>
          <w:sz w:val="24"/>
          <w:lang w:val="es-ES_tradnl"/>
        </w:rPr>
        <w:t>29 DE MARZO DE 2024</w:t>
      </w:r>
    </w:p>
    <w:p w14:paraId="65478466" w14:textId="27FD8CE4" w:rsidR="008B2CC1" w:rsidRPr="001F3D6E" w:rsidRDefault="001F3D6E" w:rsidP="008B14EA">
      <w:pPr>
        <w:spacing w:after="960"/>
        <w:rPr>
          <w:i/>
          <w:lang w:val="es-ES_tradnl"/>
        </w:rPr>
      </w:pPr>
      <w:bookmarkStart w:id="4" w:name="Prepared"/>
      <w:bookmarkEnd w:id="3"/>
      <w:r w:rsidRPr="001F3D6E">
        <w:rPr>
          <w:i/>
          <w:lang w:val="es-ES_tradnl"/>
        </w:rPr>
        <w:t>preparado por la Secretaría</w:t>
      </w:r>
    </w:p>
    <w:bookmarkEnd w:id="4"/>
    <w:p w14:paraId="03AF34F2" w14:textId="19603F59" w:rsidR="001F3D6E" w:rsidRPr="001F3D6E" w:rsidRDefault="001F3D6E">
      <w:pPr>
        <w:rPr>
          <w:lang w:val="es-ES_tradnl"/>
        </w:rPr>
      </w:pPr>
      <w:r w:rsidRPr="001F3D6E">
        <w:rPr>
          <w:lang w:val="es-ES_tradnl"/>
        </w:rPr>
        <w:br w:type="page"/>
      </w:r>
    </w:p>
    <w:p w14:paraId="2427256D" w14:textId="77777777" w:rsidR="001F3D6E" w:rsidRPr="001F3D6E" w:rsidRDefault="001F3D6E" w:rsidP="001F3D6E">
      <w:pPr>
        <w:rPr>
          <w:b/>
          <w:bCs/>
          <w:szCs w:val="22"/>
          <w:u w:val="single"/>
          <w:lang w:val="es-ES_tradnl"/>
        </w:rPr>
      </w:pPr>
      <w:r w:rsidRPr="001F3D6E">
        <w:rPr>
          <w:b/>
          <w:szCs w:val="22"/>
          <w:u w:val="single"/>
          <w:lang w:val="es-ES_tradnl"/>
        </w:rPr>
        <w:lastRenderedPageBreak/>
        <w:t xml:space="preserve">PROYECTO DE PLAN DE EJECUCIÓN PROPUESTO POR LA SECRETARÍA </w:t>
      </w:r>
    </w:p>
    <w:p w14:paraId="0CD37D13" w14:textId="77777777" w:rsidR="001F3D6E" w:rsidRPr="001F3D6E" w:rsidRDefault="001F3D6E" w:rsidP="001F3D6E">
      <w:pPr>
        <w:rPr>
          <w:szCs w:val="22"/>
          <w:u w:val="single"/>
          <w:lang w:val="es-ES_tradnl"/>
        </w:rPr>
      </w:pPr>
    </w:p>
    <w:p w14:paraId="2871F767" w14:textId="77777777" w:rsidR="001F3D6E" w:rsidRPr="001F3D6E" w:rsidRDefault="001F3D6E" w:rsidP="001F3D6E">
      <w:pPr>
        <w:rPr>
          <w:szCs w:val="22"/>
          <w:u w:val="single"/>
          <w:lang w:val="es-ES_tradnl"/>
        </w:rPr>
      </w:pPr>
    </w:p>
    <w:p w14:paraId="372CF86B" w14:textId="77777777" w:rsidR="001F3D6E" w:rsidRPr="001F3D6E" w:rsidRDefault="001F3D6E" w:rsidP="001F3D6E">
      <w:pPr>
        <w:rPr>
          <w:szCs w:val="22"/>
          <w:u w:val="single"/>
          <w:lang w:val="es-ES_tradnl"/>
        </w:rPr>
      </w:pPr>
      <w:r w:rsidRPr="001F3D6E">
        <w:rPr>
          <w:szCs w:val="22"/>
          <w:u w:val="single"/>
          <w:lang w:val="es-ES_tradnl"/>
        </w:rPr>
        <w:t>Antecedentes</w:t>
      </w:r>
    </w:p>
    <w:p w14:paraId="5342FE15" w14:textId="77777777" w:rsidR="001F3D6E" w:rsidRPr="001F3D6E" w:rsidRDefault="001F3D6E" w:rsidP="001F3D6E">
      <w:pPr>
        <w:rPr>
          <w:szCs w:val="22"/>
          <w:lang w:val="es-ES_tradnl"/>
        </w:rPr>
      </w:pPr>
    </w:p>
    <w:p w14:paraId="4C1A43F8" w14:textId="104A4A88" w:rsidR="001F3D6E" w:rsidRPr="001F3D6E" w:rsidRDefault="001F3D6E" w:rsidP="001F3D6E">
      <w:pPr>
        <w:rPr>
          <w:szCs w:val="22"/>
          <w:lang w:val="es-ES_tradnl"/>
        </w:rPr>
      </w:pPr>
      <w:r w:rsidRPr="001F3D6E">
        <w:rPr>
          <w:szCs w:val="22"/>
          <w:lang w:val="es-ES_tradnl"/>
        </w:rPr>
        <w:t>En la última sesión del SCCR, la 44.ª sesión, celebrada en noviembre de 2023, se encomendó a la Secretaría de la OMPI que preparara un proyecto de plan de ejecución del programa de trabajo sobre limitaciones y excepciones (Propuesta del Grupo Africano relativa a un proyecto de programa de trabajo sobre excepciones y limitaciones, que consta en el documento SCCR/43/8, aprobada por el Comité).</w:t>
      </w:r>
      <w:r>
        <w:rPr>
          <w:szCs w:val="22"/>
          <w:lang w:val="es-ES_tradnl"/>
        </w:rPr>
        <w:t xml:space="preserve"> </w:t>
      </w:r>
      <w:r w:rsidRPr="001F3D6E">
        <w:rPr>
          <w:szCs w:val="22"/>
          <w:lang w:val="es-ES_tradnl"/>
        </w:rPr>
        <w:t>Estaba previsto que la Secretaría distribuyera este proyecto entre los Estados miembros para su consulta antes de la 45ª sesión del SCCR, que se celebrará en abril de 2024.</w:t>
      </w:r>
    </w:p>
    <w:p w14:paraId="26AE60DB" w14:textId="77777777" w:rsidR="001F3D6E" w:rsidRPr="001F3D6E" w:rsidRDefault="001F3D6E" w:rsidP="001F3D6E">
      <w:pPr>
        <w:rPr>
          <w:szCs w:val="22"/>
          <w:lang w:val="es-ES_tradnl"/>
        </w:rPr>
      </w:pPr>
    </w:p>
    <w:p w14:paraId="0AC66A48" w14:textId="794D6C0A" w:rsidR="001F3D6E" w:rsidRPr="001F3D6E" w:rsidRDefault="001F3D6E" w:rsidP="001F3D6E">
      <w:pPr>
        <w:rPr>
          <w:szCs w:val="22"/>
          <w:lang w:val="es-ES_tradnl"/>
        </w:rPr>
      </w:pPr>
      <w:r w:rsidRPr="001F3D6E">
        <w:rPr>
          <w:szCs w:val="22"/>
          <w:lang w:val="es-ES_tradnl"/>
        </w:rPr>
        <w:t>La versión actual del proyecto de plan de ejecución, que incorpora, tal y como se solicitó, los comentarios de los Estados miembros formulados durante la 44.ª sesión del SCCR, está ahora abierta a comentarios que deberán enviarse a la Secretaría a través de los coordinadores de grupos antes del viernes 29 de marzo de 2024.</w:t>
      </w:r>
      <w:r>
        <w:rPr>
          <w:szCs w:val="22"/>
          <w:lang w:val="es-ES_tradnl"/>
        </w:rPr>
        <w:t xml:space="preserve"> </w:t>
      </w:r>
      <w:r w:rsidRPr="001F3D6E">
        <w:rPr>
          <w:szCs w:val="22"/>
          <w:lang w:val="es-ES_tradnl"/>
        </w:rPr>
        <w:t>Esto permitirá a la Secretaría integrar las sugerencias recibidas en el proyecto antes del inicio de la 45.ª sesión del SCCR.</w:t>
      </w:r>
      <w:r>
        <w:rPr>
          <w:szCs w:val="22"/>
          <w:lang w:val="es-ES_tradnl"/>
        </w:rPr>
        <w:t xml:space="preserve"> </w:t>
      </w:r>
      <w:r w:rsidRPr="001F3D6E">
        <w:rPr>
          <w:szCs w:val="22"/>
          <w:lang w:val="es-ES_tradnl"/>
        </w:rPr>
        <w:t xml:space="preserve">El proyecto </w:t>
      </w:r>
      <w:r w:rsidRPr="001F3D6E">
        <w:rPr>
          <w:color w:val="0D0D0D"/>
          <w:szCs w:val="22"/>
          <w:shd w:val="clear" w:color="auto" w:fill="FFFFFF"/>
          <w:lang w:val="es-ES_tradnl"/>
        </w:rPr>
        <w:t>será objeto de debate por los Estados miembros en plenaria.</w:t>
      </w:r>
    </w:p>
    <w:p w14:paraId="78E812E3" w14:textId="77777777" w:rsidR="001F3D6E" w:rsidRPr="001F3D6E" w:rsidRDefault="001F3D6E" w:rsidP="001F3D6E">
      <w:pPr>
        <w:rPr>
          <w:szCs w:val="22"/>
          <w:lang w:val="es-ES_tradnl"/>
        </w:rPr>
      </w:pPr>
    </w:p>
    <w:p w14:paraId="7A297A49" w14:textId="77777777" w:rsidR="001F3D6E" w:rsidRPr="001F3D6E" w:rsidRDefault="001F3D6E" w:rsidP="001F3D6E">
      <w:pPr>
        <w:rPr>
          <w:szCs w:val="22"/>
          <w:lang w:val="es-ES_tradnl"/>
        </w:rPr>
      </w:pPr>
    </w:p>
    <w:p w14:paraId="24452B0C" w14:textId="77777777" w:rsidR="001F3D6E" w:rsidRPr="001F3D6E" w:rsidRDefault="001F3D6E" w:rsidP="001F3D6E">
      <w:pPr>
        <w:rPr>
          <w:szCs w:val="22"/>
          <w:u w:val="single"/>
          <w:lang w:val="es-ES_tradnl"/>
        </w:rPr>
      </w:pPr>
      <w:r w:rsidRPr="001F3D6E">
        <w:rPr>
          <w:szCs w:val="22"/>
          <w:u w:val="single"/>
          <w:lang w:val="es-ES_tradnl"/>
        </w:rPr>
        <w:t>Proyecto de plan de ejecución</w:t>
      </w:r>
    </w:p>
    <w:p w14:paraId="0C912DD3" w14:textId="77777777" w:rsidR="001F3D6E" w:rsidRPr="001F3D6E" w:rsidRDefault="001F3D6E" w:rsidP="001F3D6E">
      <w:pPr>
        <w:rPr>
          <w:szCs w:val="22"/>
          <w:lang w:val="es-ES_tradnl"/>
        </w:rPr>
      </w:pPr>
    </w:p>
    <w:p w14:paraId="3897AF8D" w14:textId="77777777" w:rsidR="001F3D6E" w:rsidRPr="001F3D6E" w:rsidRDefault="001F3D6E" w:rsidP="001F3D6E">
      <w:pPr>
        <w:rPr>
          <w:i/>
          <w:iCs/>
          <w:szCs w:val="22"/>
          <w:lang w:val="es-ES_tradnl"/>
        </w:rPr>
      </w:pPr>
    </w:p>
    <w:p w14:paraId="2E367B08" w14:textId="77777777" w:rsidR="001F3D6E" w:rsidRPr="001F3D6E" w:rsidRDefault="001F3D6E" w:rsidP="001F3D6E">
      <w:pPr>
        <w:rPr>
          <w:i/>
          <w:iCs/>
          <w:szCs w:val="22"/>
          <w:lang w:val="es-ES_tradnl"/>
        </w:rPr>
      </w:pPr>
      <w:r w:rsidRPr="001F3D6E">
        <w:rPr>
          <w:i/>
          <w:szCs w:val="22"/>
          <w:lang w:val="es-ES_tradnl"/>
        </w:rPr>
        <w:t>I. Preservación</w:t>
      </w:r>
    </w:p>
    <w:p w14:paraId="7B1AAE54" w14:textId="77777777" w:rsidR="001F3D6E" w:rsidRPr="001F3D6E" w:rsidRDefault="001F3D6E" w:rsidP="001F3D6E">
      <w:pPr>
        <w:rPr>
          <w:szCs w:val="22"/>
          <w:lang w:val="es-ES_tradnl"/>
        </w:rPr>
      </w:pPr>
    </w:p>
    <w:p w14:paraId="499ED735" w14:textId="77777777" w:rsidR="001F3D6E" w:rsidRPr="001F3D6E" w:rsidRDefault="001F3D6E" w:rsidP="001F3D6E">
      <w:pPr>
        <w:rPr>
          <w:szCs w:val="22"/>
          <w:lang w:val="es-ES_tradnl"/>
        </w:rPr>
      </w:pPr>
      <w:r w:rsidRPr="001F3D6E">
        <w:rPr>
          <w:szCs w:val="22"/>
          <w:lang w:val="es-ES_tradnl"/>
        </w:rPr>
        <w:t>a) Presentación de la guía práctica sobre preservación en formato híbrido antes de la 46.ª sesión SCCR.</w:t>
      </w:r>
    </w:p>
    <w:p w14:paraId="6DB2EE7C" w14:textId="77777777" w:rsidR="001F3D6E" w:rsidRPr="001F3D6E" w:rsidRDefault="001F3D6E" w:rsidP="001F3D6E">
      <w:pPr>
        <w:rPr>
          <w:szCs w:val="22"/>
          <w:lang w:val="es-ES_tradnl"/>
        </w:rPr>
      </w:pPr>
    </w:p>
    <w:p w14:paraId="0473E9E9" w14:textId="10131B07" w:rsidR="001F3D6E" w:rsidRPr="001F3D6E" w:rsidRDefault="001F3D6E" w:rsidP="001F3D6E">
      <w:pPr>
        <w:rPr>
          <w:szCs w:val="22"/>
          <w:lang w:val="es-ES_tradnl"/>
        </w:rPr>
      </w:pPr>
      <w:r w:rsidRPr="001F3D6E">
        <w:rPr>
          <w:szCs w:val="22"/>
          <w:lang w:val="es-ES_tradnl"/>
        </w:rPr>
        <w:t>b) Realización durante el bienio 2024/2025 de una serie de actividades basadas en el contenido de la guía para facilitar la aplicación de políticas y prácticas de preservación.</w:t>
      </w:r>
      <w:r>
        <w:rPr>
          <w:szCs w:val="22"/>
          <w:lang w:val="es-ES_tradnl"/>
        </w:rPr>
        <w:t xml:space="preserve"> </w:t>
      </w:r>
      <w:r w:rsidRPr="001F3D6E">
        <w:rPr>
          <w:szCs w:val="22"/>
          <w:lang w:val="es-ES_tradnl"/>
        </w:rPr>
        <w:t>Estas actividades contarán con la participación de formuladores de políticas, profesionales e instituciones y partes interesadas pertinentes, y se celebrarán en varias regiones.</w:t>
      </w:r>
    </w:p>
    <w:p w14:paraId="6DE1419F" w14:textId="77777777" w:rsidR="001F3D6E" w:rsidRPr="001F3D6E" w:rsidRDefault="001F3D6E" w:rsidP="001F3D6E">
      <w:pPr>
        <w:rPr>
          <w:szCs w:val="22"/>
          <w:lang w:val="es-ES_tradnl"/>
        </w:rPr>
      </w:pPr>
    </w:p>
    <w:p w14:paraId="759F5084" w14:textId="77777777" w:rsidR="001F3D6E" w:rsidRPr="001F3D6E" w:rsidRDefault="001F3D6E" w:rsidP="001F3D6E">
      <w:pPr>
        <w:rPr>
          <w:i/>
          <w:iCs/>
          <w:szCs w:val="22"/>
          <w:lang w:val="es-ES_tradnl"/>
        </w:rPr>
      </w:pPr>
    </w:p>
    <w:p w14:paraId="7BE0DD8C" w14:textId="77777777" w:rsidR="001F3D6E" w:rsidRPr="001F3D6E" w:rsidRDefault="001F3D6E" w:rsidP="001F3D6E">
      <w:pPr>
        <w:rPr>
          <w:i/>
          <w:iCs/>
          <w:szCs w:val="22"/>
          <w:lang w:val="es-ES_tradnl"/>
        </w:rPr>
      </w:pPr>
      <w:r w:rsidRPr="001F3D6E">
        <w:rPr>
          <w:i/>
          <w:szCs w:val="22"/>
          <w:lang w:val="es-ES_tradnl"/>
        </w:rPr>
        <w:t>II. Acceso</w:t>
      </w:r>
    </w:p>
    <w:p w14:paraId="7CA03EF7" w14:textId="77777777" w:rsidR="001F3D6E" w:rsidRPr="001F3D6E" w:rsidRDefault="001F3D6E" w:rsidP="001F3D6E">
      <w:pPr>
        <w:rPr>
          <w:szCs w:val="22"/>
          <w:lang w:val="es-ES_tradnl"/>
        </w:rPr>
      </w:pPr>
    </w:p>
    <w:p w14:paraId="2A9C745B" w14:textId="77777777" w:rsidR="001F3D6E" w:rsidRPr="001F3D6E" w:rsidRDefault="001F3D6E" w:rsidP="001F3D6E">
      <w:pPr>
        <w:rPr>
          <w:szCs w:val="22"/>
          <w:lang w:val="es-ES_tradnl"/>
        </w:rPr>
      </w:pPr>
      <w:r w:rsidRPr="001F3D6E">
        <w:rPr>
          <w:szCs w:val="22"/>
          <w:lang w:val="es-ES_tradnl"/>
        </w:rPr>
        <w:t>a) Finalización en 2025 de la guía práctica sobre acceso en relación con a las instituciones del patrimonio cultural (bibliotecas, archivos y museos).</w:t>
      </w:r>
    </w:p>
    <w:p w14:paraId="4F288CD1" w14:textId="77777777" w:rsidR="001F3D6E" w:rsidRPr="001F3D6E" w:rsidRDefault="001F3D6E" w:rsidP="001F3D6E">
      <w:pPr>
        <w:rPr>
          <w:szCs w:val="22"/>
          <w:lang w:val="es-ES_tradnl"/>
        </w:rPr>
      </w:pPr>
    </w:p>
    <w:p w14:paraId="61AF0BE2" w14:textId="77777777" w:rsidR="001F3D6E" w:rsidRPr="001F3D6E" w:rsidRDefault="001F3D6E" w:rsidP="001F3D6E">
      <w:pPr>
        <w:rPr>
          <w:szCs w:val="22"/>
          <w:lang w:val="es-ES_tradnl"/>
        </w:rPr>
      </w:pPr>
      <w:r w:rsidRPr="001F3D6E">
        <w:rPr>
          <w:szCs w:val="22"/>
          <w:lang w:val="es-ES_tradnl"/>
        </w:rPr>
        <w:t>b) Presentación a finales de 2025 y en formato híbrido de la guía práctica sobre acceso en relación con las instituciones del patrimonio cultural (bibliotecas, archivos y museos).</w:t>
      </w:r>
    </w:p>
    <w:p w14:paraId="1367D4C4" w14:textId="77777777" w:rsidR="001F3D6E" w:rsidRPr="001F3D6E" w:rsidRDefault="001F3D6E" w:rsidP="001F3D6E">
      <w:pPr>
        <w:rPr>
          <w:szCs w:val="22"/>
          <w:lang w:val="es-ES_tradnl"/>
        </w:rPr>
      </w:pPr>
    </w:p>
    <w:p w14:paraId="115A19C1" w14:textId="77777777" w:rsidR="001F3D6E" w:rsidRPr="001F3D6E" w:rsidRDefault="001F3D6E" w:rsidP="001F3D6E">
      <w:pPr>
        <w:rPr>
          <w:szCs w:val="22"/>
          <w:lang w:val="es-ES_tradnl"/>
        </w:rPr>
      </w:pPr>
      <w:r w:rsidRPr="001F3D6E">
        <w:rPr>
          <w:szCs w:val="22"/>
          <w:lang w:val="es-ES_tradnl"/>
        </w:rPr>
        <w:t>c) Realización durante el bienio 2024/2025 de una serie de actividades basadas en el contenido de la guía práctica para facilitar la aplicación de políticas y prácticas de acceso en relación con las instituciones del patrimonio cultural (bibliotecas, archivos y museos). Estas actividades contarán con la participación de formuladores de políticas, profesionales e instituciones y partes interesadas pertinentes, y se celebrarán en varias regiones.</w:t>
      </w:r>
    </w:p>
    <w:p w14:paraId="489ABD95" w14:textId="77777777" w:rsidR="001F3D6E" w:rsidRPr="001F3D6E" w:rsidRDefault="001F3D6E" w:rsidP="001F3D6E">
      <w:pPr>
        <w:rPr>
          <w:szCs w:val="22"/>
          <w:lang w:val="es-ES_tradnl"/>
        </w:rPr>
      </w:pPr>
    </w:p>
    <w:p w14:paraId="7367C701" w14:textId="77777777" w:rsidR="001F3D6E" w:rsidRPr="001F3D6E" w:rsidRDefault="001F3D6E" w:rsidP="001F3D6E">
      <w:pPr>
        <w:rPr>
          <w:szCs w:val="22"/>
          <w:lang w:val="es-ES_tradnl"/>
        </w:rPr>
      </w:pPr>
      <w:r w:rsidRPr="001F3D6E">
        <w:rPr>
          <w:szCs w:val="22"/>
          <w:lang w:val="es-ES_tradnl"/>
        </w:rPr>
        <w:t>d) Inicio en 2025 de la preparación de una guía práctica sobre acceso en relación con las instituciones docentes y de investigación.</w:t>
      </w:r>
    </w:p>
    <w:p w14:paraId="6F4A754F" w14:textId="77777777" w:rsidR="001F3D6E" w:rsidRPr="001F3D6E" w:rsidRDefault="001F3D6E" w:rsidP="001F3D6E">
      <w:pPr>
        <w:rPr>
          <w:szCs w:val="22"/>
          <w:lang w:val="es-ES_tradnl"/>
        </w:rPr>
      </w:pPr>
    </w:p>
    <w:p w14:paraId="4021CD23" w14:textId="77777777" w:rsidR="001F3D6E" w:rsidRPr="001F3D6E" w:rsidRDefault="001F3D6E" w:rsidP="001F3D6E">
      <w:pPr>
        <w:keepNext/>
        <w:keepLines/>
        <w:spacing w:after="240"/>
        <w:rPr>
          <w:i/>
          <w:iCs/>
          <w:szCs w:val="22"/>
          <w:lang w:val="es-ES_tradnl"/>
        </w:rPr>
      </w:pPr>
      <w:r w:rsidRPr="001F3D6E">
        <w:rPr>
          <w:i/>
          <w:szCs w:val="22"/>
          <w:lang w:val="es-ES_tradnl"/>
        </w:rPr>
        <w:lastRenderedPageBreak/>
        <w:t>III. Asuntos relativos a las discapacidades (que no estén contempladas en el Tratado de Marrakech)</w:t>
      </w:r>
    </w:p>
    <w:p w14:paraId="6BC79167" w14:textId="01B099AB" w:rsidR="001F3D6E" w:rsidRPr="001F3D6E" w:rsidRDefault="001F3D6E" w:rsidP="001F3D6E">
      <w:pPr>
        <w:spacing w:after="240"/>
        <w:rPr>
          <w:szCs w:val="22"/>
          <w:lang w:val="es-ES_tradnl"/>
        </w:rPr>
      </w:pPr>
      <w:r w:rsidRPr="001F3D6E">
        <w:rPr>
          <w:szCs w:val="22"/>
          <w:lang w:val="es-ES_tradnl"/>
        </w:rPr>
        <w:t>a) Actualización del</w:t>
      </w:r>
      <w:r>
        <w:rPr>
          <w:szCs w:val="22"/>
          <w:lang w:val="es-ES_tradnl"/>
        </w:rPr>
        <w:t xml:space="preserve"> </w:t>
      </w:r>
      <w:r w:rsidRPr="001F3D6E">
        <w:rPr>
          <w:szCs w:val="22"/>
          <w:lang w:val="es-ES_tradnl"/>
        </w:rPr>
        <w:t>el estudio exploratorio sobre el acceso a obras protegidas por derecho de autor para las personas con discapacidades(documento SCCR/38/3), publicado en 2019, para evaluar las tecnologías de asistencia en materia de derecho de autor.</w:t>
      </w:r>
      <w:r>
        <w:rPr>
          <w:szCs w:val="22"/>
          <w:lang w:val="es-ES_tradnl"/>
        </w:rPr>
        <w:t xml:space="preserve"> </w:t>
      </w:r>
      <w:r w:rsidRPr="001F3D6E">
        <w:rPr>
          <w:szCs w:val="22"/>
          <w:lang w:val="es-ES_tradnl"/>
        </w:rPr>
        <w:t xml:space="preserve">Este estudio se presentará durante una sesión del SCCR en 2025. </w:t>
      </w:r>
    </w:p>
    <w:p w14:paraId="62220684" w14:textId="77777777" w:rsidR="001F3D6E" w:rsidRPr="001F3D6E" w:rsidRDefault="001F3D6E" w:rsidP="001F3D6E">
      <w:pPr>
        <w:rPr>
          <w:szCs w:val="22"/>
          <w:lang w:val="es-ES_tradnl"/>
        </w:rPr>
      </w:pPr>
      <w:r w:rsidRPr="001F3D6E">
        <w:rPr>
          <w:szCs w:val="22"/>
          <w:lang w:val="es-ES_tradnl"/>
        </w:rPr>
        <w:t>b) Organización de una presentación híbrida durante una sesión del SCCR en 2025 sobre los medios existentes para abordar las necesidades de las personas con discapacidades auditivas y cognitivas en relación con la accesibilidad de los contenidos protegidos por derecho de autor.</w:t>
      </w:r>
    </w:p>
    <w:p w14:paraId="4E60D796" w14:textId="77777777" w:rsidR="001F3D6E" w:rsidRPr="001F3D6E" w:rsidRDefault="001F3D6E" w:rsidP="001F3D6E">
      <w:pPr>
        <w:rPr>
          <w:szCs w:val="22"/>
          <w:lang w:val="es-ES_tradnl"/>
        </w:rPr>
      </w:pPr>
    </w:p>
    <w:p w14:paraId="743B62F7" w14:textId="77777777" w:rsidR="001F3D6E" w:rsidRPr="001F3D6E" w:rsidRDefault="001F3D6E" w:rsidP="001F3D6E">
      <w:pPr>
        <w:rPr>
          <w:i/>
          <w:iCs/>
          <w:szCs w:val="22"/>
          <w:lang w:val="es-ES_tradnl"/>
        </w:rPr>
      </w:pPr>
    </w:p>
    <w:p w14:paraId="255096E4" w14:textId="77777777" w:rsidR="001F3D6E" w:rsidRPr="001F3D6E" w:rsidRDefault="001F3D6E" w:rsidP="001F3D6E">
      <w:pPr>
        <w:rPr>
          <w:i/>
          <w:iCs/>
          <w:szCs w:val="22"/>
          <w:lang w:val="es-ES_tradnl"/>
        </w:rPr>
      </w:pPr>
      <w:r w:rsidRPr="001F3D6E">
        <w:rPr>
          <w:i/>
          <w:szCs w:val="22"/>
          <w:lang w:val="es-ES_tradnl"/>
        </w:rPr>
        <w:t>IV. Labor adicional relativa a los objetivos y principios sobre limitaciones y excepciones</w:t>
      </w:r>
    </w:p>
    <w:p w14:paraId="1FB977BB" w14:textId="77777777" w:rsidR="001F3D6E" w:rsidRPr="001F3D6E" w:rsidRDefault="001F3D6E" w:rsidP="001F3D6E">
      <w:pPr>
        <w:rPr>
          <w:szCs w:val="22"/>
          <w:lang w:val="es-ES_tradnl"/>
        </w:rPr>
      </w:pPr>
    </w:p>
    <w:p w14:paraId="2932FEAD" w14:textId="77777777" w:rsidR="001F3D6E" w:rsidRPr="001F3D6E" w:rsidRDefault="001F3D6E" w:rsidP="001F3D6E">
      <w:pPr>
        <w:rPr>
          <w:szCs w:val="22"/>
          <w:lang w:val="es-ES_tradnl"/>
        </w:rPr>
      </w:pPr>
      <w:r w:rsidRPr="001F3D6E">
        <w:rPr>
          <w:szCs w:val="22"/>
          <w:lang w:val="es-ES_tradnl"/>
        </w:rPr>
        <w:t>Facilitar la continuación de la labor a cargo un grupo de trabajo especial compuesto por Estados miembros acerca de los objetivos y principios sobre limitaciones y excepciones. Las modalidades y el alcance del trabajo se definirán durante la 46.ª sesión SCCR.</w:t>
      </w:r>
    </w:p>
    <w:p w14:paraId="2461001A" w14:textId="77777777" w:rsidR="001F3D6E" w:rsidRPr="001F3D6E" w:rsidRDefault="001F3D6E" w:rsidP="001F3D6E">
      <w:pPr>
        <w:ind w:left="6030"/>
        <w:rPr>
          <w:szCs w:val="22"/>
          <w:lang w:val="es-ES_tradnl"/>
        </w:rPr>
      </w:pPr>
    </w:p>
    <w:p w14:paraId="384DA356" w14:textId="77777777" w:rsidR="001F3D6E" w:rsidRPr="001F3D6E" w:rsidRDefault="001F3D6E" w:rsidP="001F3D6E">
      <w:pPr>
        <w:ind w:left="6030"/>
        <w:rPr>
          <w:szCs w:val="22"/>
          <w:lang w:val="es-ES_tradnl"/>
        </w:rPr>
      </w:pPr>
    </w:p>
    <w:p w14:paraId="157FF56F" w14:textId="77777777" w:rsidR="001F3D6E" w:rsidRPr="001F3D6E" w:rsidRDefault="001F3D6E" w:rsidP="001F3D6E">
      <w:pPr>
        <w:ind w:left="6030"/>
        <w:rPr>
          <w:szCs w:val="22"/>
          <w:lang w:val="es-ES_tradnl"/>
        </w:rPr>
      </w:pPr>
    </w:p>
    <w:p w14:paraId="68F758F9" w14:textId="77777777" w:rsidR="001F3D6E" w:rsidRPr="001F3D6E" w:rsidRDefault="001F3D6E" w:rsidP="001F3D6E">
      <w:pPr>
        <w:ind w:left="6030"/>
        <w:rPr>
          <w:szCs w:val="22"/>
          <w:lang w:val="es-ES_tradnl"/>
        </w:rPr>
      </w:pPr>
      <w:r w:rsidRPr="001F3D6E">
        <w:rPr>
          <w:szCs w:val="22"/>
          <w:lang w:val="es-ES_tradnl"/>
        </w:rPr>
        <w:t>[Sigue el Anexo]</w:t>
      </w:r>
    </w:p>
    <w:p w14:paraId="741D2464" w14:textId="77777777" w:rsidR="001F3D6E" w:rsidRPr="001F3D6E" w:rsidRDefault="001F3D6E" w:rsidP="001F3D6E">
      <w:pPr>
        <w:ind w:left="6030"/>
        <w:rPr>
          <w:szCs w:val="22"/>
          <w:lang w:val="es-ES_tradnl"/>
        </w:rPr>
      </w:pPr>
    </w:p>
    <w:p w14:paraId="1D0A0BAA" w14:textId="77777777" w:rsidR="001F3D6E" w:rsidRPr="001F3D6E" w:rsidRDefault="001F3D6E" w:rsidP="001F3D6E">
      <w:pPr>
        <w:ind w:left="6030"/>
        <w:rPr>
          <w:szCs w:val="22"/>
          <w:lang w:val="es-ES_tradnl"/>
        </w:rPr>
        <w:sectPr w:rsidR="001F3D6E" w:rsidRPr="001F3D6E" w:rsidSect="00817F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256E2BA3" w14:textId="77777777" w:rsidR="001F3D6E" w:rsidRPr="001F3D6E" w:rsidRDefault="001F3D6E" w:rsidP="001F3D6E">
      <w:pPr>
        <w:rPr>
          <w:b/>
          <w:bCs/>
          <w:szCs w:val="22"/>
          <w:lang w:val="es-ES_tradnl"/>
        </w:rPr>
      </w:pPr>
      <w:r w:rsidRPr="001F3D6E">
        <w:rPr>
          <w:b/>
          <w:szCs w:val="22"/>
          <w:lang w:val="es-ES_tradnl"/>
        </w:rPr>
        <w:lastRenderedPageBreak/>
        <w:t>ANEXO: COMENTARIOS PRELIMINARES RECIBIDOS HASTA EL 29 DE MARZO DE 2024</w:t>
      </w:r>
    </w:p>
    <w:p w14:paraId="0E8CCC82" w14:textId="77777777" w:rsidR="001F3D6E" w:rsidRPr="001F3D6E" w:rsidRDefault="001F3D6E" w:rsidP="001F3D6E">
      <w:pPr>
        <w:rPr>
          <w:b/>
          <w:bCs/>
          <w:szCs w:val="22"/>
          <w:lang w:val="es-ES_tradnl"/>
        </w:rPr>
      </w:pPr>
    </w:p>
    <w:p w14:paraId="4A8E44DC" w14:textId="77777777" w:rsidR="001F3D6E" w:rsidRPr="001F3D6E" w:rsidRDefault="001F3D6E" w:rsidP="001F3D6E">
      <w:pPr>
        <w:rPr>
          <w:b/>
          <w:bCs/>
          <w:i/>
          <w:iCs/>
          <w:szCs w:val="22"/>
          <w:lang w:val="es-ES_tradnl"/>
        </w:rPr>
      </w:pPr>
      <w:r w:rsidRPr="001F3D6E">
        <w:rPr>
          <w:b/>
          <w:i/>
          <w:szCs w:val="22"/>
          <w:lang w:val="es-ES_tradnl"/>
        </w:rPr>
        <w:t>Comentarios d Grupo B</w:t>
      </w:r>
    </w:p>
    <w:p w14:paraId="4EF47726" w14:textId="77777777" w:rsidR="001F3D6E" w:rsidRPr="001F3D6E" w:rsidRDefault="001F3D6E" w:rsidP="001F3D6E">
      <w:pPr>
        <w:rPr>
          <w:b/>
          <w:bCs/>
          <w:szCs w:val="22"/>
          <w:lang w:val="es-ES_tradnl"/>
        </w:rPr>
      </w:pPr>
    </w:p>
    <w:p w14:paraId="138BD4BC" w14:textId="77777777" w:rsidR="001F3D6E" w:rsidRPr="001F3D6E" w:rsidRDefault="001F3D6E" w:rsidP="001F3D6E">
      <w:pPr>
        <w:rPr>
          <w:b/>
          <w:bCs/>
          <w:szCs w:val="22"/>
          <w:lang w:val="es-ES_tradnl"/>
        </w:rPr>
      </w:pPr>
      <w:r w:rsidRPr="001F3D6E">
        <w:rPr>
          <w:b/>
          <w:szCs w:val="22"/>
          <w:lang w:val="es-ES_tradnl"/>
        </w:rPr>
        <w:t>Proyecto de plan de ejecución del programa de trabajo sobre limitaciones y excepciones</w:t>
      </w:r>
    </w:p>
    <w:p w14:paraId="766CE14C" w14:textId="77777777" w:rsidR="001F3D6E" w:rsidRPr="001F3D6E" w:rsidRDefault="001F3D6E" w:rsidP="001F3D6E">
      <w:pPr>
        <w:rPr>
          <w:b/>
          <w:bCs/>
          <w:szCs w:val="22"/>
          <w:lang w:val="es-ES_tradnl"/>
        </w:rPr>
      </w:pPr>
      <w:r w:rsidRPr="001F3D6E">
        <w:rPr>
          <w:b/>
          <w:szCs w:val="22"/>
          <w:lang w:val="es-ES_tradnl"/>
        </w:rPr>
        <w:t>(Bienio 2024- 25)</w:t>
      </w:r>
    </w:p>
    <w:p w14:paraId="4A0C18DE" w14:textId="77777777" w:rsidR="001F3D6E" w:rsidRPr="001F3D6E" w:rsidRDefault="001F3D6E" w:rsidP="001F3D6E">
      <w:pPr>
        <w:rPr>
          <w:szCs w:val="22"/>
          <w:lang w:val="es-ES_tradnl"/>
        </w:rPr>
      </w:pPr>
    </w:p>
    <w:p w14:paraId="4D22EB04" w14:textId="77777777" w:rsidR="001F3D6E" w:rsidRPr="001F3D6E" w:rsidRDefault="001F3D6E" w:rsidP="001F3D6E">
      <w:pPr>
        <w:rPr>
          <w:szCs w:val="22"/>
          <w:lang w:val="es-ES_tradnl"/>
        </w:rPr>
      </w:pPr>
    </w:p>
    <w:p w14:paraId="4F9EE7A5" w14:textId="77777777" w:rsidR="001F3D6E" w:rsidRPr="001F3D6E" w:rsidRDefault="001F3D6E" w:rsidP="001F3D6E">
      <w:pPr>
        <w:rPr>
          <w:szCs w:val="22"/>
          <w:u w:val="single"/>
          <w:lang w:val="es-ES_tradnl"/>
        </w:rPr>
      </w:pPr>
      <w:r w:rsidRPr="001F3D6E">
        <w:rPr>
          <w:szCs w:val="22"/>
          <w:u w:val="single"/>
          <w:lang w:val="es-ES_tradnl"/>
        </w:rPr>
        <w:t>Antecedentes</w:t>
      </w:r>
    </w:p>
    <w:p w14:paraId="1E299410" w14:textId="77777777" w:rsidR="001F3D6E" w:rsidRPr="001F3D6E" w:rsidRDefault="001F3D6E" w:rsidP="001F3D6E">
      <w:pPr>
        <w:rPr>
          <w:szCs w:val="22"/>
          <w:lang w:val="es-ES_tradnl"/>
        </w:rPr>
      </w:pPr>
    </w:p>
    <w:p w14:paraId="3C21EB9A" w14:textId="3EFBE711" w:rsidR="001F3D6E" w:rsidRPr="001F3D6E" w:rsidRDefault="001F3D6E" w:rsidP="001F3D6E">
      <w:pPr>
        <w:rPr>
          <w:szCs w:val="22"/>
          <w:lang w:val="es-ES_tradnl"/>
        </w:rPr>
      </w:pPr>
      <w:r w:rsidRPr="001F3D6E">
        <w:rPr>
          <w:szCs w:val="22"/>
          <w:lang w:val="es-ES_tradnl"/>
        </w:rPr>
        <w:t>En la última sesión del SCCR, la 44.ª sesión, celebrada en noviembre de 2023, se encomendó a la Secretaría de la OMPI que preparara un proyecto de plan de ejecución del programa de trabajo sobre limitaciones y excepciones (Propuesta del Grupo Africano relativa a un proyecto de programa de trabajo sobre excepciones y limitaciones, que consta en el documento SCCR/43/8, aprobada por el Comité).</w:t>
      </w:r>
      <w:r>
        <w:rPr>
          <w:szCs w:val="22"/>
          <w:lang w:val="es-ES_tradnl"/>
        </w:rPr>
        <w:t xml:space="preserve"> </w:t>
      </w:r>
      <w:r w:rsidRPr="001F3D6E">
        <w:rPr>
          <w:szCs w:val="22"/>
          <w:lang w:val="es-ES_tradnl"/>
        </w:rPr>
        <w:t>Estaba previsto que la Secretaría distribuyera este proyecto entre los Estados miembros para su consulta antes de la 45ª sesión del SCCR, que se celebrará en abril de 2024.</w:t>
      </w:r>
      <w:r>
        <w:rPr>
          <w:szCs w:val="22"/>
          <w:lang w:val="es-ES_tradnl"/>
        </w:rPr>
        <w:t xml:space="preserve"> </w:t>
      </w:r>
    </w:p>
    <w:p w14:paraId="7C5838DA" w14:textId="77777777" w:rsidR="001F3D6E" w:rsidRPr="001F3D6E" w:rsidRDefault="001F3D6E" w:rsidP="001F3D6E">
      <w:pPr>
        <w:rPr>
          <w:szCs w:val="22"/>
          <w:lang w:val="es-ES_tradnl"/>
        </w:rPr>
      </w:pPr>
    </w:p>
    <w:p w14:paraId="5F89EF17" w14:textId="43AC2097" w:rsidR="001F3D6E" w:rsidRPr="001F3D6E" w:rsidRDefault="001F3D6E" w:rsidP="001F3D6E">
      <w:pPr>
        <w:rPr>
          <w:color w:val="0D0D0D"/>
          <w:szCs w:val="22"/>
          <w:shd w:val="clear" w:color="auto" w:fill="FFFFFF"/>
          <w:lang w:val="es-ES_tradnl"/>
        </w:rPr>
      </w:pPr>
      <w:r w:rsidRPr="001F3D6E">
        <w:rPr>
          <w:szCs w:val="22"/>
          <w:lang w:val="es-ES_tradnl"/>
        </w:rPr>
        <w:t>La versión actual del proyecto de plan de ejecución, que incorpora, tal y como se solicitó, los comentarios de los Estados miembros formulados durante la 44.ª sesión del SCCR, está ahora abierta a comentarios que deberán enviarse a la Secretaría a través de los coordinadores de grupos antes del viernes 29 de marzo de 2024.</w:t>
      </w:r>
      <w:r>
        <w:rPr>
          <w:szCs w:val="22"/>
          <w:lang w:val="es-ES_tradnl"/>
        </w:rPr>
        <w:t xml:space="preserve"> </w:t>
      </w:r>
      <w:r w:rsidRPr="001F3D6E">
        <w:rPr>
          <w:szCs w:val="22"/>
          <w:lang w:val="es-ES_tradnl"/>
        </w:rPr>
        <w:t>Esto permitirá a la Secretaría integrar las sugerencias recibidas en el proyecto antes del inicio de la 45.ª sesión del SCCR.</w:t>
      </w:r>
      <w:r>
        <w:rPr>
          <w:szCs w:val="22"/>
          <w:lang w:val="es-ES_tradnl"/>
        </w:rPr>
        <w:t xml:space="preserve"> </w:t>
      </w:r>
      <w:r w:rsidRPr="001F3D6E">
        <w:rPr>
          <w:szCs w:val="22"/>
          <w:lang w:val="es-ES_tradnl"/>
        </w:rPr>
        <w:t xml:space="preserve">El proyecto </w:t>
      </w:r>
      <w:r w:rsidRPr="001F3D6E">
        <w:rPr>
          <w:color w:val="0D0D0D"/>
          <w:szCs w:val="22"/>
          <w:shd w:val="clear" w:color="auto" w:fill="FFFFFF"/>
          <w:lang w:val="es-ES_tradnl"/>
        </w:rPr>
        <w:t>será objeto de debate por los Estados miembros en plenaria.</w:t>
      </w:r>
    </w:p>
    <w:p w14:paraId="49A634C6" w14:textId="77777777" w:rsidR="001F3D6E" w:rsidRPr="001F3D6E" w:rsidRDefault="001F3D6E" w:rsidP="001F3D6E">
      <w:pPr>
        <w:rPr>
          <w:szCs w:val="22"/>
          <w:lang w:val="es-ES_tradnl"/>
        </w:rPr>
      </w:pPr>
    </w:p>
    <w:p w14:paraId="08436D98" w14:textId="77777777" w:rsidR="001F3D6E" w:rsidRPr="001F3D6E" w:rsidRDefault="001F3D6E" w:rsidP="001F3D6E">
      <w:pPr>
        <w:rPr>
          <w:szCs w:val="22"/>
          <w:lang w:val="es-ES_tradnl"/>
        </w:rPr>
      </w:pPr>
    </w:p>
    <w:p w14:paraId="1DD015A5" w14:textId="77777777" w:rsidR="001F3D6E" w:rsidRPr="001F3D6E" w:rsidRDefault="001F3D6E" w:rsidP="001F3D6E">
      <w:pPr>
        <w:rPr>
          <w:szCs w:val="22"/>
          <w:u w:val="single"/>
          <w:lang w:val="es-ES_tradnl"/>
        </w:rPr>
      </w:pPr>
      <w:r w:rsidRPr="001F3D6E">
        <w:rPr>
          <w:szCs w:val="22"/>
          <w:u w:val="single"/>
          <w:lang w:val="es-ES_tradnl"/>
        </w:rPr>
        <w:t>Proyecto de plan de ejecución</w:t>
      </w:r>
    </w:p>
    <w:p w14:paraId="52DB21F9" w14:textId="77777777" w:rsidR="001F3D6E" w:rsidRPr="001F3D6E" w:rsidRDefault="001F3D6E" w:rsidP="001F3D6E">
      <w:pPr>
        <w:rPr>
          <w:szCs w:val="22"/>
          <w:lang w:val="es-ES_tradnl"/>
        </w:rPr>
      </w:pPr>
    </w:p>
    <w:p w14:paraId="3BB32ECA" w14:textId="77777777" w:rsidR="001F3D6E" w:rsidRPr="001F3D6E" w:rsidRDefault="001F3D6E" w:rsidP="001F3D6E">
      <w:pPr>
        <w:rPr>
          <w:i/>
          <w:iCs/>
          <w:szCs w:val="22"/>
          <w:lang w:val="es-ES_tradnl"/>
        </w:rPr>
      </w:pPr>
    </w:p>
    <w:p w14:paraId="6416D359" w14:textId="77777777" w:rsidR="001F3D6E" w:rsidRPr="001F3D6E" w:rsidRDefault="001F3D6E" w:rsidP="001F3D6E">
      <w:pPr>
        <w:rPr>
          <w:i/>
          <w:iCs/>
          <w:szCs w:val="22"/>
          <w:lang w:val="es-ES_tradnl"/>
        </w:rPr>
      </w:pPr>
      <w:r w:rsidRPr="001F3D6E">
        <w:rPr>
          <w:i/>
          <w:szCs w:val="22"/>
          <w:lang w:val="es-ES_tradnl"/>
        </w:rPr>
        <w:t>I. Preservación</w:t>
      </w:r>
    </w:p>
    <w:p w14:paraId="5AB6E09C" w14:textId="77777777" w:rsidR="001F3D6E" w:rsidRPr="001F3D6E" w:rsidRDefault="001F3D6E" w:rsidP="001F3D6E">
      <w:pPr>
        <w:rPr>
          <w:szCs w:val="22"/>
          <w:lang w:val="es-ES_tradnl"/>
        </w:rPr>
      </w:pPr>
    </w:p>
    <w:p w14:paraId="34D3B45D" w14:textId="77777777" w:rsidR="001F3D6E" w:rsidRPr="001F3D6E" w:rsidRDefault="001F3D6E" w:rsidP="001F3D6E">
      <w:pPr>
        <w:rPr>
          <w:szCs w:val="22"/>
          <w:lang w:val="es-ES_tradnl"/>
        </w:rPr>
      </w:pPr>
      <w:r w:rsidRPr="001F3D6E">
        <w:rPr>
          <w:szCs w:val="22"/>
          <w:lang w:val="es-ES_tradnl"/>
        </w:rPr>
        <w:t>a) Presentación de la guía práctica sobre preservación en formato híbrido antes de la 46.ª sesión SCCR.</w:t>
      </w:r>
      <w:r w:rsidRPr="001F3D6E">
        <w:rPr>
          <w:rStyle w:val="FootnoteReference"/>
          <w:szCs w:val="22"/>
          <w:lang w:val="es-ES_tradnl"/>
        </w:rPr>
        <w:footnoteReference w:id="2"/>
      </w:r>
    </w:p>
    <w:p w14:paraId="38BB18A5" w14:textId="77777777" w:rsidR="001F3D6E" w:rsidRPr="001F3D6E" w:rsidRDefault="001F3D6E" w:rsidP="001F3D6E">
      <w:pPr>
        <w:rPr>
          <w:szCs w:val="22"/>
          <w:lang w:val="es-ES_tradnl"/>
        </w:rPr>
      </w:pPr>
    </w:p>
    <w:p w14:paraId="7CAD4901" w14:textId="4E932B5D" w:rsidR="001F3D6E" w:rsidRPr="001F3D6E" w:rsidRDefault="001F3D6E" w:rsidP="001F3D6E">
      <w:pPr>
        <w:rPr>
          <w:szCs w:val="22"/>
          <w:lang w:val="es-ES_tradnl"/>
        </w:rPr>
      </w:pPr>
      <w:r w:rsidRPr="001F3D6E">
        <w:rPr>
          <w:szCs w:val="22"/>
          <w:lang w:val="es-ES_tradnl"/>
        </w:rPr>
        <w:t xml:space="preserve">b) </w:t>
      </w:r>
      <w:r w:rsidRPr="001F3D6E">
        <w:rPr>
          <w:rStyle w:val="FootnoteReference"/>
          <w:szCs w:val="22"/>
          <w:lang w:val="es-ES_tradnl"/>
        </w:rPr>
        <w:footnoteReference w:id="3"/>
      </w:r>
      <w:r w:rsidRPr="001F3D6E">
        <w:rPr>
          <w:szCs w:val="22"/>
          <w:lang w:val="es-ES_tradnl"/>
        </w:rPr>
        <w:t xml:space="preserve">Realización durante el bienio 2024/2025 de una serie de actividades basadas en el contenido de la guía para facilitar la aplicación de políticas y prácticas de preservación </w:t>
      </w:r>
      <w:r w:rsidRPr="001F3D6E">
        <w:rPr>
          <w:szCs w:val="22"/>
          <w:u w:val="single"/>
          <w:lang w:val="es-ES_tradnl"/>
        </w:rPr>
        <w:t>a nivel nacional.</w:t>
      </w:r>
      <w:r>
        <w:rPr>
          <w:szCs w:val="22"/>
          <w:lang w:val="es-ES_tradnl"/>
        </w:rPr>
        <w:t xml:space="preserve"> </w:t>
      </w:r>
      <w:r w:rsidRPr="001F3D6E">
        <w:rPr>
          <w:szCs w:val="22"/>
          <w:lang w:val="es-ES_tradnl"/>
        </w:rPr>
        <w:t>Estas actividades contarán con la participación de formuladores de políticas, profesionales e instituciones y partes interesadas pertinentes, y se celebrarán en varias regiones.</w:t>
      </w:r>
    </w:p>
    <w:p w14:paraId="1ED6AE1E" w14:textId="77777777" w:rsidR="001F3D6E" w:rsidRPr="001F3D6E" w:rsidRDefault="001F3D6E" w:rsidP="001F3D6E">
      <w:pPr>
        <w:rPr>
          <w:i/>
          <w:iCs/>
          <w:szCs w:val="22"/>
          <w:lang w:val="es-ES_tradnl"/>
        </w:rPr>
      </w:pPr>
    </w:p>
    <w:p w14:paraId="3953EE38" w14:textId="77777777" w:rsidR="001F3D6E" w:rsidRPr="001F3D6E" w:rsidRDefault="001F3D6E" w:rsidP="001F3D6E">
      <w:pPr>
        <w:rPr>
          <w:i/>
          <w:iCs/>
          <w:szCs w:val="22"/>
          <w:lang w:val="es-ES_tradnl"/>
        </w:rPr>
      </w:pPr>
    </w:p>
    <w:p w14:paraId="63E6A1D3" w14:textId="77777777" w:rsidR="001F3D6E" w:rsidRPr="001F3D6E" w:rsidRDefault="001F3D6E" w:rsidP="001F3D6E">
      <w:pPr>
        <w:rPr>
          <w:i/>
          <w:iCs/>
          <w:szCs w:val="22"/>
          <w:lang w:val="es-ES_tradnl"/>
        </w:rPr>
      </w:pPr>
      <w:r w:rsidRPr="001F3D6E">
        <w:rPr>
          <w:i/>
          <w:szCs w:val="22"/>
          <w:lang w:val="es-ES_tradnl"/>
        </w:rPr>
        <w:t>II. Acceso</w:t>
      </w:r>
    </w:p>
    <w:p w14:paraId="69AC6190" w14:textId="77777777" w:rsidR="001F3D6E" w:rsidRPr="001F3D6E" w:rsidRDefault="001F3D6E" w:rsidP="001F3D6E">
      <w:pPr>
        <w:rPr>
          <w:szCs w:val="22"/>
          <w:lang w:val="es-ES_tradnl"/>
        </w:rPr>
      </w:pPr>
    </w:p>
    <w:p w14:paraId="1527B6D8" w14:textId="77777777" w:rsidR="001F3D6E" w:rsidRPr="001F3D6E" w:rsidRDefault="001F3D6E" w:rsidP="001F3D6E">
      <w:pPr>
        <w:rPr>
          <w:szCs w:val="22"/>
          <w:lang w:val="es-ES_tradnl"/>
        </w:rPr>
      </w:pPr>
      <w:r w:rsidRPr="001F3D6E">
        <w:rPr>
          <w:szCs w:val="22"/>
          <w:lang w:val="es-ES_tradnl"/>
        </w:rPr>
        <w:t xml:space="preserve">a) Finalización de la guía práctica </w:t>
      </w:r>
      <w:r w:rsidRPr="001F3D6E">
        <w:rPr>
          <w:rStyle w:val="FootnoteReference"/>
          <w:szCs w:val="22"/>
          <w:lang w:val="es-ES_tradnl"/>
        </w:rPr>
        <w:footnoteReference w:id="4"/>
      </w:r>
      <w:r w:rsidRPr="001F3D6E">
        <w:rPr>
          <w:szCs w:val="22"/>
          <w:lang w:val="es-ES_tradnl"/>
        </w:rPr>
        <w:t xml:space="preserve">sobre acceso en relación con las instituciones del patrimonio cultural (bibliotecas, archivos y museos) en 2025. </w:t>
      </w:r>
      <w:r w:rsidRPr="001F3D6E">
        <w:rPr>
          <w:szCs w:val="22"/>
          <w:u w:val="single"/>
          <w:lang w:val="es-ES_tradnl"/>
        </w:rPr>
        <w:t>Una vez publicada la guía práctica en el sitio web del SCCR, los Estados miembros y las partes interesadas tendrán la oportunidad de enviar sus comentarios al respecto a la Secretaría.</w:t>
      </w:r>
    </w:p>
    <w:p w14:paraId="2F9E34AB" w14:textId="77777777" w:rsidR="001F3D6E" w:rsidRPr="001F3D6E" w:rsidRDefault="001F3D6E" w:rsidP="001F3D6E">
      <w:pPr>
        <w:rPr>
          <w:szCs w:val="22"/>
          <w:lang w:val="es-ES_tradnl"/>
        </w:rPr>
      </w:pPr>
    </w:p>
    <w:p w14:paraId="63574070" w14:textId="77777777" w:rsidR="001F3D6E" w:rsidRPr="001F3D6E" w:rsidRDefault="001F3D6E" w:rsidP="001F3D6E">
      <w:pPr>
        <w:rPr>
          <w:szCs w:val="22"/>
          <w:lang w:val="es-ES_tradnl"/>
        </w:rPr>
      </w:pPr>
      <w:r w:rsidRPr="001F3D6E">
        <w:rPr>
          <w:szCs w:val="22"/>
          <w:lang w:val="es-ES_tradnl"/>
        </w:rPr>
        <w:t>b) Presentación a finales de 2025 y en formato híbrido de la guía práctica sobre el acceso en relación con las instituciones del patrimonio cultural (bibliotecas, archivos y museos) .</w:t>
      </w:r>
      <w:r w:rsidRPr="001F3D6E">
        <w:rPr>
          <w:rStyle w:val="FootnoteReference"/>
          <w:szCs w:val="22"/>
          <w:lang w:val="es-ES_tradnl"/>
        </w:rPr>
        <w:footnoteReference w:id="5"/>
      </w:r>
    </w:p>
    <w:p w14:paraId="254FEAFF" w14:textId="77777777" w:rsidR="001F3D6E" w:rsidRPr="001F3D6E" w:rsidRDefault="001F3D6E" w:rsidP="001F3D6E">
      <w:pPr>
        <w:rPr>
          <w:szCs w:val="22"/>
          <w:lang w:val="es-ES_tradnl"/>
        </w:rPr>
      </w:pPr>
    </w:p>
    <w:p w14:paraId="05F6F81B" w14:textId="77777777" w:rsidR="001F3D6E" w:rsidRPr="001F3D6E" w:rsidRDefault="001F3D6E" w:rsidP="001F3D6E">
      <w:pPr>
        <w:rPr>
          <w:szCs w:val="22"/>
          <w:lang w:val="es-ES_tradnl"/>
        </w:rPr>
      </w:pPr>
      <w:r w:rsidRPr="001F3D6E">
        <w:rPr>
          <w:szCs w:val="22"/>
          <w:lang w:val="es-ES_tradnl"/>
        </w:rPr>
        <w:t xml:space="preserve">c) Realización durante el bienio 2024/2025 </w:t>
      </w:r>
      <w:r w:rsidRPr="001F3D6E">
        <w:rPr>
          <w:rStyle w:val="FootnoteReference"/>
          <w:szCs w:val="22"/>
          <w:lang w:val="es-ES_tradnl"/>
        </w:rPr>
        <w:footnoteReference w:id="6"/>
      </w:r>
      <w:r w:rsidRPr="001F3D6E">
        <w:rPr>
          <w:szCs w:val="22"/>
          <w:lang w:val="es-ES_tradnl"/>
        </w:rPr>
        <w:t xml:space="preserve">de una serie de actividades </w:t>
      </w:r>
      <w:r w:rsidRPr="001F3D6E">
        <w:rPr>
          <w:rStyle w:val="FootnoteReference"/>
          <w:szCs w:val="22"/>
          <w:lang w:val="es-ES_tradnl"/>
        </w:rPr>
        <w:footnoteReference w:id="7"/>
      </w:r>
      <w:r w:rsidRPr="001F3D6E">
        <w:rPr>
          <w:szCs w:val="22"/>
          <w:lang w:val="es-ES_tradnl"/>
        </w:rPr>
        <w:t>basadas en el contenido de la guía práctica para facilitar la aplicación de políticas y prácticas de acceso,</w:t>
      </w:r>
      <w:r w:rsidRPr="001F3D6E">
        <w:rPr>
          <w:szCs w:val="22"/>
          <w:u w:val="single"/>
          <w:lang w:val="es-ES_tradnl"/>
        </w:rPr>
        <w:t xml:space="preserve"> también mediante regímenes de concesión de licencias</w:t>
      </w:r>
      <w:r w:rsidRPr="001F3D6E">
        <w:rPr>
          <w:b/>
          <w:szCs w:val="22"/>
          <w:u w:val="single"/>
          <w:lang w:val="es-ES_tradnl"/>
        </w:rPr>
        <w:t>,</w:t>
      </w:r>
      <w:r w:rsidRPr="001F3D6E">
        <w:rPr>
          <w:szCs w:val="22"/>
          <w:lang w:val="es-ES_tradnl"/>
        </w:rPr>
        <w:t xml:space="preserve"> en relación con las instituciones del patrimonio cultural (bibliotecas, archivos y museos) </w:t>
      </w:r>
      <w:r w:rsidRPr="001F3D6E">
        <w:rPr>
          <w:szCs w:val="22"/>
          <w:u w:val="single"/>
          <w:lang w:val="es-ES_tradnl"/>
        </w:rPr>
        <w:t>a nivel nacional.</w:t>
      </w:r>
      <w:r w:rsidRPr="001F3D6E">
        <w:rPr>
          <w:szCs w:val="22"/>
          <w:lang w:val="es-ES_tradnl"/>
        </w:rPr>
        <w:t xml:space="preserve"> Estas actividades contarán con la participación de formuladores de políticas, profesionales e instituciones y partes interesadas pertinentes, y se celebrarán en varias regiones.</w:t>
      </w:r>
    </w:p>
    <w:p w14:paraId="6E98D183" w14:textId="77777777" w:rsidR="001F3D6E" w:rsidRPr="001F3D6E" w:rsidRDefault="001F3D6E" w:rsidP="001F3D6E">
      <w:pPr>
        <w:rPr>
          <w:szCs w:val="22"/>
          <w:lang w:val="es-ES_tradnl"/>
        </w:rPr>
      </w:pPr>
    </w:p>
    <w:p w14:paraId="77AA8725" w14:textId="77777777" w:rsidR="001F3D6E" w:rsidRPr="001F3D6E" w:rsidRDefault="001F3D6E" w:rsidP="001F3D6E">
      <w:pPr>
        <w:rPr>
          <w:szCs w:val="22"/>
          <w:lang w:val="es-ES_tradnl"/>
        </w:rPr>
      </w:pPr>
      <w:r w:rsidRPr="001F3D6E">
        <w:rPr>
          <w:szCs w:val="22"/>
          <w:lang w:val="es-ES_tradnl"/>
        </w:rPr>
        <w:t>d) Inicio en 2025 de la preparación de una guía práctica sobre acceso en relación con las instituciones docentes y de investigación.</w:t>
      </w:r>
    </w:p>
    <w:p w14:paraId="640FA0AF" w14:textId="77777777" w:rsidR="001F3D6E" w:rsidRPr="001F3D6E" w:rsidRDefault="001F3D6E" w:rsidP="001F3D6E">
      <w:pPr>
        <w:rPr>
          <w:szCs w:val="22"/>
          <w:lang w:val="es-ES_tradnl"/>
        </w:rPr>
      </w:pPr>
    </w:p>
    <w:p w14:paraId="4694385C" w14:textId="77777777" w:rsidR="001F3D6E" w:rsidRPr="001F3D6E" w:rsidRDefault="001F3D6E" w:rsidP="001F3D6E">
      <w:pPr>
        <w:rPr>
          <w:szCs w:val="22"/>
          <w:lang w:val="es-ES_tradnl"/>
        </w:rPr>
      </w:pPr>
    </w:p>
    <w:p w14:paraId="3F42F2A5" w14:textId="77777777" w:rsidR="001F3D6E" w:rsidRPr="001F3D6E" w:rsidRDefault="001F3D6E" w:rsidP="001F3D6E">
      <w:pPr>
        <w:rPr>
          <w:i/>
          <w:iCs/>
          <w:szCs w:val="22"/>
          <w:lang w:val="es-ES_tradnl"/>
        </w:rPr>
      </w:pPr>
      <w:r w:rsidRPr="001F3D6E">
        <w:rPr>
          <w:i/>
          <w:szCs w:val="22"/>
          <w:lang w:val="es-ES_tradnl"/>
        </w:rPr>
        <w:t>III. Asuntos relativos a las discapacidades (que no estén contempladas en el Tratado de Marrakech)</w:t>
      </w:r>
    </w:p>
    <w:p w14:paraId="066379E3" w14:textId="77777777" w:rsidR="001F3D6E" w:rsidRPr="001F3D6E" w:rsidRDefault="001F3D6E" w:rsidP="001F3D6E">
      <w:pPr>
        <w:rPr>
          <w:szCs w:val="22"/>
          <w:lang w:val="es-ES_tradnl"/>
        </w:rPr>
      </w:pPr>
    </w:p>
    <w:p w14:paraId="3147BA0E" w14:textId="5D8856B2" w:rsidR="001F3D6E" w:rsidRPr="001F3D6E" w:rsidRDefault="001F3D6E" w:rsidP="001F3D6E">
      <w:pPr>
        <w:rPr>
          <w:szCs w:val="22"/>
          <w:lang w:val="es-ES_tradnl"/>
        </w:rPr>
      </w:pPr>
      <w:r w:rsidRPr="001F3D6E">
        <w:rPr>
          <w:szCs w:val="22"/>
          <w:lang w:val="es-ES_tradnl"/>
        </w:rPr>
        <w:t>a) Actualización del Estudio exploratorio sobre el acceso a obras protegidas por derecho de autor para las personas con discapacidades(documento SCCR/38/3), publicado en 2019, para evaluar las tecnologías de asistencia en materia de derecho de autor.</w:t>
      </w:r>
      <w:r>
        <w:rPr>
          <w:szCs w:val="22"/>
          <w:lang w:val="es-ES_tradnl"/>
        </w:rPr>
        <w:t xml:space="preserve"> </w:t>
      </w:r>
      <w:r w:rsidRPr="001F3D6E">
        <w:rPr>
          <w:szCs w:val="22"/>
          <w:lang w:val="es-ES_tradnl"/>
        </w:rPr>
        <w:t xml:space="preserve">Este estudio se presentará durante una sesión del SCCR en 2025. </w:t>
      </w:r>
      <w:r w:rsidRPr="001F3D6E">
        <w:rPr>
          <w:szCs w:val="22"/>
          <w:u w:val="single"/>
          <w:lang w:val="es-ES_tradnl"/>
        </w:rPr>
        <w:t xml:space="preserve">Una vez presentado el estudio, los Estados miembros y las partes interesadas tendrán la oportunidad de formular comentarios al respecto </w:t>
      </w:r>
    </w:p>
    <w:p w14:paraId="27B97498" w14:textId="77777777" w:rsidR="001F3D6E" w:rsidRPr="001F3D6E" w:rsidRDefault="001F3D6E" w:rsidP="001F3D6E">
      <w:pPr>
        <w:rPr>
          <w:szCs w:val="22"/>
          <w:lang w:val="es-ES_tradnl"/>
        </w:rPr>
      </w:pPr>
    </w:p>
    <w:p w14:paraId="10BAA5F7" w14:textId="77777777" w:rsidR="001F3D6E" w:rsidRPr="001F3D6E" w:rsidRDefault="001F3D6E" w:rsidP="001F3D6E">
      <w:pPr>
        <w:rPr>
          <w:szCs w:val="22"/>
          <w:lang w:val="es-ES_tradnl"/>
        </w:rPr>
      </w:pPr>
      <w:r w:rsidRPr="001F3D6E">
        <w:rPr>
          <w:szCs w:val="22"/>
          <w:lang w:val="es-ES_tradnl"/>
        </w:rPr>
        <w:t xml:space="preserve">b) Organización de una presentación </w:t>
      </w:r>
      <w:r w:rsidRPr="001F3D6E">
        <w:rPr>
          <w:strike/>
          <w:szCs w:val="22"/>
          <w:lang w:val="es-ES_tradnl"/>
        </w:rPr>
        <w:t>híbrida</w:t>
      </w:r>
      <w:r w:rsidRPr="001F3D6E">
        <w:rPr>
          <w:szCs w:val="22"/>
          <w:lang w:val="es-ES_tradnl"/>
        </w:rPr>
        <w:t xml:space="preserve"> </w:t>
      </w:r>
      <w:r w:rsidRPr="001F3D6E">
        <w:rPr>
          <w:rStyle w:val="FootnoteReference"/>
          <w:szCs w:val="22"/>
          <w:lang w:val="es-ES_tradnl"/>
        </w:rPr>
        <w:footnoteReference w:id="8"/>
      </w:r>
      <w:r w:rsidRPr="001F3D6E">
        <w:rPr>
          <w:szCs w:val="22"/>
          <w:lang w:val="es-ES_tradnl"/>
        </w:rPr>
        <w:t xml:space="preserve"> </w:t>
      </w:r>
      <w:r w:rsidRPr="001F3D6E">
        <w:rPr>
          <w:szCs w:val="22"/>
          <w:u w:val="single"/>
          <w:lang w:val="es-ES_tradnl"/>
        </w:rPr>
        <w:t xml:space="preserve">en formato híbrido </w:t>
      </w:r>
      <w:r w:rsidRPr="001F3D6E">
        <w:rPr>
          <w:szCs w:val="22"/>
          <w:lang w:val="es-ES_tradnl"/>
        </w:rPr>
        <w:t>durante una sesión del SCCR en 2025 sobre los medios existentes para abordar las necesidades de las personas con discapacidades auditivas y cognitivas en relación con la accesibilidad de los contenidos protegidos por derecho de autor.</w:t>
      </w:r>
    </w:p>
    <w:p w14:paraId="1C28A58D" w14:textId="77777777" w:rsidR="001F3D6E" w:rsidRPr="001F3D6E" w:rsidRDefault="001F3D6E" w:rsidP="001F3D6E">
      <w:pPr>
        <w:rPr>
          <w:szCs w:val="22"/>
          <w:lang w:val="es-ES_tradnl"/>
        </w:rPr>
      </w:pPr>
    </w:p>
    <w:p w14:paraId="5E63D4C2" w14:textId="77777777" w:rsidR="001F3D6E" w:rsidRPr="001F3D6E" w:rsidRDefault="001F3D6E" w:rsidP="001F3D6E">
      <w:pPr>
        <w:rPr>
          <w:i/>
          <w:iCs/>
          <w:szCs w:val="22"/>
          <w:lang w:val="es-ES_tradnl"/>
        </w:rPr>
      </w:pPr>
    </w:p>
    <w:p w14:paraId="36E5FBB5" w14:textId="77777777" w:rsidR="001F3D6E" w:rsidRPr="001F3D6E" w:rsidRDefault="001F3D6E" w:rsidP="001F3D6E">
      <w:pPr>
        <w:keepNext/>
        <w:keepLines/>
        <w:rPr>
          <w:i/>
          <w:iCs/>
          <w:szCs w:val="22"/>
          <w:lang w:val="es-ES_tradnl"/>
        </w:rPr>
      </w:pPr>
      <w:r w:rsidRPr="001F3D6E">
        <w:rPr>
          <w:i/>
          <w:szCs w:val="22"/>
          <w:lang w:val="es-ES_tradnl"/>
        </w:rPr>
        <w:lastRenderedPageBreak/>
        <w:t>IV. Labor adicional relativa a los objetivos y principios sobre limitaciones y excepciones</w:t>
      </w:r>
    </w:p>
    <w:p w14:paraId="2FF61171" w14:textId="1CA0A439" w:rsidR="001F3D6E" w:rsidRPr="001F3D6E" w:rsidRDefault="001F3D6E" w:rsidP="001F3D6E">
      <w:pPr>
        <w:keepNext/>
        <w:keepLines/>
        <w:rPr>
          <w:szCs w:val="22"/>
          <w:u w:val="single"/>
          <w:lang w:val="es-ES_tradnl"/>
        </w:rPr>
      </w:pPr>
      <w:r w:rsidRPr="001F3D6E">
        <w:rPr>
          <w:szCs w:val="22"/>
          <w:lang w:val="es-ES_tradnl"/>
        </w:rPr>
        <w:t xml:space="preserve">Facilitar la continuación de la labor </w:t>
      </w:r>
      <w:r w:rsidRPr="001F3D6E">
        <w:rPr>
          <w:szCs w:val="22"/>
          <w:u w:val="single"/>
          <w:lang w:val="es-ES_tradnl"/>
        </w:rPr>
        <w:t>por parte de</w:t>
      </w:r>
      <w:r w:rsidRPr="001F3D6E">
        <w:rPr>
          <w:szCs w:val="22"/>
          <w:lang w:val="es-ES_tradnl"/>
        </w:rPr>
        <w:t xml:space="preserve"> </w:t>
      </w:r>
      <w:r w:rsidRPr="001F3D6E">
        <w:rPr>
          <w:strike/>
          <w:szCs w:val="22"/>
          <w:lang w:val="es-ES_tradnl"/>
        </w:rPr>
        <w:t>a cargo de un grupo de trabajo especial compuesto por</w:t>
      </w:r>
      <w:r>
        <w:rPr>
          <w:strike/>
          <w:szCs w:val="22"/>
          <w:lang w:val="es-ES_tradnl"/>
        </w:rPr>
        <w:t xml:space="preserve"> </w:t>
      </w:r>
      <w:r w:rsidRPr="001F3D6E">
        <w:rPr>
          <w:szCs w:val="22"/>
          <w:u w:val="single"/>
          <w:lang w:val="es-ES_tradnl"/>
        </w:rPr>
        <w:t xml:space="preserve">los </w:t>
      </w:r>
      <w:r w:rsidRPr="001F3D6E">
        <w:rPr>
          <w:szCs w:val="22"/>
          <w:lang w:val="es-ES_tradnl"/>
        </w:rPr>
        <w:t>Estados miembros acerca de los objetivos y principios sobre limitaciones y excepciones</w:t>
      </w:r>
      <w:r w:rsidRPr="001F3D6E">
        <w:rPr>
          <w:szCs w:val="22"/>
          <w:u w:val="single"/>
          <w:lang w:val="es-ES_tradnl"/>
        </w:rPr>
        <w:t xml:space="preserve">, comenzando en la 45.ª sesión del SCCR con el debate de la versión actualizada del documento </w:t>
      </w:r>
      <w:r>
        <w:rPr>
          <w:szCs w:val="22"/>
          <w:u w:val="single"/>
          <w:lang w:val="es-ES_tradnl"/>
        </w:rPr>
        <w:t>“</w:t>
      </w:r>
      <w:r w:rsidRPr="001F3D6E">
        <w:rPr>
          <w:szCs w:val="22"/>
          <w:u w:val="single"/>
          <w:lang w:val="es-ES_tradnl"/>
        </w:rPr>
        <w:t>Objetivos y principios en materia de excepciones y limitaciones para bibliotecas y archivos</w:t>
      </w:r>
      <w:r>
        <w:rPr>
          <w:szCs w:val="22"/>
          <w:u w:val="single"/>
          <w:lang w:val="es-ES_tradnl"/>
        </w:rPr>
        <w:t>”</w:t>
      </w:r>
      <w:r w:rsidRPr="001F3D6E">
        <w:rPr>
          <w:szCs w:val="22"/>
          <w:u w:val="single"/>
          <w:lang w:val="es-ES_tradnl"/>
        </w:rPr>
        <w:t xml:space="preserve"> (documento SCCR/44/5), y considerándolo para su adopción como documento del SCCR. </w:t>
      </w:r>
      <w:r w:rsidRPr="001F3D6E">
        <w:rPr>
          <w:szCs w:val="22"/>
          <w:lang w:val="es-ES_tradnl"/>
        </w:rPr>
        <w:t xml:space="preserve">Las modalidades y el alcance del trabajo </w:t>
      </w:r>
      <w:r w:rsidRPr="001F3D6E">
        <w:rPr>
          <w:szCs w:val="22"/>
          <w:u w:val="single"/>
          <w:lang w:val="es-ES_tradnl"/>
        </w:rPr>
        <w:t>sobre el punto IV</w:t>
      </w:r>
      <w:r w:rsidRPr="001F3D6E">
        <w:rPr>
          <w:szCs w:val="22"/>
          <w:lang w:val="es-ES_tradnl"/>
        </w:rPr>
        <w:t xml:space="preserve"> </w:t>
      </w:r>
      <w:r w:rsidRPr="001F3D6E">
        <w:rPr>
          <w:szCs w:val="22"/>
          <w:u w:val="single"/>
          <w:lang w:val="es-ES_tradnl"/>
        </w:rPr>
        <w:t>seguirán siendo objeto de examen por los Estados miembros y</w:t>
      </w:r>
      <w:r w:rsidRPr="001F3D6E">
        <w:rPr>
          <w:szCs w:val="22"/>
          <w:lang w:val="es-ES_tradnl"/>
        </w:rPr>
        <w:t xml:space="preserve"> se definirán durante la 46.ª sesión SCCR </w:t>
      </w:r>
      <w:r w:rsidRPr="001F3D6E">
        <w:rPr>
          <w:szCs w:val="22"/>
          <w:u w:val="single"/>
          <w:lang w:val="es-ES_tradnl"/>
        </w:rPr>
        <w:t>tras finalizarse los puntos 1 a 3 del programa de trabajo</w:t>
      </w:r>
      <w:r w:rsidRPr="001F3D6E">
        <w:rPr>
          <w:szCs w:val="22"/>
          <w:lang w:val="es-ES_tradnl"/>
        </w:rPr>
        <w:t>.</w:t>
      </w:r>
    </w:p>
    <w:p w14:paraId="717CA5C5" w14:textId="77777777" w:rsidR="001F3D6E" w:rsidRPr="001F3D6E" w:rsidRDefault="001F3D6E" w:rsidP="001F3D6E">
      <w:pPr>
        <w:rPr>
          <w:szCs w:val="22"/>
          <w:lang w:val="es-ES_tradnl"/>
        </w:rPr>
      </w:pPr>
    </w:p>
    <w:p w14:paraId="55F067A2" w14:textId="77777777" w:rsidR="001F3D6E" w:rsidRPr="001F3D6E" w:rsidRDefault="001F3D6E" w:rsidP="001F3D6E">
      <w:pPr>
        <w:rPr>
          <w:szCs w:val="22"/>
          <w:lang w:val="es-ES_tradnl"/>
        </w:rPr>
      </w:pPr>
    </w:p>
    <w:p w14:paraId="02C48F71" w14:textId="77777777" w:rsidR="001F3D6E" w:rsidRPr="001F3D6E" w:rsidRDefault="001F3D6E" w:rsidP="001F3D6E">
      <w:pPr>
        <w:rPr>
          <w:szCs w:val="22"/>
          <w:lang w:val="es-ES_tradnl"/>
        </w:rPr>
        <w:sectPr w:rsidR="001F3D6E" w:rsidRPr="001F3D6E" w:rsidSect="00011940">
          <w:headerReference w:type="default" r:id="rId14"/>
          <w:footerReference w:type="default" r:id="rId15"/>
          <w:headerReference w:type="first" r:id="rId16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49BF9082" w14:textId="77777777" w:rsidR="001F3D6E" w:rsidRPr="001F3D6E" w:rsidRDefault="001F3D6E" w:rsidP="001F3D6E">
      <w:pPr>
        <w:rPr>
          <w:i/>
          <w:iCs/>
          <w:szCs w:val="22"/>
          <w:lang w:val="es-ES_tradnl"/>
        </w:rPr>
      </w:pPr>
      <w:r w:rsidRPr="001F3D6E">
        <w:rPr>
          <w:b/>
          <w:i/>
          <w:szCs w:val="22"/>
          <w:lang w:val="es-ES_tradnl"/>
        </w:rPr>
        <w:lastRenderedPageBreak/>
        <w:t>Comentarios del Grupo de América Latina y el Caribe (GRULAC)</w:t>
      </w:r>
    </w:p>
    <w:p w14:paraId="55179662" w14:textId="77777777" w:rsidR="001F3D6E" w:rsidRPr="001F3D6E" w:rsidRDefault="001F3D6E" w:rsidP="001F3D6E">
      <w:pPr>
        <w:rPr>
          <w:i/>
          <w:iCs/>
          <w:szCs w:val="22"/>
          <w:lang w:val="es-ES_tradnl"/>
        </w:rPr>
      </w:pPr>
    </w:p>
    <w:p w14:paraId="04F0FF34" w14:textId="7A9E286B" w:rsidR="001F3D6E" w:rsidRPr="001F3D6E" w:rsidRDefault="001F3D6E" w:rsidP="001F3D6E">
      <w:pPr>
        <w:rPr>
          <w:szCs w:val="22"/>
          <w:lang w:val="es-ES_tradnl"/>
        </w:rPr>
      </w:pPr>
      <w:r w:rsidRPr="001F3D6E">
        <w:rPr>
          <w:szCs w:val="22"/>
          <w:lang w:val="es-ES_tradnl"/>
        </w:rPr>
        <w:t xml:space="preserve">En cuanto al plan de ejecución, el GRULAC observa de forma preliminar que no contempla medidas concretas y detalladas para aplicar el punto 2) b) del programa, es decir, </w:t>
      </w:r>
      <w:r>
        <w:rPr>
          <w:szCs w:val="22"/>
          <w:lang w:val="es-ES_tradnl"/>
        </w:rPr>
        <w:t>“</w:t>
      </w:r>
      <w:r w:rsidRPr="001F3D6E">
        <w:rPr>
          <w:szCs w:val="22"/>
          <w:lang w:val="es-ES_tradnl"/>
        </w:rPr>
        <w:t>promover la adaptación de las excepciones y limitaciones al entorno en línea, por ejemplo, al permitir la enseñanza, el aprendizaje y la investigación mediante herramientas digitales y en línea</w:t>
      </w:r>
      <w:r>
        <w:rPr>
          <w:szCs w:val="22"/>
          <w:lang w:val="es-ES_tradnl"/>
        </w:rPr>
        <w:t>”</w:t>
      </w:r>
      <w:r w:rsidRPr="001F3D6E">
        <w:rPr>
          <w:szCs w:val="22"/>
          <w:lang w:val="es-ES_tradnl"/>
        </w:rPr>
        <w:t>, que es una prioridad para los Estados miembros del GRULAC debido a su relación con la minería de datos.</w:t>
      </w:r>
    </w:p>
    <w:p w14:paraId="2C7B19F3" w14:textId="77777777" w:rsidR="001F3D6E" w:rsidRPr="001F3D6E" w:rsidRDefault="001F3D6E" w:rsidP="001F3D6E">
      <w:pPr>
        <w:rPr>
          <w:szCs w:val="22"/>
          <w:lang w:val="es-ES_tradnl"/>
        </w:rPr>
        <w:sectPr w:rsidR="001F3D6E" w:rsidRPr="001F3D6E" w:rsidSect="0066518D">
          <w:headerReference w:type="first" r:id="rId17"/>
          <w:footerReference w:type="first" r:id="rId18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1F3D6E">
        <w:rPr>
          <w:szCs w:val="22"/>
          <w:lang w:val="es-ES_tradnl"/>
        </w:rPr>
        <w:t>.</w:t>
      </w:r>
    </w:p>
    <w:p w14:paraId="099F51A1" w14:textId="77777777" w:rsidR="001F3D6E" w:rsidRPr="001F3D6E" w:rsidRDefault="001F3D6E" w:rsidP="001F3D6E">
      <w:pPr>
        <w:rPr>
          <w:b/>
          <w:bCs/>
          <w:i/>
          <w:iCs/>
          <w:szCs w:val="22"/>
          <w:lang w:val="es-ES_tradnl"/>
        </w:rPr>
      </w:pPr>
      <w:r w:rsidRPr="001F3D6E">
        <w:rPr>
          <w:b/>
          <w:i/>
          <w:szCs w:val="22"/>
          <w:lang w:val="es-ES_tradnl"/>
        </w:rPr>
        <w:lastRenderedPageBreak/>
        <w:t>Comentarios de Irán</w:t>
      </w:r>
    </w:p>
    <w:p w14:paraId="400B3281" w14:textId="77777777" w:rsidR="001F3D6E" w:rsidRPr="001F3D6E" w:rsidRDefault="001F3D6E" w:rsidP="001F3D6E">
      <w:pPr>
        <w:rPr>
          <w:szCs w:val="22"/>
          <w:lang w:val="es-ES_tradnl"/>
        </w:rPr>
      </w:pPr>
    </w:p>
    <w:p w14:paraId="089D4E5E" w14:textId="77777777" w:rsidR="001F3D6E" w:rsidRPr="001F3D6E" w:rsidRDefault="001F3D6E" w:rsidP="001F3D6E">
      <w:pPr>
        <w:rPr>
          <w:szCs w:val="22"/>
          <w:lang w:val="es-ES_tradnl"/>
        </w:rPr>
      </w:pPr>
    </w:p>
    <w:p w14:paraId="15D414EA" w14:textId="5C682748" w:rsidR="001F3D6E" w:rsidRPr="001F3D6E" w:rsidRDefault="001F3D6E" w:rsidP="001F3D6E">
      <w:pPr>
        <w:rPr>
          <w:szCs w:val="22"/>
          <w:lang w:val="es-ES_tradnl"/>
        </w:rPr>
      </w:pPr>
      <w:r w:rsidRPr="001F3D6E">
        <w:rPr>
          <w:szCs w:val="22"/>
          <w:lang w:val="es-ES_tradnl"/>
        </w:rPr>
        <w:t xml:space="preserve">Durante la 44.ª sesión del SCCR, el Grupo Africano presentó un proyecto de propuesta para la ejecución del programa de trabajo sobre excepciones y limitaciones (documento SCCR/44/6). Dicha propuesta tenía por objeto establecer un marco específico para la elaboración de un instrumento internacional que abordara las excepciones y limitaciones a las leyes de derecho de autor. Conforme al Resumen de la Presidencia aprobado al final de la 44.ª sesión, la Secretaría deberá presentar en la siguiente sesión del SCCR un </w:t>
      </w:r>
      <w:r>
        <w:rPr>
          <w:szCs w:val="22"/>
          <w:lang w:val="es-ES_tradnl"/>
        </w:rPr>
        <w:t>“</w:t>
      </w:r>
      <w:r w:rsidRPr="001F3D6E">
        <w:rPr>
          <w:szCs w:val="22"/>
          <w:lang w:val="es-ES_tradnl"/>
        </w:rPr>
        <w:t>plan de ejecución detallado» para el programa de trabajo sobre excepciones y limitaciones teniendo en cuenta los «comentarios de los Estados miembros formulados en la presente sesión</w:t>
      </w:r>
      <w:r>
        <w:rPr>
          <w:szCs w:val="22"/>
          <w:lang w:val="es-ES_tradnl"/>
        </w:rPr>
        <w:t>”.</w:t>
      </w:r>
    </w:p>
    <w:p w14:paraId="0433014B" w14:textId="77777777" w:rsidR="001F3D6E" w:rsidRPr="001F3D6E" w:rsidRDefault="001F3D6E" w:rsidP="001F3D6E">
      <w:pPr>
        <w:rPr>
          <w:szCs w:val="22"/>
          <w:lang w:val="es-ES_tradnl"/>
        </w:rPr>
      </w:pPr>
    </w:p>
    <w:p w14:paraId="33C55B23" w14:textId="77777777" w:rsidR="001F3D6E" w:rsidRPr="001F3D6E" w:rsidRDefault="001F3D6E" w:rsidP="001F3D6E">
      <w:pPr>
        <w:rPr>
          <w:szCs w:val="22"/>
          <w:lang w:val="es-ES_tradnl"/>
        </w:rPr>
      </w:pPr>
      <w:r w:rsidRPr="001F3D6E">
        <w:rPr>
          <w:szCs w:val="22"/>
          <w:lang w:val="es-ES_tradnl"/>
        </w:rPr>
        <w:t>Los siguientes comentarios se presentan como contribución a la labor del SCCR en el ámbito de la ejecución del plan de trabajo sobre excepciones y limitaciones.</w:t>
      </w:r>
    </w:p>
    <w:p w14:paraId="35460CBB" w14:textId="77777777" w:rsidR="001F3D6E" w:rsidRPr="001F3D6E" w:rsidRDefault="001F3D6E" w:rsidP="001F3D6E">
      <w:pPr>
        <w:rPr>
          <w:szCs w:val="22"/>
          <w:lang w:val="es-ES_tradnl"/>
        </w:rPr>
      </w:pPr>
    </w:p>
    <w:p w14:paraId="5B63328E" w14:textId="062A8005" w:rsidR="001F3D6E" w:rsidRPr="001F3D6E" w:rsidRDefault="001F3D6E" w:rsidP="001F3D6E">
      <w:pPr>
        <w:rPr>
          <w:szCs w:val="22"/>
          <w:lang w:val="es-ES_tradnl"/>
        </w:rPr>
      </w:pPr>
      <w:r w:rsidRPr="001F3D6E">
        <w:rPr>
          <w:szCs w:val="22"/>
          <w:lang w:val="es-ES_tradnl"/>
        </w:rPr>
        <w:t xml:space="preserve">Mi delegación apoya plenamente el </w:t>
      </w:r>
      <w:r>
        <w:rPr>
          <w:szCs w:val="22"/>
          <w:lang w:val="es-ES_tradnl"/>
        </w:rPr>
        <w:t>“</w:t>
      </w:r>
      <w:r w:rsidRPr="001F3D6E">
        <w:rPr>
          <w:szCs w:val="22"/>
          <w:lang w:val="es-ES_tradnl"/>
        </w:rPr>
        <w:t>Proyecto de propuesta para la ejecución del programa de trabajo sobre excepciones y limitaciones</w:t>
      </w:r>
      <w:r>
        <w:rPr>
          <w:szCs w:val="22"/>
          <w:lang w:val="es-ES_tradnl"/>
        </w:rPr>
        <w:t>”</w:t>
      </w:r>
      <w:r w:rsidRPr="001F3D6E">
        <w:rPr>
          <w:szCs w:val="22"/>
          <w:lang w:val="es-ES_tradnl"/>
        </w:rPr>
        <w:t xml:space="preserve"> que figura en el documento SCCR/44/6. Creemos que la propuesta puede ser un punto de partida adecuado en aras de la ejecución del programa de trabajo sobre excepciones y limitaciones que el Comité aprobó íntegramente en su 44.ª sesión.</w:t>
      </w:r>
      <w:r>
        <w:rPr>
          <w:szCs w:val="22"/>
          <w:lang w:val="es-ES_tradnl"/>
        </w:rPr>
        <w:t xml:space="preserve"> </w:t>
      </w:r>
      <w:r w:rsidRPr="001F3D6E">
        <w:rPr>
          <w:szCs w:val="22"/>
          <w:lang w:val="es-ES_tradnl"/>
        </w:rPr>
        <w:t xml:space="preserve">La propuesta esboza tres áreas prioritarias identificadas por el Comité. La propuesta constituye un marco global para los debates sobre la forma de avanzar en el programa de trabajo sobre excepciones y limitaciones en el seno del SCCR. En ella se sugiere un enfoque paso a paso para elaborar el instrumento, comenzando por acordar los objetivos y principios antes de pasar a considerar opciones específicas para su inclusión. De acuerdo con el proyecto de propuesta para la ejecución del programa de trabajo sobre excepciones y limitaciones, </w:t>
      </w:r>
      <w:r>
        <w:rPr>
          <w:szCs w:val="22"/>
          <w:lang w:val="es-ES_tradnl"/>
        </w:rPr>
        <w:t>“</w:t>
      </w:r>
      <w:r w:rsidRPr="001F3D6E">
        <w:rPr>
          <w:szCs w:val="22"/>
          <w:lang w:val="es-ES_tradnl"/>
        </w:rPr>
        <w:t>los proyectos de principios, objetivos y opciones (de ejecución) deberán exponerse en la 45.ª sesión del SCCR, a fin de que sean examinados por el Comité</w:t>
      </w:r>
      <w:r>
        <w:rPr>
          <w:szCs w:val="22"/>
          <w:lang w:val="es-ES_tradnl"/>
        </w:rPr>
        <w:t>”</w:t>
      </w:r>
      <w:r w:rsidRPr="001F3D6E">
        <w:rPr>
          <w:szCs w:val="22"/>
          <w:lang w:val="es-ES_tradnl"/>
        </w:rPr>
        <w:t>. (véase el documento 44/6)</w:t>
      </w:r>
    </w:p>
    <w:p w14:paraId="07975C83" w14:textId="77777777" w:rsidR="001F3D6E" w:rsidRPr="001F3D6E" w:rsidRDefault="001F3D6E" w:rsidP="001F3D6E">
      <w:pPr>
        <w:rPr>
          <w:szCs w:val="22"/>
          <w:lang w:val="es-ES_tradnl"/>
        </w:rPr>
      </w:pPr>
    </w:p>
    <w:p w14:paraId="54C4C8C8" w14:textId="77777777" w:rsidR="001F3D6E" w:rsidRPr="001F3D6E" w:rsidRDefault="001F3D6E" w:rsidP="001F3D6E">
      <w:pPr>
        <w:rPr>
          <w:szCs w:val="22"/>
          <w:lang w:val="es-ES_tradnl"/>
        </w:rPr>
      </w:pPr>
      <w:r w:rsidRPr="001F3D6E">
        <w:rPr>
          <w:szCs w:val="22"/>
          <w:lang w:val="es-ES_tradnl"/>
        </w:rPr>
        <w:t>Creemos que este amplio programa de trabajo ( basado en la propuesta del Grupo Africano) podría servir de base para futuras deliberaciones en la 45.ª sesión del SCCR, en la que los Estados miembros podrían debatir y perfeccionar el proceso propuesto para elaborar el instrumento internacional sobre excepciones y limitaciones. Además, la creación de un grupo de trabajo especial durante la 45.ª sesión del SCCR podría ayudar a hacer avanzar el trabajo en este ámbito entre sesiones, lo que podría dar lugar a resultados concretos que podrían presentarse y debatirse en la 46.ª sesión del SCCR. Basándose en la propuesta presentada en la 44.ª sesión del SCCR y tras entablar debates sustantivos durante la 45.ª sesión del SCCR, se podría avanzar significativamente en la consecución de su objetivo de mejorar el acceso al conocimiento y promover la transparencia mediante marcos equilibrados de derecho de autor.</w:t>
      </w:r>
    </w:p>
    <w:p w14:paraId="1C578D88" w14:textId="77777777" w:rsidR="001F3D6E" w:rsidRPr="001F3D6E" w:rsidRDefault="001F3D6E" w:rsidP="001F3D6E">
      <w:pPr>
        <w:rPr>
          <w:szCs w:val="22"/>
          <w:lang w:val="es-ES_tradnl"/>
        </w:rPr>
      </w:pPr>
    </w:p>
    <w:p w14:paraId="65DD4AF5" w14:textId="0957C43C" w:rsidR="001F3D6E" w:rsidRPr="001F3D6E" w:rsidRDefault="001F3D6E" w:rsidP="001F3D6E">
      <w:pPr>
        <w:rPr>
          <w:szCs w:val="22"/>
          <w:lang w:val="es-ES_tradnl"/>
        </w:rPr>
      </w:pPr>
      <w:r w:rsidRPr="001F3D6E">
        <w:rPr>
          <w:szCs w:val="22"/>
          <w:lang w:val="es-ES_tradnl"/>
        </w:rPr>
        <w:t xml:space="preserve">Las limitaciones y excepciones son el único punto del proyecto de plan de ejecución que requiere un debate en profundidad. Dado que la fecha de celebración de la 46.ª del SCCR puede retrasarse y podría no tener lugar hasta la primavera de 2025, o incluso más tarde, mi delegación sugiere que el alcance y las modalidades se examinen durante la 45.ª sesión del SCCR, y que en esa sesión se proceda también al nombramiento de un grupo de especial. Este enfoque permitiría al grupo de trabajo proseguir su labor </w:t>
      </w:r>
      <w:r>
        <w:rPr>
          <w:szCs w:val="22"/>
          <w:lang w:val="es-ES_tradnl"/>
        </w:rPr>
        <w:t>“</w:t>
      </w:r>
      <w:r w:rsidRPr="001F3D6E">
        <w:rPr>
          <w:szCs w:val="22"/>
          <w:lang w:val="es-ES_tradnl"/>
        </w:rPr>
        <w:t>entre sesiones</w:t>
      </w:r>
      <w:r>
        <w:rPr>
          <w:szCs w:val="22"/>
          <w:lang w:val="es-ES_tradnl"/>
        </w:rPr>
        <w:t>”</w:t>
      </w:r>
      <w:r w:rsidRPr="001F3D6E">
        <w:rPr>
          <w:szCs w:val="22"/>
          <w:lang w:val="es-ES_tradnl"/>
        </w:rPr>
        <w:t>, y el resultado de dicha labor podría presentarse en la 46.ª sesión del SCCR. Dicho lo anterior, creemos que el proyecto de ejecución del programa de trabajo sobre limitaciones y excepciones que ha preparado la Secretaría debería seguir siendo negociado en la próxima sesión del SCCR (45.ª sesión).</w:t>
      </w:r>
    </w:p>
    <w:p w14:paraId="75918DD0" w14:textId="77777777" w:rsidR="001F3D6E" w:rsidRPr="001F3D6E" w:rsidRDefault="001F3D6E" w:rsidP="001F3D6E">
      <w:pPr>
        <w:rPr>
          <w:szCs w:val="22"/>
          <w:lang w:val="es-ES_tradnl"/>
        </w:rPr>
      </w:pPr>
      <w:r w:rsidRPr="001F3D6E">
        <w:rPr>
          <w:szCs w:val="22"/>
          <w:lang w:val="es-ES_tradnl"/>
        </w:rPr>
        <w:br w:type="page"/>
      </w:r>
    </w:p>
    <w:p w14:paraId="6BFA6B95" w14:textId="77777777" w:rsidR="001F3D6E" w:rsidRPr="001F3D6E" w:rsidRDefault="001F3D6E" w:rsidP="001F3D6E">
      <w:pPr>
        <w:rPr>
          <w:b/>
          <w:bCs/>
          <w:i/>
          <w:iCs/>
          <w:szCs w:val="22"/>
          <w:lang w:val="es-ES_tradnl"/>
        </w:rPr>
      </w:pPr>
      <w:r w:rsidRPr="001F3D6E">
        <w:rPr>
          <w:b/>
          <w:i/>
          <w:szCs w:val="22"/>
          <w:lang w:val="es-ES_tradnl"/>
        </w:rPr>
        <w:lastRenderedPageBreak/>
        <w:t>Comentarios de la Federación de Rusia</w:t>
      </w:r>
    </w:p>
    <w:p w14:paraId="00FE1943" w14:textId="77777777" w:rsidR="001F3D6E" w:rsidRPr="001F3D6E" w:rsidRDefault="001F3D6E" w:rsidP="001F3D6E">
      <w:pPr>
        <w:rPr>
          <w:szCs w:val="22"/>
          <w:lang w:val="es-ES_tradnl"/>
        </w:rPr>
      </w:pPr>
    </w:p>
    <w:p w14:paraId="2F1BC2A2" w14:textId="77777777" w:rsidR="001F3D6E" w:rsidRPr="001F3D6E" w:rsidRDefault="001F3D6E" w:rsidP="001F3D6E">
      <w:pPr>
        <w:rPr>
          <w:szCs w:val="22"/>
          <w:lang w:val="es-ES_tradnl"/>
        </w:rPr>
      </w:pPr>
    </w:p>
    <w:p w14:paraId="57068988" w14:textId="77777777" w:rsidR="001F3D6E" w:rsidRPr="001F3D6E" w:rsidRDefault="001F3D6E" w:rsidP="001F3D6E">
      <w:pPr>
        <w:rPr>
          <w:szCs w:val="22"/>
          <w:lang w:val="es-ES_tradnl"/>
        </w:rPr>
      </w:pPr>
      <w:r w:rsidRPr="001F3D6E">
        <w:rPr>
          <w:szCs w:val="22"/>
          <w:lang w:val="es-ES_tradnl"/>
        </w:rPr>
        <w:t xml:space="preserve">Nos preguntamos cuál será la correlación entre la guía práctica propuesta sobre preservación, indicada en el párrafo I, sobre preservación, y la guía práctica sobre preservación, preparada por Rina Elster Pantalony, Kenneth D. Crews y David Sutton para la 43.ª sesión del SCCR (documento SCCR/43/4). </w:t>
      </w:r>
    </w:p>
    <w:p w14:paraId="30D71317" w14:textId="0712B037" w:rsidR="001F3D6E" w:rsidRPr="001F3D6E" w:rsidRDefault="001F3D6E" w:rsidP="001F3D6E">
      <w:pPr>
        <w:rPr>
          <w:szCs w:val="22"/>
          <w:lang w:val="es-ES_tradnl"/>
        </w:rPr>
      </w:pPr>
    </w:p>
    <w:p w14:paraId="46043212" w14:textId="22B7E51A" w:rsidR="001F3D6E" w:rsidRPr="001F3D6E" w:rsidRDefault="001F3D6E" w:rsidP="001F3D6E">
      <w:pPr>
        <w:rPr>
          <w:szCs w:val="22"/>
          <w:lang w:val="es-ES_tradnl"/>
        </w:rPr>
      </w:pPr>
      <w:r w:rsidRPr="001F3D6E">
        <w:rPr>
          <w:szCs w:val="22"/>
          <w:lang w:val="es-ES_tradnl"/>
        </w:rPr>
        <w:t>Además, en la 43ª sesión del SCCR, la Secretaría indicó que se prepararán guías prácticas sobre acceso para bibliotecas, museos y archivos, y sobre acceso para instituciones docentes y de investigación.</w:t>
      </w:r>
      <w:r>
        <w:rPr>
          <w:szCs w:val="22"/>
          <w:lang w:val="es-ES_tradnl"/>
        </w:rPr>
        <w:t xml:space="preserve"> </w:t>
      </w:r>
      <w:r w:rsidRPr="001F3D6E">
        <w:rPr>
          <w:szCs w:val="22"/>
          <w:lang w:val="es-ES_tradnl"/>
        </w:rPr>
        <w:t>Por lo tanto, tenemos curiosidad por saber si la finalización de la guía práctica sobre el acceso en relación con las instituciones del patrimonio cultural (bibliotecas, archivos y museos) y la presentación de la guía práctica sobre el acceso en relación con las instituciones docentes y de investigación, especificadas en el párrafo II del plan, sobre acceso, implican la continuación de ese trabajo o algo distinto.</w:t>
      </w:r>
    </w:p>
    <w:p w14:paraId="2A01B8C7" w14:textId="77777777" w:rsidR="001F3D6E" w:rsidRPr="001F3D6E" w:rsidRDefault="001F3D6E" w:rsidP="001F3D6E">
      <w:pPr>
        <w:ind w:left="6030"/>
        <w:rPr>
          <w:szCs w:val="22"/>
          <w:lang w:val="es-ES_tradnl"/>
        </w:rPr>
      </w:pPr>
    </w:p>
    <w:p w14:paraId="1F1A74C6" w14:textId="77777777" w:rsidR="001F3D6E" w:rsidRPr="001F3D6E" w:rsidRDefault="001F3D6E" w:rsidP="001F3D6E">
      <w:pPr>
        <w:ind w:left="6030"/>
        <w:rPr>
          <w:szCs w:val="22"/>
          <w:lang w:val="es-ES_tradnl"/>
        </w:rPr>
      </w:pPr>
    </w:p>
    <w:p w14:paraId="54FE9889" w14:textId="77777777" w:rsidR="001F3D6E" w:rsidRPr="001F3D6E" w:rsidRDefault="001F3D6E" w:rsidP="001F3D6E">
      <w:pPr>
        <w:ind w:left="6030"/>
        <w:rPr>
          <w:szCs w:val="22"/>
          <w:lang w:val="es-ES_tradnl"/>
        </w:rPr>
      </w:pPr>
    </w:p>
    <w:p w14:paraId="1C6AE7B7" w14:textId="1158D12E" w:rsidR="00152CEA" w:rsidRPr="001F3D6E" w:rsidRDefault="001F3D6E" w:rsidP="001F3D6E">
      <w:pPr>
        <w:ind w:left="6030"/>
        <w:rPr>
          <w:szCs w:val="22"/>
          <w:lang w:val="es-ES_tradnl"/>
        </w:rPr>
      </w:pPr>
      <w:r w:rsidRPr="001F3D6E">
        <w:rPr>
          <w:szCs w:val="22"/>
          <w:lang w:val="es-ES_tradnl"/>
        </w:rPr>
        <w:t>[Fin del Anexo y del documento]</w:t>
      </w:r>
    </w:p>
    <w:sectPr w:rsidR="00152CEA" w:rsidRPr="001F3D6E" w:rsidSect="001F3D6E">
      <w:headerReference w:type="default" r:id="rId1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53433" w14:textId="77777777" w:rsidR="001F3D6E" w:rsidRDefault="001F3D6E">
      <w:r>
        <w:separator/>
      </w:r>
    </w:p>
  </w:endnote>
  <w:endnote w:type="continuationSeparator" w:id="0">
    <w:p w14:paraId="05E4906C" w14:textId="77777777" w:rsidR="001F3D6E" w:rsidRPr="009D30E6" w:rsidRDefault="001F3D6E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2C8530EA" w14:textId="77777777" w:rsidR="001F3D6E" w:rsidRPr="007E663E" w:rsidRDefault="001F3D6E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2E09CE66" w14:textId="77777777" w:rsidR="001F3D6E" w:rsidRPr="007E663E" w:rsidRDefault="001F3D6E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0159C" w14:textId="77777777" w:rsidR="00FD2A83" w:rsidRDefault="00FD2A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416F" w14:textId="77777777" w:rsidR="00FD2A83" w:rsidRDefault="00FD2A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564D5" w14:textId="77777777" w:rsidR="00FD2A83" w:rsidRDefault="00FD2A8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D2C31" w14:textId="77777777" w:rsidR="001F3D6E" w:rsidRDefault="001F3D6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14347" w14:textId="77777777" w:rsidR="001F3D6E" w:rsidRDefault="001F3D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46FFB" w14:textId="77777777" w:rsidR="001F3D6E" w:rsidRDefault="001F3D6E">
      <w:r>
        <w:separator/>
      </w:r>
    </w:p>
  </w:footnote>
  <w:footnote w:type="continuationSeparator" w:id="0">
    <w:p w14:paraId="5ECF583A" w14:textId="77777777" w:rsidR="001F3D6E" w:rsidRPr="009D30E6" w:rsidRDefault="001F3D6E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537899E9" w14:textId="77777777" w:rsidR="001F3D6E" w:rsidRPr="007E663E" w:rsidRDefault="001F3D6E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4F615740" w14:textId="77777777" w:rsidR="001F3D6E" w:rsidRPr="007E663E" w:rsidRDefault="001F3D6E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14:paraId="04D626B3" w14:textId="77777777" w:rsidR="001F3D6E" w:rsidRPr="00C83461" w:rsidRDefault="001F3D6E" w:rsidP="001F3D6E">
      <w:pPr>
        <w:pStyle w:val="pf0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/>
          <w:sz w:val="18"/>
        </w:rPr>
        <w:t xml:space="preserve"> </w:t>
      </w:r>
      <w:r>
        <w:rPr>
          <w:rStyle w:val="cf01"/>
          <w:rFonts w:ascii="Arial" w:hAnsi="Arial"/>
        </w:rPr>
        <w:t xml:space="preserve">Proponemos que la presentación de la guía práctica se realice durante una reunión del SCCR para garantizar una mayor participación de los Estados miembros y de las partes interesadas/ observadores, así como para hacer hincapié en el trabajo realizado en el marco de este proyecto. </w:t>
      </w:r>
    </w:p>
  </w:footnote>
  <w:footnote w:id="3">
    <w:p w14:paraId="269765D0" w14:textId="77777777" w:rsidR="001F3D6E" w:rsidRPr="00C83461" w:rsidRDefault="001F3D6E" w:rsidP="001F3D6E">
      <w:pPr>
        <w:pStyle w:val="pf0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/>
          <w:sz w:val="18"/>
        </w:rPr>
        <w:t xml:space="preserve"> </w:t>
      </w:r>
      <w:r>
        <w:rPr>
          <w:rStyle w:val="cf01"/>
          <w:rFonts w:ascii="Arial" w:hAnsi="Arial"/>
        </w:rPr>
        <w:t>Agradeceríamos las siguientes aclaraciones:</w:t>
      </w:r>
    </w:p>
    <w:p w14:paraId="1929ACAA" w14:textId="77777777" w:rsidR="001F3D6E" w:rsidRPr="00C83461" w:rsidRDefault="001F3D6E" w:rsidP="001F3D6E">
      <w:pPr>
        <w:pStyle w:val="pf1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Style w:val="cf01"/>
          <w:rFonts w:ascii="Arial" w:hAnsi="Arial"/>
        </w:rPr>
        <w:t>¿De qué tipo/naturaleza son estas actividades? (por ejemplo, presentación, mesa redonda, etc.)</w:t>
      </w:r>
    </w:p>
    <w:p w14:paraId="6ED1AFE6" w14:textId="77777777" w:rsidR="001F3D6E" w:rsidRPr="00C83461" w:rsidRDefault="001F3D6E" w:rsidP="001F3D6E">
      <w:pPr>
        <w:pStyle w:val="pf1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Style w:val="cf01"/>
          <w:rFonts w:ascii="Arial" w:hAnsi="Arial"/>
        </w:rPr>
        <w:t xml:space="preserve">¿Se prevé un formato híbrido? </w:t>
      </w:r>
    </w:p>
    <w:p w14:paraId="7D5608F5" w14:textId="77777777" w:rsidR="001F3D6E" w:rsidRPr="00C83461" w:rsidRDefault="001F3D6E" w:rsidP="001F3D6E">
      <w:pPr>
        <w:pStyle w:val="pf1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Style w:val="cf01"/>
          <w:rFonts w:ascii="Arial" w:hAnsi="Arial"/>
        </w:rPr>
        <w:t>¿Cuántas actividades prevé la Secretaría para 2024/2025 y en qué regiones?</w:t>
      </w:r>
    </w:p>
    <w:p w14:paraId="68A28953" w14:textId="77777777" w:rsidR="001F3D6E" w:rsidRPr="00C83461" w:rsidRDefault="001F3D6E" w:rsidP="001F3D6E">
      <w:pPr>
        <w:pStyle w:val="pf1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Style w:val="cf01"/>
          <w:rFonts w:ascii="Arial" w:hAnsi="Arial"/>
        </w:rPr>
        <w:t>¿Decidirá la Secretaría qué regiones abarcar o se hará a petición de los Estados miembros de la región?</w:t>
      </w:r>
    </w:p>
    <w:p w14:paraId="3E7B2BC4" w14:textId="77777777" w:rsidR="001F3D6E" w:rsidRPr="00C83461" w:rsidRDefault="001F3D6E" w:rsidP="001F3D6E">
      <w:pPr>
        <w:pStyle w:val="pf1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Style w:val="cf01"/>
          <w:rFonts w:ascii="Arial" w:hAnsi="Arial"/>
        </w:rPr>
        <w:t>¿Se invitará a todos los Estados miembros a participar en dichas actividades en cada región?</w:t>
      </w:r>
    </w:p>
    <w:p w14:paraId="164AC649" w14:textId="77777777" w:rsidR="001F3D6E" w:rsidRPr="006344AB" w:rsidRDefault="001F3D6E" w:rsidP="001F3D6E">
      <w:pPr>
        <w:pStyle w:val="FootnoteText"/>
      </w:pPr>
    </w:p>
  </w:footnote>
  <w:footnote w:id="4">
    <w:p w14:paraId="4DA5AE51" w14:textId="77777777" w:rsidR="001F3D6E" w:rsidRPr="00C83461" w:rsidRDefault="001F3D6E" w:rsidP="001F3D6E">
      <w:pPr>
        <w:pStyle w:val="pf0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/>
          <w:sz w:val="18"/>
        </w:rPr>
        <w:t xml:space="preserve"> </w:t>
      </w:r>
      <w:r>
        <w:rPr>
          <w:rStyle w:val="cf01"/>
          <w:rFonts w:ascii="Arial" w:hAnsi="Arial"/>
        </w:rPr>
        <w:t>Al igual que con la guía práctica sobre preservación (SCCR/43/4), agradeceríamos que la Secretaría ofreciera a los Estados miembros y a las partes interesadas la oportunidad de formular comentarios sobre esta guía práctica.</w:t>
      </w:r>
    </w:p>
  </w:footnote>
  <w:footnote w:id="5">
    <w:p w14:paraId="681D446C" w14:textId="77777777" w:rsidR="001F3D6E" w:rsidRPr="00C83461" w:rsidRDefault="001F3D6E" w:rsidP="001F3D6E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</w:t>
      </w:r>
      <w:r>
        <w:rPr>
          <w:rStyle w:val="cf01"/>
        </w:rPr>
        <w:t>La misma sugerencia que para el punto I.a) anterior: realizar una presentación de la guía práctica durante una reunión del SCCR.</w:t>
      </w:r>
    </w:p>
  </w:footnote>
  <w:footnote w:id="6">
    <w:p w14:paraId="45D6CBC2" w14:textId="77777777" w:rsidR="001F3D6E" w:rsidRPr="00C83461" w:rsidRDefault="001F3D6E" w:rsidP="001F3D6E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</w:t>
      </w:r>
      <w:r>
        <w:rPr>
          <w:rStyle w:val="cf01"/>
        </w:rPr>
        <w:t>Mismo comentario que para el punto I.b) anterior.</w:t>
      </w:r>
    </w:p>
  </w:footnote>
  <w:footnote w:id="7">
    <w:p w14:paraId="5C53BA3A" w14:textId="77777777" w:rsidR="001F3D6E" w:rsidRPr="00C83461" w:rsidRDefault="001F3D6E" w:rsidP="001F3D6E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Agradeceríamos que se nos aclare cómo prevé la Secretaría llevar a cabo estas actividades en 2024 sobre una guía práctica que se espera finalizar en 2025 y presentar a finales de 2025.</w:t>
      </w:r>
    </w:p>
  </w:footnote>
  <w:footnote w:id="8">
    <w:p w14:paraId="131C1A5D" w14:textId="77777777" w:rsidR="001F3D6E" w:rsidRPr="00C83461" w:rsidRDefault="001F3D6E" w:rsidP="001F3D6E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>Agradeceríamos las siguientes aclaraciones:</w:t>
      </w:r>
    </w:p>
    <w:p w14:paraId="382C2CB7" w14:textId="77777777" w:rsidR="001F3D6E" w:rsidRPr="00C83461" w:rsidRDefault="001F3D6E" w:rsidP="001F3D6E">
      <w:pPr>
        <w:pStyle w:val="FootnoteText"/>
        <w:ind w:left="450"/>
        <w:rPr>
          <w:szCs w:val="18"/>
        </w:rPr>
      </w:pPr>
      <w:r>
        <w:t>¿Quién realizará la presentación?</w:t>
      </w:r>
    </w:p>
    <w:p w14:paraId="11BC3489" w14:textId="77777777" w:rsidR="001F3D6E" w:rsidRPr="00C83461" w:rsidRDefault="001F3D6E" w:rsidP="001F3D6E">
      <w:pPr>
        <w:pStyle w:val="FootnoteText"/>
        <w:ind w:left="450"/>
        <w:rPr>
          <w:szCs w:val="18"/>
        </w:rPr>
      </w:pPr>
      <w:r>
        <w:t>¿Qué tipo/naturaleza tienen esos «medios existentes»? (Por ejemplo, jurídicos, tecnológicos, etc.)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76B23" w14:textId="77777777" w:rsidR="00FD2A83" w:rsidRDefault="00FD2A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6F1F7" w14:textId="77777777" w:rsidR="001F3D6E" w:rsidRDefault="001F3D6E" w:rsidP="001F3D6E">
    <w:pPr>
      <w:pStyle w:val="Header"/>
      <w:jc w:val="right"/>
    </w:pPr>
    <w:r>
      <w:t>SCCR/45/6</w:t>
    </w:r>
  </w:p>
  <w:p w14:paraId="395D859F" w14:textId="78BAB413" w:rsidR="001F3D6E" w:rsidRDefault="001F3D6E" w:rsidP="001F3D6E">
    <w:pPr>
      <w:pStyle w:val="Header"/>
      <w:jc w:val="right"/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53DBE606" w14:textId="77777777" w:rsidR="001F3D6E" w:rsidRDefault="001F3D6E" w:rsidP="001F3D6E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E5C4A" w14:textId="77777777" w:rsidR="00FD2A83" w:rsidRDefault="00FD2A8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CB3FF" w14:textId="77777777" w:rsidR="009B3469" w:rsidRDefault="009B3469" w:rsidP="001F3D6E">
    <w:pPr>
      <w:pStyle w:val="Header"/>
      <w:jc w:val="right"/>
    </w:pPr>
    <w:r>
      <w:t>SCCR/45/6</w:t>
    </w:r>
  </w:p>
  <w:p w14:paraId="79D22A6E" w14:textId="77777777" w:rsidR="009B3469" w:rsidRDefault="009B3469" w:rsidP="001F3D6E">
    <w:pPr>
      <w:pStyle w:val="Header"/>
      <w:jc w:val="right"/>
    </w:pPr>
    <w:r>
      <w:t xml:space="preserve">Anexo, página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0EB2B447" w14:textId="77777777" w:rsidR="009B3469" w:rsidRDefault="009B3469" w:rsidP="001F3D6E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28ED" w14:textId="77777777" w:rsidR="001F3D6E" w:rsidRDefault="001F3D6E" w:rsidP="00F84D48">
    <w:pPr>
      <w:pStyle w:val="Header"/>
      <w:jc w:val="right"/>
    </w:pPr>
    <w:r>
      <w:t>SCCR/45/6</w:t>
    </w:r>
  </w:p>
  <w:p w14:paraId="43BEF6B9" w14:textId="388F5A52" w:rsidR="001F3D6E" w:rsidRDefault="009B3469" w:rsidP="00F84D48">
    <w:pPr>
      <w:pStyle w:val="Header"/>
      <w:jc w:val="right"/>
      <w:rPr>
        <w:noProof/>
      </w:rPr>
    </w:pPr>
    <w:r>
      <w:t>ANEXO</w:t>
    </w:r>
  </w:p>
  <w:p w14:paraId="100BDCE5" w14:textId="77777777" w:rsidR="001F3D6E" w:rsidRDefault="001F3D6E" w:rsidP="00F84D48">
    <w:pPr>
      <w:pStyle w:val="Header"/>
      <w:jc w:val="right"/>
      <w:rPr>
        <w:noProof/>
      </w:rPr>
    </w:pPr>
  </w:p>
  <w:p w14:paraId="3225EDD2" w14:textId="77777777" w:rsidR="001F3D6E" w:rsidRDefault="001F3D6E" w:rsidP="00F84D48">
    <w:pPr>
      <w:pStyle w:val="Header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0A4A" w14:textId="77777777" w:rsidR="001F3D6E" w:rsidRDefault="001F3D6E" w:rsidP="00F84D48">
    <w:pPr>
      <w:pStyle w:val="Header"/>
      <w:jc w:val="right"/>
    </w:pPr>
    <w:r>
      <w:t>SCCR/45/6</w:t>
    </w:r>
  </w:p>
  <w:p w14:paraId="588D9F4F" w14:textId="77777777" w:rsidR="001F3D6E" w:rsidRDefault="001F3D6E" w:rsidP="00F84D48">
    <w:pPr>
      <w:pStyle w:val="Header"/>
      <w:jc w:val="right"/>
      <w:rPr>
        <w:noProof/>
      </w:rPr>
    </w:pPr>
    <w:r>
      <w:t xml:space="preserve">Anexo, página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4C257F27" w14:textId="77777777" w:rsidR="001F3D6E" w:rsidRDefault="001F3D6E" w:rsidP="00F84D48">
    <w:pPr>
      <w:pStyle w:val="Header"/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5BE6E" w14:textId="77777777" w:rsidR="00F84474" w:rsidRDefault="001F3D6E" w:rsidP="00477D6B">
    <w:pPr>
      <w:jc w:val="right"/>
    </w:pPr>
    <w:bookmarkStart w:id="5" w:name="Code2"/>
    <w:bookmarkEnd w:id="5"/>
    <w:r>
      <w:t>SCCR/45/6</w:t>
    </w:r>
  </w:p>
  <w:p w14:paraId="4A0749BE" w14:textId="511F7FFB" w:rsidR="00F84474" w:rsidRDefault="009B3469" w:rsidP="00477D6B">
    <w:pPr>
      <w:jc w:val="right"/>
    </w:pPr>
    <w:r>
      <w:t xml:space="preserve">Anexo, </w:t>
    </w:r>
    <w:r w:rsidR="00F84474">
      <w:t xml:space="preserve">página </w:t>
    </w:r>
    <w:r w:rsidR="00F84474">
      <w:fldChar w:fldCharType="begin"/>
    </w:r>
    <w:r w:rsidR="00F84474">
      <w:instrText xml:space="preserve"> PAGE  \* MERGEFORMAT </w:instrText>
    </w:r>
    <w:r w:rsidR="00F84474">
      <w:fldChar w:fldCharType="separate"/>
    </w:r>
    <w:r w:rsidR="008B14EA">
      <w:rPr>
        <w:noProof/>
      </w:rPr>
      <w:t>2</w:t>
    </w:r>
    <w:r w:rsidR="00F84474">
      <w:fldChar w:fldCharType="end"/>
    </w:r>
  </w:p>
  <w:p w14:paraId="14A4D851" w14:textId="77777777" w:rsidR="00F84474" w:rsidRDefault="00F84474" w:rsidP="00477D6B">
    <w:pPr>
      <w:jc w:val="right"/>
    </w:pPr>
  </w:p>
  <w:p w14:paraId="130B4A2F" w14:textId="77777777" w:rsidR="004F7418" w:rsidRDefault="004F741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BF29B4"/>
    <w:multiLevelType w:val="multilevel"/>
    <w:tmpl w:val="34BA0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2930950">
    <w:abstractNumId w:val="2"/>
  </w:num>
  <w:num w:numId="2" w16cid:durableId="803157564">
    <w:abstractNumId w:val="4"/>
  </w:num>
  <w:num w:numId="3" w16cid:durableId="1677994612">
    <w:abstractNumId w:val="0"/>
  </w:num>
  <w:num w:numId="4" w16cid:durableId="1032074281">
    <w:abstractNumId w:val="5"/>
  </w:num>
  <w:num w:numId="5" w16cid:durableId="1045062155">
    <w:abstractNumId w:val="1"/>
  </w:num>
  <w:num w:numId="6" w16cid:durableId="1621913335">
    <w:abstractNumId w:val="3"/>
  </w:num>
  <w:num w:numId="7" w16cid:durableId="5380550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6E"/>
    <w:rsid w:val="000E3BB3"/>
    <w:rsid w:val="000F5E56"/>
    <w:rsid w:val="001362EE"/>
    <w:rsid w:val="00152CEA"/>
    <w:rsid w:val="001832A6"/>
    <w:rsid w:val="001C4DD3"/>
    <w:rsid w:val="001F3D6E"/>
    <w:rsid w:val="002634C4"/>
    <w:rsid w:val="002F4E68"/>
    <w:rsid w:val="00307787"/>
    <w:rsid w:val="00354647"/>
    <w:rsid w:val="00377273"/>
    <w:rsid w:val="003845C1"/>
    <w:rsid w:val="00387287"/>
    <w:rsid w:val="003D41D4"/>
    <w:rsid w:val="00423E3E"/>
    <w:rsid w:val="00427AF4"/>
    <w:rsid w:val="0045231F"/>
    <w:rsid w:val="004647DA"/>
    <w:rsid w:val="00477D6B"/>
    <w:rsid w:val="004A6C37"/>
    <w:rsid w:val="004F7418"/>
    <w:rsid w:val="005456B1"/>
    <w:rsid w:val="0055013B"/>
    <w:rsid w:val="0056224D"/>
    <w:rsid w:val="00571B99"/>
    <w:rsid w:val="005D64EC"/>
    <w:rsid w:val="00605827"/>
    <w:rsid w:val="00675021"/>
    <w:rsid w:val="006A06C6"/>
    <w:rsid w:val="006A60BE"/>
    <w:rsid w:val="007E63AC"/>
    <w:rsid w:val="007E663E"/>
    <w:rsid w:val="00815082"/>
    <w:rsid w:val="00843582"/>
    <w:rsid w:val="008B14EA"/>
    <w:rsid w:val="008B2CC1"/>
    <w:rsid w:val="008C43FD"/>
    <w:rsid w:val="0090731E"/>
    <w:rsid w:val="00966A22"/>
    <w:rsid w:val="00972F03"/>
    <w:rsid w:val="009906F8"/>
    <w:rsid w:val="009A0C8B"/>
    <w:rsid w:val="009B3469"/>
    <w:rsid w:val="009B6241"/>
    <w:rsid w:val="009E4D3B"/>
    <w:rsid w:val="00A16FC0"/>
    <w:rsid w:val="00A32C9E"/>
    <w:rsid w:val="00A7453D"/>
    <w:rsid w:val="00AB613D"/>
    <w:rsid w:val="00B65A0A"/>
    <w:rsid w:val="00B72D36"/>
    <w:rsid w:val="00BA063E"/>
    <w:rsid w:val="00BC4164"/>
    <w:rsid w:val="00BD2DCC"/>
    <w:rsid w:val="00BE1A8C"/>
    <w:rsid w:val="00C06472"/>
    <w:rsid w:val="00C90559"/>
    <w:rsid w:val="00D05711"/>
    <w:rsid w:val="00D36B79"/>
    <w:rsid w:val="00D40CF0"/>
    <w:rsid w:val="00D56C7C"/>
    <w:rsid w:val="00D71B4D"/>
    <w:rsid w:val="00D90289"/>
    <w:rsid w:val="00D93D55"/>
    <w:rsid w:val="00E2115C"/>
    <w:rsid w:val="00E45C84"/>
    <w:rsid w:val="00E504E5"/>
    <w:rsid w:val="00E73ABF"/>
    <w:rsid w:val="00E945FD"/>
    <w:rsid w:val="00EB7A3E"/>
    <w:rsid w:val="00EC401A"/>
    <w:rsid w:val="00EF530A"/>
    <w:rsid w:val="00EF6622"/>
    <w:rsid w:val="00F55408"/>
    <w:rsid w:val="00F66152"/>
    <w:rsid w:val="00F80845"/>
    <w:rsid w:val="00F84474"/>
    <w:rsid w:val="00FD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F9C697"/>
  <w15:docId w15:val="{DA1E5D97-D56E-42FE-A2A0-FA208624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link w:val="FooterChar"/>
    <w:uiPriority w:val="99"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HeaderChar">
    <w:name w:val="Header Char"/>
    <w:basedOn w:val="DefaultParagraphFont"/>
    <w:link w:val="Header"/>
    <w:uiPriority w:val="99"/>
    <w:rsid w:val="001F3D6E"/>
    <w:rPr>
      <w:rFonts w:ascii="Arial" w:eastAsia="SimSun" w:hAnsi="Arial" w:cs="Arial"/>
      <w:sz w:val="22"/>
      <w:lang w:val="es-E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D6E"/>
    <w:rPr>
      <w:rFonts w:ascii="Arial" w:eastAsia="SimSun" w:hAnsi="Arial" w:cs="Arial"/>
      <w:sz w:val="22"/>
      <w:lang w:val="es-ES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3D6E"/>
    <w:rPr>
      <w:rFonts w:ascii="Arial" w:eastAsia="SimSun" w:hAnsi="Arial" w:cs="Arial"/>
      <w:sz w:val="18"/>
      <w:lang w:val="es-ES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1F3D6E"/>
    <w:rPr>
      <w:vertAlign w:val="superscript"/>
    </w:rPr>
  </w:style>
  <w:style w:type="paragraph" w:customStyle="1" w:styleId="pf0">
    <w:name w:val="pf0"/>
    <w:basedOn w:val="Normal"/>
    <w:rsid w:val="001F3D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f01">
    <w:name w:val="cf01"/>
    <w:basedOn w:val="DefaultParagraphFont"/>
    <w:rsid w:val="001F3D6E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"/>
    <w:rsid w:val="001F3D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_45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SCCR_45 (S)</Template>
  <TotalTime>1</TotalTime>
  <Pages>9</Pages>
  <Words>2183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SCCR/45/</vt:lpstr>
    </vt:vector>
  </TitlesOfParts>
  <Company/>
  <LinksUpToDate>false</LinksUpToDate>
  <CharactersWithSpaces>13935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SCCR/45/6</dc:title>
  <dc:creator>HAIZEL Francesca</dc:creator>
  <cp:keywords/>
  <cp:lastModifiedBy>HAIZEL Francesca</cp:lastModifiedBy>
  <cp:revision>2</cp:revision>
  <dcterms:created xsi:type="dcterms:W3CDTF">2024-04-16T15:52:00Z</dcterms:created>
  <dcterms:modified xsi:type="dcterms:W3CDTF">2024-04-16T15:52:00Z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97c1e2a3-8e7f-43d2-be5f-27d34b55462c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2023-06-15T13:24:07Z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4548e92f-e6d0-48b6-9248-f7e0185e35b5</vt:lpwstr>
  </property>
  <property fmtid="{D5CDD505-2E9C-101B-9397-08002B2CF9AE}" pid="14" name="MSIP_Label_20773ee6-353b-4fb9-a59d-0b94c8c67bea_ContentBits">
    <vt:lpwstr>0</vt:lpwstr>
  </property>
</Properties>
</file>