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CC6F" w14:textId="77777777" w:rsidR="008B2CC1" w:rsidRPr="000863D9" w:rsidRDefault="008B14EA" w:rsidP="008B14EA">
      <w:pPr>
        <w:spacing w:after="120"/>
        <w:jc w:val="right"/>
        <w:rPr>
          <w:lang w:val="es-419"/>
        </w:rPr>
      </w:pPr>
      <w:r w:rsidRPr="000863D9">
        <w:rPr>
          <w:noProof/>
          <w:lang w:val="es-419" w:eastAsia="en-US"/>
        </w:rPr>
        <w:drawing>
          <wp:inline distT="0" distB="0" distL="0" distR="0" wp14:anchorId="0B08A477" wp14:editId="659A18A8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0863D9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63B0E468" wp14:editId="143761E5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FEB13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480B47D" w14:textId="72E00547" w:rsidR="008B2CC1" w:rsidRPr="000863D9" w:rsidRDefault="00D05711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0863D9">
        <w:rPr>
          <w:rFonts w:ascii="Arial Black" w:hAnsi="Arial Black"/>
          <w:caps/>
          <w:sz w:val="15"/>
          <w:szCs w:val="15"/>
          <w:lang w:val="es-419"/>
        </w:rPr>
        <w:t>SCCR/4</w:t>
      </w:r>
      <w:r w:rsidR="00470516" w:rsidRPr="000863D9">
        <w:rPr>
          <w:rFonts w:ascii="Arial Black" w:hAnsi="Arial Black"/>
          <w:caps/>
          <w:sz w:val="15"/>
          <w:szCs w:val="15"/>
          <w:lang w:val="es-419"/>
        </w:rPr>
        <w:t>6</w:t>
      </w:r>
      <w:r w:rsidR="00E2115C" w:rsidRPr="000863D9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FE339B" w:rsidRPr="000863D9">
        <w:rPr>
          <w:rFonts w:ascii="Arial Black" w:hAnsi="Arial Black"/>
          <w:caps/>
          <w:sz w:val="15"/>
          <w:szCs w:val="15"/>
          <w:lang w:val="es-419"/>
        </w:rPr>
        <w:t>4</w:t>
      </w:r>
      <w:r w:rsidR="007C4FB3">
        <w:rPr>
          <w:rFonts w:ascii="Arial Black" w:hAnsi="Arial Black"/>
          <w:caps/>
          <w:sz w:val="15"/>
          <w:szCs w:val="15"/>
          <w:lang w:val="es-419"/>
        </w:rPr>
        <w:t xml:space="preserve"> rev.</w:t>
      </w:r>
    </w:p>
    <w:p w14:paraId="2898E40C" w14:textId="36F7CF56" w:rsidR="008B2CC1" w:rsidRPr="000863D9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0863D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FE339B" w:rsidRPr="000863D9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0C716286" w14:textId="6C31C3F5" w:rsidR="008B2CC1" w:rsidRPr="000863D9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0863D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7C4FB3">
        <w:rPr>
          <w:rFonts w:ascii="Arial Black" w:hAnsi="Arial Black"/>
          <w:caps/>
          <w:sz w:val="15"/>
          <w:lang w:val="es-419"/>
        </w:rPr>
        <w:t>7</w:t>
      </w:r>
      <w:r w:rsidR="00FE339B" w:rsidRPr="000863D9">
        <w:rPr>
          <w:rFonts w:ascii="Arial Black" w:hAnsi="Arial Black"/>
          <w:caps/>
          <w:sz w:val="15"/>
          <w:lang w:val="es-419"/>
        </w:rPr>
        <w:t xml:space="preserve"> DE </w:t>
      </w:r>
      <w:r w:rsidR="007C4FB3">
        <w:rPr>
          <w:rFonts w:ascii="Arial Black" w:hAnsi="Arial Black"/>
          <w:caps/>
          <w:sz w:val="15"/>
          <w:lang w:val="es-419"/>
        </w:rPr>
        <w:t xml:space="preserve">abril </w:t>
      </w:r>
      <w:r w:rsidR="00FE339B" w:rsidRPr="000863D9">
        <w:rPr>
          <w:rFonts w:ascii="Arial Black" w:hAnsi="Arial Black"/>
          <w:caps/>
          <w:sz w:val="15"/>
          <w:lang w:val="es-419"/>
        </w:rPr>
        <w:t>DE 2025</w:t>
      </w:r>
    </w:p>
    <w:bookmarkEnd w:id="2"/>
    <w:p w14:paraId="74DD7110" w14:textId="77777777" w:rsidR="001C4DD3" w:rsidRPr="000863D9" w:rsidRDefault="00E2115C" w:rsidP="008B14EA">
      <w:pPr>
        <w:spacing w:after="720"/>
        <w:rPr>
          <w:b/>
          <w:sz w:val="28"/>
          <w:szCs w:val="28"/>
          <w:lang w:val="es-419"/>
        </w:rPr>
      </w:pPr>
      <w:r w:rsidRPr="000863D9">
        <w:rPr>
          <w:b/>
          <w:sz w:val="28"/>
          <w:szCs w:val="28"/>
          <w:lang w:val="es-419"/>
        </w:rPr>
        <w:t>Comité Permanente de Derecho de Autor y Derechos Conexos</w:t>
      </w:r>
    </w:p>
    <w:p w14:paraId="6E477077" w14:textId="77777777" w:rsidR="00E2115C" w:rsidRPr="000863D9" w:rsidRDefault="00D05711" w:rsidP="00E2115C">
      <w:pPr>
        <w:rPr>
          <w:b/>
          <w:sz w:val="24"/>
          <w:szCs w:val="24"/>
          <w:lang w:val="es-419"/>
        </w:rPr>
      </w:pPr>
      <w:r w:rsidRPr="000863D9">
        <w:rPr>
          <w:b/>
          <w:sz w:val="24"/>
          <w:szCs w:val="24"/>
          <w:lang w:val="es-419"/>
        </w:rPr>
        <w:t xml:space="preserve">Cuadragésima </w:t>
      </w:r>
      <w:r w:rsidR="00470516" w:rsidRPr="000863D9">
        <w:rPr>
          <w:b/>
          <w:sz w:val="24"/>
          <w:szCs w:val="24"/>
          <w:lang w:val="es-419"/>
        </w:rPr>
        <w:t>sex</w:t>
      </w:r>
      <w:r w:rsidR="006A60BE" w:rsidRPr="000863D9">
        <w:rPr>
          <w:b/>
          <w:sz w:val="24"/>
          <w:szCs w:val="24"/>
          <w:lang w:val="es-419"/>
        </w:rPr>
        <w:t>ta</w:t>
      </w:r>
      <w:r w:rsidR="009E4D3B" w:rsidRPr="000863D9">
        <w:rPr>
          <w:b/>
          <w:sz w:val="24"/>
          <w:szCs w:val="24"/>
          <w:lang w:val="es-419"/>
        </w:rPr>
        <w:t xml:space="preserve"> </w:t>
      </w:r>
      <w:r w:rsidR="00E2115C" w:rsidRPr="000863D9">
        <w:rPr>
          <w:b/>
          <w:sz w:val="24"/>
          <w:szCs w:val="24"/>
          <w:lang w:val="es-419"/>
        </w:rPr>
        <w:t>sesión</w:t>
      </w:r>
    </w:p>
    <w:p w14:paraId="45B27699" w14:textId="77777777" w:rsidR="008B2CC1" w:rsidRPr="000863D9" w:rsidRDefault="00E2115C" w:rsidP="008B14EA">
      <w:pPr>
        <w:spacing w:after="720"/>
        <w:rPr>
          <w:b/>
          <w:sz w:val="24"/>
          <w:szCs w:val="24"/>
          <w:lang w:val="es-419"/>
        </w:rPr>
      </w:pPr>
      <w:r w:rsidRPr="000863D9">
        <w:rPr>
          <w:b/>
          <w:sz w:val="24"/>
          <w:szCs w:val="24"/>
          <w:lang w:val="es-419"/>
        </w:rPr>
        <w:t xml:space="preserve">Ginebra, </w:t>
      </w:r>
      <w:r w:rsidR="00470516" w:rsidRPr="000863D9">
        <w:rPr>
          <w:b/>
          <w:sz w:val="24"/>
          <w:szCs w:val="24"/>
          <w:lang w:val="es-419"/>
        </w:rPr>
        <w:t>7</w:t>
      </w:r>
      <w:r w:rsidR="009E4D3B" w:rsidRPr="000863D9">
        <w:rPr>
          <w:b/>
          <w:sz w:val="24"/>
          <w:szCs w:val="24"/>
          <w:lang w:val="es-419"/>
        </w:rPr>
        <w:t xml:space="preserve"> a </w:t>
      </w:r>
      <w:r w:rsidR="006A60BE" w:rsidRPr="000863D9">
        <w:rPr>
          <w:b/>
          <w:sz w:val="24"/>
          <w:szCs w:val="24"/>
          <w:lang w:val="es-419"/>
        </w:rPr>
        <w:t>1</w:t>
      </w:r>
      <w:r w:rsidR="00470516" w:rsidRPr="000863D9">
        <w:rPr>
          <w:b/>
          <w:sz w:val="24"/>
          <w:szCs w:val="24"/>
          <w:lang w:val="es-419"/>
        </w:rPr>
        <w:t>1</w:t>
      </w:r>
      <w:r w:rsidR="009E4D3B" w:rsidRPr="000863D9">
        <w:rPr>
          <w:b/>
          <w:sz w:val="24"/>
          <w:szCs w:val="24"/>
          <w:lang w:val="es-419"/>
        </w:rPr>
        <w:t xml:space="preserve"> de </w:t>
      </w:r>
      <w:r w:rsidR="006A60BE" w:rsidRPr="000863D9">
        <w:rPr>
          <w:b/>
          <w:sz w:val="24"/>
          <w:szCs w:val="24"/>
          <w:lang w:val="es-419"/>
        </w:rPr>
        <w:t xml:space="preserve">abril </w:t>
      </w:r>
      <w:r w:rsidR="009E4D3B" w:rsidRPr="000863D9">
        <w:rPr>
          <w:b/>
          <w:sz w:val="24"/>
          <w:szCs w:val="24"/>
          <w:lang w:val="es-419"/>
        </w:rPr>
        <w:t>de 202</w:t>
      </w:r>
      <w:r w:rsidR="00470516" w:rsidRPr="000863D9">
        <w:rPr>
          <w:b/>
          <w:sz w:val="24"/>
          <w:szCs w:val="24"/>
          <w:lang w:val="es-419"/>
        </w:rPr>
        <w:t>5</w:t>
      </w:r>
    </w:p>
    <w:p w14:paraId="6A7C9EAD" w14:textId="25B965E2" w:rsidR="008B2CC1" w:rsidRPr="000863D9" w:rsidRDefault="00FE339B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0863D9">
        <w:rPr>
          <w:caps/>
          <w:sz w:val="24"/>
          <w:lang w:val="es-419"/>
        </w:rPr>
        <w:t>PROPUESTA DE ESTUDIO SOBRE LA PROTECCIÓN POR DERECHO DE AUTOR DE LAS NORMAS TÉCNICAS</w:t>
      </w:r>
    </w:p>
    <w:p w14:paraId="49E03D8C" w14:textId="01313525" w:rsidR="008B2CC1" w:rsidRPr="000863D9" w:rsidRDefault="00FE339B" w:rsidP="008B14EA">
      <w:pPr>
        <w:spacing w:after="960"/>
        <w:rPr>
          <w:i/>
          <w:lang w:val="es-419"/>
        </w:rPr>
      </w:pPr>
      <w:bookmarkStart w:id="4" w:name="Prepared"/>
      <w:bookmarkEnd w:id="3"/>
      <w:r w:rsidRPr="000863D9">
        <w:rPr>
          <w:i/>
          <w:lang w:val="es-419"/>
        </w:rPr>
        <w:t>preparada por la delegación del Canadá</w:t>
      </w:r>
    </w:p>
    <w:bookmarkEnd w:id="4"/>
    <w:p w14:paraId="12E8AB2C" w14:textId="77777777" w:rsidR="00FE339B" w:rsidRPr="000863D9" w:rsidRDefault="00FE339B" w:rsidP="00FE339B">
      <w:pPr>
        <w:rPr>
          <w:i/>
          <w:lang w:val="es-419"/>
        </w:rPr>
      </w:pPr>
      <w:r w:rsidRPr="000863D9">
        <w:rPr>
          <w:lang w:val="es-419"/>
        </w:rPr>
        <w:br w:type="page"/>
      </w:r>
    </w:p>
    <w:p w14:paraId="02FB64C5" w14:textId="77777777" w:rsidR="00FE339B" w:rsidRPr="000863D9" w:rsidRDefault="00FE339B" w:rsidP="00FE339B">
      <w:pPr>
        <w:jc w:val="center"/>
        <w:rPr>
          <w:b/>
          <w:bCs/>
          <w:szCs w:val="22"/>
          <w:lang w:val="es-419"/>
        </w:rPr>
      </w:pPr>
      <w:r w:rsidRPr="000863D9">
        <w:rPr>
          <w:b/>
          <w:lang w:val="es-419"/>
        </w:rPr>
        <w:lastRenderedPageBreak/>
        <w:t>Propuesta de estudio sobre la protección por derecho de autor de las normas técnicas</w:t>
      </w:r>
    </w:p>
    <w:p w14:paraId="01558C5F" w14:textId="77777777" w:rsidR="00FE339B" w:rsidRPr="000863D9" w:rsidRDefault="00FE339B" w:rsidP="00FE339B">
      <w:pPr>
        <w:rPr>
          <w:szCs w:val="22"/>
          <w:lang w:val="es-419"/>
        </w:rPr>
      </w:pPr>
    </w:p>
    <w:p w14:paraId="49F6D1D5" w14:textId="77777777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>El Canadá propone que el Comité Permanente de Derecho de Autor y Derechos Conexos (SCCR) encargue un estudio sobre la forma en que los Estados miembros abordan la protección por derecho de autor de las normas técnicas incorporadas en la legislación o la reglamentación.</w:t>
      </w:r>
    </w:p>
    <w:p w14:paraId="1CDCC77F" w14:textId="77777777" w:rsidR="00FE339B" w:rsidRPr="000863D9" w:rsidRDefault="00FE339B" w:rsidP="00FE339B">
      <w:pPr>
        <w:rPr>
          <w:szCs w:val="22"/>
          <w:lang w:val="es-419"/>
        </w:rPr>
      </w:pPr>
    </w:p>
    <w:p w14:paraId="5CDE01D1" w14:textId="77777777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>La fiabilidad, uniformidad y seguridad de muchos productos, servicios y procesos habituales en diferentes mercados y proveedores se debe en gran parte al cumplimiento de las normas técnicas. Esas normas protegen a los consumidores y apoyan el crecimiento del mercado porque mejoran la confianza de los consumidores para comprar; impulsan la innovación, reducen los costos de conformidad de las empresas y fomentan la competencia al proporcionar una base de conocimientos especializados técnicos actualizados para todos los proveedores; y facilitan el comercio internacional al fomentar la compatibilidad de productos y servicios entre los distintos países. Existen miles de normas en campos tan diversos como la electrónica, las tecnologías de la información, las telecomunicaciones, la ingeniería y la fabricación, la salud y la seguridad, la protección del medio ambiente, la construcción y otros.</w:t>
      </w:r>
    </w:p>
    <w:p w14:paraId="4BF88EFC" w14:textId="77777777" w:rsidR="00FE339B" w:rsidRPr="000863D9" w:rsidRDefault="00FE339B" w:rsidP="00FE339B">
      <w:pPr>
        <w:rPr>
          <w:szCs w:val="22"/>
          <w:lang w:val="es-419"/>
        </w:rPr>
      </w:pPr>
    </w:p>
    <w:p w14:paraId="19922E25" w14:textId="6612B45C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>E</w:t>
      </w:r>
      <w:r w:rsidR="007C4FB3">
        <w:rPr>
          <w:lang w:val="es-419"/>
        </w:rPr>
        <w:t>n general, e</w:t>
      </w:r>
      <w:r w:rsidRPr="000863D9">
        <w:rPr>
          <w:lang w:val="es-419"/>
        </w:rPr>
        <w:t>sas normas se elaboran y se van actualizando con el tiempo por consenso de los expertos que trabajan en los organismos de normalización</w:t>
      </w:r>
      <w:r w:rsidR="007C4FB3">
        <w:rPr>
          <w:lang w:val="es-419"/>
        </w:rPr>
        <w:t xml:space="preserve"> (por ejemplo, las normas voluntarias)</w:t>
      </w:r>
      <w:r w:rsidRPr="000863D9">
        <w:rPr>
          <w:lang w:val="es-419"/>
        </w:rPr>
        <w:t xml:space="preserve">. Las normas </w:t>
      </w:r>
      <w:r w:rsidR="007C4FB3">
        <w:rPr>
          <w:lang w:val="es-419"/>
        </w:rPr>
        <w:t xml:space="preserve">también </w:t>
      </w:r>
      <w:r w:rsidRPr="000863D9">
        <w:rPr>
          <w:lang w:val="es-419"/>
        </w:rPr>
        <w:t>son elaboradas a nivel nacional por organismos nacionales o a nivel internacional por organismos multijurisdiccionales. Una vez aprobadas por los organismos de supervisión pertinentes, las normas suelen incorporarse a la legislación y los reglamentos nacionales de los países. Las obligaciones relativas a la elaboración e incorporación de normas también se reflejan en los acuerdos comerciales internacionales. Existen organismos de normalización que publican y venden copias de sus normas a los usuarios finales, incluidos los profesionales del sector en cuestión, y reinvierten los beneficios en la actualización de dichas normas o en el desarrollo de otras nuevas.</w:t>
      </w:r>
    </w:p>
    <w:p w14:paraId="1800F7B1" w14:textId="77777777" w:rsidR="00FE339B" w:rsidRPr="000863D9" w:rsidRDefault="00FE339B" w:rsidP="00FE339B">
      <w:pPr>
        <w:rPr>
          <w:szCs w:val="22"/>
          <w:lang w:val="es-419"/>
        </w:rPr>
      </w:pPr>
    </w:p>
    <w:p w14:paraId="782B0841" w14:textId="7951CF8A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 xml:space="preserve">Los Estados miembros pueden enfocar de forma diferente la protección por derecho de autor de las normas técnicas incorporadas a su legislación o normativa nacional. Hay jurisdicciones en las que puede darse el caso de que subsista el derecho de autor y sea propiedad de los organismos de normalización, por lo que los terceros que deseen copiar y distribuir las normas deben recibir primero la autorización de dichos organismos. En otras jurisdicciones se permite a terceros vender copias de esas normas sin la autorización de los organismos. Por lo tanto, planteamientos diferentes pueden afectar a los modelos de financiación de los organismos de normalización y, a su vez, a su capacidad para seguir desarrollando y actualizando las normas. </w:t>
      </w:r>
      <w:r w:rsidR="007C4FB3" w:rsidRPr="007C4FB3">
        <w:rPr>
          <w:lang w:val="es-419"/>
        </w:rPr>
        <w:t>Además, distintos enfoques pueden incidir igualmente en la capacidad del público para acceder a esas normas.</w:t>
      </w:r>
    </w:p>
    <w:p w14:paraId="25E8A658" w14:textId="77777777" w:rsidR="00FE339B" w:rsidRPr="000863D9" w:rsidRDefault="00FE339B" w:rsidP="00FE339B">
      <w:pPr>
        <w:rPr>
          <w:szCs w:val="22"/>
          <w:lang w:val="es-419"/>
        </w:rPr>
      </w:pPr>
    </w:p>
    <w:p w14:paraId="694233D7" w14:textId="08EBC061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 xml:space="preserve">Para </w:t>
      </w:r>
      <w:r w:rsidR="007C4FB3">
        <w:rPr>
          <w:lang w:val="es-419"/>
        </w:rPr>
        <w:t>examinar</w:t>
      </w:r>
      <w:r w:rsidRPr="000863D9">
        <w:rPr>
          <w:lang w:val="es-419"/>
        </w:rPr>
        <w:t xml:space="preserve"> esa cuestión</w:t>
      </w:r>
      <w:r w:rsidR="007C4FB3">
        <w:rPr>
          <w:lang w:val="es-419"/>
        </w:rPr>
        <w:t xml:space="preserve"> más detenidamente</w:t>
      </w:r>
      <w:r w:rsidRPr="000863D9">
        <w:rPr>
          <w:lang w:val="es-419"/>
        </w:rPr>
        <w:t>, el Canadá propone que el SCCR pida a la Secretaría que encargue a un experto la preparación de un estudio sobre los siguientes puntos, a los fines de su examen por los Estados miembros:</w:t>
      </w:r>
    </w:p>
    <w:p w14:paraId="2BCBAFF3" w14:textId="77777777" w:rsidR="00FE339B" w:rsidRPr="000863D9" w:rsidRDefault="00FE339B" w:rsidP="00FE339B">
      <w:pPr>
        <w:rPr>
          <w:szCs w:val="22"/>
          <w:lang w:val="es-419"/>
        </w:rPr>
      </w:pPr>
    </w:p>
    <w:p w14:paraId="4029C5E2" w14:textId="77777777" w:rsidR="00FE339B" w:rsidRPr="000863D9" w:rsidRDefault="00FE339B" w:rsidP="00BE1A53">
      <w:pPr>
        <w:pStyle w:val="ListParagraph"/>
        <w:numPr>
          <w:ilvl w:val="0"/>
          <w:numId w:val="7"/>
        </w:numPr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0863D9">
        <w:rPr>
          <w:rFonts w:ascii="Arial" w:hAnsi="Arial"/>
          <w:sz w:val="22"/>
          <w:lang w:val="es-419"/>
        </w:rPr>
        <w:t>la protección por derecho de autor concedida por los Estados miembros a las normas incorporadas directamente o por referencia en su legislación o normativa, indicando si subsiste el derecho de autor en dichas normas, quién es el titular de dicho derecho de autor, a qué actos específicos se aplica el derecho de autor y los requisitos aplicables para dicha protección;</w:t>
      </w:r>
    </w:p>
    <w:p w14:paraId="1D994951" w14:textId="77777777" w:rsidR="00FE339B" w:rsidRPr="000863D9" w:rsidRDefault="00FE339B" w:rsidP="00BE1A53">
      <w:pPr>
        <w:ind w:left="1134" w:hanging="567"/>
        <w:rPr>
          <w:szCs w:val="22"/>
          <w:lang w:val="es-419"/>
        </w:rPr>
      </w:pPr>
    </w:p>
    <w:p w14:paraId="1C9E7694" w14:textId="77777777" w:rsidR="00FE339B" w:rsidRPr="000863D9" w:rsidRDefault="00FE339B" w:rsidP="00BE1A53">
      <w:pPr>
        <w:pStyle w:val="ListParagraph"/>
        <w:numPr>
          <w:ilvl w:val="0"/>
          <w:numId w:val="7"/>
        </w:numPr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0863D9">
        <w:rPr>
          <w:rFonts w:ascii="Arial" w:hAnsi="Arial"/>
          <w:sz w:val="22"/>
          <w:lang w:val="es-419"/>
        </w:rPr>
        <w:t>qué excepciones o limitaciones al derecho de autor pueden existir en las leyes de los Estados miembros, en particular en lo que respecta a la posibilidad de que terceros accedan a las normas, las copien, las distribuyan o las comercialicen de otro modo sin la autorización de los organismos de normalización; y</w:t>
      </w:r>
    </w:p>
    <w:p w14:paraId="26488153" w14:textId="77777777" w:rsidR="00FE339B" w:rsidRPr="000863D9" w:rsidRDefault="00FE339B" w:rsidP="00BE1A53">
      <w:pPr>
        <w:ind w:left="1134" w:hanging="567"/>
        <w:rPr>
          <w:szCs w:val="22"/>
          <w:lang w:val="es-419"/>
        </w:rPr>
      </w:pPr>
    </w:p>
    <w:p w14:paraId="04A2C6A7" w14:textId="67507B52" w:rsidR="00FE339B" w:rsidRDefault="007C4FB3" w:rsidP="007C4FB3">
      <w:pPr>
        <w:pStyle w:val="ListParagraph"/>
        <w:numPr>
          <w:ilvl w:val="0"/>
          <w:numId w:val="7"/>
        </w:numPr>
        <w:ind w:left="1134" w:hanging="567"/>
        <w:rPr>
          <w:rFonts w:ascii="Arial" w:hAnsi="Arial"/>
          <w:sz w:val="22"/>
          <w:lang w:val="es-419"/>
        </w:rPr>
      </w:pPr>
      <w:bookmarkStart w:id="5" w:name="_Hlk187315383"/>
      <w:r w:rsidRPr="007C4FB3">
        <w:rPr>
          <w:rFonts w:ascii="Arial" w:hAnsi="Arial"/>
          <w:sz w:val="22"/>
          <w:lang w:val="es-419"/>
        </w:rPr>
        <w:t>cómo financian su trabajo y gestionan sus derechos los organismos de normalización de los Estados miembros, por ejemplo, mediante la publicación, venta o licenciamiento de copias de sus normas, la recepción de fondos públicos o la recepción de fondos de los sectores interesados o de profesionales; y</w:t>
      </w:r>
    </w:p>
    <w:p w14:paraId="1A7CD67E" w14:textId="77777777" w:rsidR="007C4FB3" w:rsidRPr="007C4FB3" w:rsidRDefault="007C4FB3" w:rsidP="007C4FB3">
      <w:pPr>
        <w:pStyle w:val="ListParagraph"/>
        <w:rPr>
          <w:rFonts w:ascii="Arial" w:hAnsi="Arial"/>
          <w:sz w:val="22"/>
          <w:lang w:val="es-419"/>
        </w:rPr>
      </w:pPr>
    </w:p>
    <w:p w14:paraId="50C0051A" w14:textId="3441F224" w:rsidR="007C4FB3" w:rsidRPr="007C4FB3" w:rsidRDefault="007C4FB3" w:rsidP="007C4FB3">
      <w:pPr>
        <w:pStyle w:val="ListParagraph"/>
        <w:numPr>
          <w:ilvl w:val="0"/>
          <w:numId w:val="7"/>
        </w:numPr>
        <w:ind w:left="1134" w:hanging="567"/>
        <w:rPr>
          <w:rFonts w:ascii="Arial" w:hAnsi="Arial"/>
          <w:sz w:val="22"/>
          <w:lang w:val="es-419"/>
        </w:rPr>
      </w:pPr>
      <w:r w:rsidRPr="007C4FB3">
        <w:rPr>
          <w:rFonts w:ascii="Arial" w:hAnsi="Arial"/>
          <w:sz w:val="22"/>
          <w:lang w:val="es-419"/>
        </w:rPr>
        <w:t>si la protección por derecho de autor de las normas incorporadas directa o indirectamente e</w:t>
      </w:r>
      <w:r>
        <w:rPr>
          <w:rFonts w:ascii="Arial" w:hAnsi="Arial"/>
          <w:sz w:val="22"/>
          <w:lang w:val="es-419"/>
        </w:rPr>
        <w:t>n</w:t>
      </w:r>
      <w:r w:rsidRPr="007C4FB3">
        <w:rPr>
          <w:rFonts w:ascii="Arial" w:hAnsi="Arial"/>
          <w:sz w:val="22"/>
          <w:lang w:val="es-419"/>
        </w:rPr>
        <w:t xml:space="preserve"> la legislación o la reglamentación influye en la capacidad del público para acceder a dicha legislación o reglamentación, y de qué manera.</w:t>
      </w:r>
    </w:p>
    <w:p w14:paraId="27013669" w14:textId="77777777" w:rsidR="007C4FB3" w:rsidRPr="007C4FB3" w:rsidRDefault="007C4FB3" w:rsidP="00043316">
      <w:pPr>
        <w:rPr>
          <w:szCs w:val="22"/>
          <w:lang w:val="es-419"/>
        </w:rPr>
      </w:pPr>
    </w:p>
    <w:p w14:paraId="73ABB88D" w14:textId="308FDF6B" w:rsidR="00FE339B" w:rsidRPr="000863D9" w:rsidRDefault="00FE339B" w:rsidP="00FE339B">
      <w:pPr>
        <w:rPr>
          <w:szCs w:val="22"/>
          <w:lang w:val="es-419"/>
        </w:rPr>
      </w:pPr>
      <w:r w:rsidRPr="000863D9">
        <w:rPr>
          <w:lang w:val="es-419"/>
        </w:rPr>
        <w:t xml:space="preserve">El Canadá espera que los resultados de ese estudio contribuyan a </w:t>
      </w:r>
      <w:r w:rsidR="007C4FB3">
        <w:rPr>
          <w:lang w:val="es-419"/>
        </w:rPr>
        <w:t xml:space="preserve">que </w:t>
      </w:r>
      <w:r w:rsidRPr="000863D9">
        <w:rPr>
          <w:lang w:val="es-419"/>
        </w:rPr>
        <w:t xml:space="preserve">los Estados miembros </w:t>
      </w:r>
      <w:r w:rsidR="007C4FB3">
        <w:rPr>
          <w:lang w:val="es-419"/>
        </w:rPr>
        <w:t xml:space="preserve">comprendan más adecuadamente las experiencias nacionales en todo el mundo </w:t>
      </w:r>
      <w:r w:rsidRPr="000863D9">
        <w:rPr>
          <w:lang w:val="es-419"/>
        </w:rPr>
        <w:t xml:space="preserve">y a que se siga </w:t>
      </w:r>
      <w:r w:rsidR="007C4FB3" w:rsidRPr="000863D9">
        <w:rPr>
          <w:lang w:val="es-419"/>
        </w:rPr>
        <w:t>estudiando</w:t>
      </w:r>
      <w:r w:rsidR="007C4FB3">
        <w:rPr>
          <w:lang w:val="es-419"/>
        </w:rPr>
        <w:t xml:space="preserve"> esta cuestión a nivel nacional</w:t>
      </w:r>
      <w:r w:rsidRPr="000863D9">
        <w:rPr>
          <w:lang w:val="es-419"/>
        </w:rPr>
        <w:t>.</w:t>
      </w:r>
      <w:bookmarkEnd w:id="5"/>
      <w:r w:rsidRPr="000863D9">
        <w:rPr>
          <w:lang w:val="es-419"/>
        </w:rPr>
        <w:t xml:space="preserve"> </w:t>
      </w:r>
    </w:p>
    <w:p w14:paraId="1DD3E8CB" w14:textId="77777777" w:rsidR="00FE339B" w:rsidRPr="000863D9" w:rsidRDefault="00FE339B" w:rsidP="00FE339B">
      <w:pPr>
        <w:ind w:left="6237" w:firstLine="567"/>
        <w:rPr>
          <w:szCs w:val="22"/>
          <w:lang w:val="es-419"/>
        </w:rPr>
      </w:pPr>
    </w:p>
    <w:p w14:paraId="6596790E" w14:textId="77777777" w:rsidR="00FE339B" w:rsidRPr="000863D9" w:rsidRDefault="00FE339B" w:rsidP="00FE339B">
      <w:pPr>
        <w:ind w:left="6237" w:firstLine="567"/>
        <w:rPr>
          <w:szCs w:val="22"/>
          <w:lang w:val="es-419"/>
        </w:rPr>
      </w:pPr>
    </w:p>
    <w:p w14:paraId="58AEE899" w14:textId="77777777" w:rsidR="00FE339B" w:rsidRPr="000863D9" w:rsidRDefault="00FE339B" w:rsidP="00FE339B">
      <w:pPr>
        <w:ind w:left="6237" w:firstLine="567"/>
        <w:rPr>
          <w:szCs w:val="22"/>
          <w:lang w:val="es-419"/>
        </w:rPr>
      </w:pPr>
    </w:p>
    <w:p w14:paraId="3AA5F083" w14:textId="6F2876AA" w:rsidR="00152CEA" w:rsidRPr="000863D9" w:rsidRDefault="00FE339B" w:rsidP="00BE1A53">
      <w:pPr>
        <w:pStyle w:val="Endofdocument-Annex"/>
        <w:rPr>
          <w:lang w:val="es-419"/>
        </w:rPr>
      </w:pPr>
      <w:r w:rsidRPr="000863D9">
        <w:rPr>
          <w:lang w:val="es-419"/>
        </w:rPr>
        <w:t>[Fin del documento]</w:t>
      </w:r>
    </w:p>
    <w:sectPr w:rsidR="00152CEA" w:rsidRPr="000863D9" w:rsidSect="00FE339B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0B28" w14:textId="77777777" w:rsidR="00BC0684" w:rsidRDefault="00BC0684">
      <w:r>
        <w:separator/>
      </w:r>
    </w:p>
  </w:endnote>
  <w:endnote w:type="continuationSeparator" w:id="0">
    <w:p w14:paraId="23DA5702" w14:textId="77777777" w:rsidR="00BC0684" w:rsidRPr="009D30E6" w:rsidRDefault="00BC068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A48BBCD" w14:textId="77777777" w:rsidR="00BC0684" w:rsidRPr="007E663E" w:rsidRDefault="00BC068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4DDBB24" w14:textId="77777777" w:rsidR="00BC0684" w:rsidRPr="007E663E" w:rsidRDefault="00BC068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219F" w14:textId="77777777" w:rsidR="00BC0684" w:rsidRDefault="00BC0684">
      <w:r>
        <w:separator/>
      </w:r>
    </w:p>
  </w:footnote>
  <w:footnote w:type="continuationSeparator" w:id="0">
    <w:p w14:paraId="52D5A255" w14:textId="77777777" w:rsidR="00BC0684" w:rsidRPr="009D30E6" w:rsidRDefault="00BC068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8C1676D" w14:textId="77777777" w:rsidR="00BC0684" w:rsidRPr="007E663E" w:rsidRDefault="00BC068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D1A9AE7" w14:textId="77777777" w:rsidR="00BC0684" w:rsidRPr="007E663E" w:rsidRDefault="00BC068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3D62" w14:textId="42978778" w:rsidR="00F84474" w:rsidRDefault="00FE339B" w:rsidP="00477D6B">
    <w:pPr>
      <w:jc w:val="right"/>
    </w:pPr>
    <w:bookmarkStart w:id="6" w:name="Code2"/>
    <w:bookmarkEnd w:id="6"/>
    <w:r>
      <w:t>SCCR/</w:t>
    </w:r>
    <w:r w:rsidR="00043316">
      <w:t>46</w:t>
    </w:r>
    <w:r>
      <w:t>/4</w:t>
    </w:r>
    <w:r w:rsidR="00270A54">
      <w:t xml:space="preserve"> Rev.</w:t>
    </w:r>
  </w:p>
  <w:p w14:paraId="2FAF9A77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7EC5941A" w14:textId="77777777" w:rsidR="00F84474" w:rsidRDefault="00F84474" w:rsidP="00477D6B">
    <w:pPr>
      <w:jc w:val="right"/>
    </w:pPr>
  </w:p>
  <w:p w14:paraId="7CCFB795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554549"/>
    <w:multiLevelType w:val="hybridMultilevel"/>
    <w:tmpl w:val="27F07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5"/>
  </w:num>
  <w:num w:numId="3" w16cid:durableId="1677994612">
    <w:abstractNumId w:val="0"/>
  </w:num>
  <w:num w:numId="4" w16cid:durableId="1032074281">
    <w:abstractNumId w:val="6"/>
  </w:num>
  <w:num w:numId="5" w16cid:durableId="1045062155">
    <w:abstractNumId w:val="1"/>
  </w:num>
  <w:num w:numId="6" w16cid:durableId="1621913335">
    <w:abstractNumId w:val="3"/>
  </w:num>
  <w:num w:numId="7" w16cid:durableId="15575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B"/>
    <w:rsid w:val="00017438"/>
    <w:rsid w:val="00040261"/>
    <w:rsid w:val="00043316"/>
    <w:rsid w:val="000863D9"/>
    <w:rsid w:val="000B38BD"/>
    <w:rsid w:val="000E3BB3"/>
    <w:rsid w:val="000F5E56"/>
    <w:rsid w:val="001362EE"/>
    <w:rsid w:val="00152CEA"/>
    <w:rsid w:val="001832A6"/>
    <w:rsid w:val="001C4DD3"/>
    <w:rsid w:val="002634C4"/>
    <w:rsid w:val="00270A54"/>
    <w:rsid w:val="002F4E68"/>
    <w:rsid w:val="00307787"/>
    <w:rsid w:val="00354647"/>
    <w:rsid w:val="00377273"/>
    <w:rsid w:val="003845C1"/>
    <w:rsid w:val="00387287"/>
    <w:rsid w:val="003D41D4"/>
    <w:rsid w:val="00417503"/>
    <w:rsid w:val="00423E3E"/>
    <w:rsid w:val="00427AF4"/>
    <w:rsid w:val="0045231F"/>
    <w:rsid w:val="004647DA"/>
    <w:rsid w:val="00470516"/>
    <w:rsid w:val="0047064A"/>
    <w:rsid w:val="00477D6B"/>
    <w:rsid w:val="004A6C37"/>
    <w:rsid w:val="004F7418"/>
    <w:rsid w:val="00531A0C"/>
    <w:rsid w:val="005456B1"/>
    <w:rsid w:val="0055013B"/>
    <w:rsid w:val="0056224D"/>
    <w:rsid w:val="00571B99"/>
    <w:rsid w:val="005D64EC"/>
    <w:rsid w:val="00605827"/>
    <w:rsid w:val="0064739B"/>
    <w:rsid w:val="00675021"/>
    <w:rsid w:val="006A06C6"/>
    <w:rsid w:val="006A60BE"/>
    <w:rsid w:val="007C4FB3"/>
    <w:rsid w:val="007E63AC"/>
    <w:rsid w:val="007E663E"/>
    <w:rsid w:val="00815082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158A"/>
    <w:rsid w:val="009B6241"/>
    <w:rsid w:val="009E4D3B"/>
    <w:rsid w:val="00A16FC0"/>
    <w:rsid w:val="00A32C9E"/>
    <w:rsid w:val="00A7453D"/>
    <w:rsid w:val="00AA7270"/>
    <w:rsid w:val="00AB613D"/>
    <w:rsid w:val="00B65A0A"/>
    <w:rsid w:val="00B72D36"/>
    <w:rsid w:val="00B81113"/>
    <w:rsid w:val="00BA063E"/>
    <w:rsid w:val="00BC0684"/>
    <w:rsid w:val="00BC4164"/>
    <w:rsid w:val="00BD2DCC"/>
    <w:rsid w:val="00BE1A53"/>
    <w:rsid w:val="00BE1A8C"/>
    <w:rsid w:val="00C06472"/>
    <w:rsid w:val="00C42181"/>
    <w:rsid w:val="00C90559"/>
    <w:rsid w:val="00D05711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73ABF"/>
    <w:rsid w:val="00E926E5"/>
    <w:rsid w:val="00E945FD"/>
    <w:rsid w:val="00EB7A3E"/>
    <w:rsid w:val="00EC401A"/>
    <w:rsid w:val="00EF37C1"/>
    <w:rsid w:val="00EF530A"/>
    <w:rsid w:val="00EF6622"/>
    <w:rsid w:val="00F55408"/>
    <w:rsid w:val="00F66152"/>
    <w:rsid w:val="00F80845"/>
    <w:rsid w:val="00F84474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716D5"/>
  <w15:docId w15:val="{881894CF-CBE5-4FD0-BDBF-7B2265A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FE339B"/>
    <w:pPr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Copyright\SCCR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SCCR_46 (S)</Template>
  <TotalTime>1</TotalTime>
  <Pages>3</Pages>
  <Words>781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SCCR/46/4 Rev.</vt:lpstr>
    </vt:vector>
  </TitlesOfParts>
  <Company>WIPO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SCCR/46/4 Rev.</dc:title>
  <dc:creator>CEVALLOS DUQUE Nilo</dc:creator>
  <cp:keywords>FOR OFFICIAL USE ONLY</cp:keywords>
  <cp:lastModifiedBy>HAIZEL Francesca</cp:lastModifiedBy>
  <cp:revision>2</cp:revision>
  <dcterms:created xsi:type="dcterms:W3CDTF">2025-04-08T08:36:00Z</dcterms:created>
  <dcterms:modified xsi:type="dcterms:W3CDTF">2025-04-08T08:36:00Z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