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204D55" w14:textId="77777777" w:rsidR="008B2CC1" w:rsidRPr="00C737D4" w:rsidRDefault="008B14EA" w:rsidP="008B14EA">
      <w:pPr>
        <w:spacing w:after="120"/>
        <w:jc w:val="right"/>
        <w:rPr>
          <w:lang w:val="es-ES_tradnl"/>
        </w:rPr>
      </w:pPr>
      <w:r w:rsidRPr="00C737D4">
        <w:rPr>
          <w:noProof/>
          <w:lang w:val="es-ES_tradnl" w:eastAsia="en-US"/>
        </w:rPr>
        <w:drawing>
          <wp:inline distT="0" distB="0" distL="0" distR="0" wp14:anchorId="3E6344F6" wp14:editId="015978B3">
            <wp:extent cx="3014550" cy="1332000"/>
            <wp:effectExtent l="0" t="0" r="0" b="1905"/>
            <wp:docPr id="2" name="Picture 2" descr="Las líneas curvas ascendentes del logotipo de la Organización Mundial de la Propiedad Intelectual evocan el progreso humano impulsado por la innovación y la creatividad." title="WIP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PO_logo_S.png"/>
                    <pic:cNvPicPr/>
                  </pic:nvPicPr>
                  <pic:blipFill rotWithShape="1">
                    <a:blip r:embed="rId8">
                      <a:extLst>
                        <a:ext uri="{28A0092B-C50C-407E-A947-70E740481C1C}">
                          <a14:useLocalDpi xmlns:a14="http://schemas.microsoft.com/office/drawing/2010/main" val="0"/>
                        </a:ext>
                      </a:extLst>
                    </a:blip>
                    <a:srcRect b="5603"/>
                    <a:stretch/>
                  </pic:blipFill>
                  <pic:spPr bwMode="auto">
                    <a:xfrm>
                      <a:off x="0" y="0"/>
                      <a:ext cx="3014550" cy="1332000"/>
                    </a:xfrm>
                    <a:prstGeom prst="rect">
                      <a:avLst/>
                    </a:prstGeom>
                    <a:ln>
                      <a:noFill/>
                    </a:ln>
                    <a:extLst>
                      <a:ext uri="{53640926-AAD7-44D8-BBD7-CCE9431645EC}">
                        <a14:shadowObscured xmlns:a14="http://schemas.microsoft.com/office/drawing/2010/main"/>
                      </a:ext>
                    </a:extLst>
                  </pic:spPr>
                </pic:pic>
              </a:graphicData>
            </a:graphic>
          </wp:inline>
        </w:drawing>
      </w:r>
      <w:r w:rsidR="00307787" w:rsidRPr="00C737D4">
        <w:rPr>
          <w:rFonts w:ascii="Arial Black" w:hAnsi="Arial Black"/>
          <w:caps/>
          <w:noProof/>
          <w:sz w:val="15"/>
          <w:szCs w:val="15"/>
          <w:lang w:val="es-ES_tradnl" w:eastAsia="en-US"/>
        </w:rPr>
        <mc:AlternateContent>
          <mc:Choice Requires="wps">
            <w:drawing>
              <wp:inline distT="0" distB="0" distL="0" distR="0" wp14:anchorId="60780AA5" wp14:editId="783D4ECE">
                <wp:extent cx="5935980" cy="0"/>
                <wp:effectExtent l="0" t="0" r="26670" b="19050"/>
                <wp:docPr id="3" name="Straight Connector 3" descr="Horizontal line"/>
                <wp:cNvGraphicFramePr/>
                <a:graphic xmlns:a="http://schemas.openxmlformats.org/drawingml/2006/main">
                  <a:graphicData uri="http://schemas.microsoft.com/office/word/2010/wordprocessingShape">
                    <wps:wsp>
                      <wps:cNvCnPr/>
                      <wps:spPr>
                        <a:xfrm flipH="1" flipV="1">
                          <a:off x="0" y="0"/>
                          <a:ext cx="59359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62F3D7D" id="Straight Connector 3" o:spid="_x0000_s1026" alt="Horizontal line" style="flip:x y;visibility:visible;mso-wrap-style:square;mso-left-percent:-10001;mso-top-percent:-10001;mso-position-horizontal:absolute;mso-position-horizontal-relative:char;mso-position-vertical:absolute;mso-position-vertical-relative:line;mso-left-percent:-10001;mso-top-percent:-10001" from="0,0" to="46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" strokecolor="black [3040]">
                <w10:anchorlock/>
              </v:line>
            </w:pict>
          </mc:Fallback>
        </mc:AlternateContent>
      </w:r>
    </w:p>
    <w:p w14:paraId="1743A0A8" w14:textId="0048FB45" w:rsidR="008B2CC1" w:rsidRPr="00C737D4" w:rsidRDefault="00D05711" w:rsidP="008B14EA">
      <w:pPr>
        <w:jc w:val="right"/>
        <w:rPr>
          <w:rFonts w:ascii="Arial Black" w:hAnsi="Arial Black"/>
          <w:caps/>
          <w:sz w:val="15"/>
          <w:lang w:val="es-ES_tradnl"/>
        </w:rPr>
      </w:pPr>
      <w:r w:rsidRPr="00C737D4">
        <w:rPr>
          <w:rFonts w:ascii="Arial Black" w:hAnsi="Arial Black"/>
          <w:caps/>
          <w:sz w:val="15"/>
          <w:szCs w:val="15"/>
          <w:lang w:val="es-ES_tradnl"/>
        </w:rPr>
        <w:t>SCCR/4</w:t>
      </w:r>
      <w:r w:rsidR="00470516" w:rsidRPr="00C737D4">
        <w:rPr>
          <w:rFonts w:ascii="Arial Black" w:hAnsi="Arial Black"/>
          <w:caps/>
          <w:sz w:val="15"/>
          <w:szCs w:val="15"/>
          <w:lang w:val="es-ES_tradnl"/>
        </w:rPr>
        <w:t>6</w:t>
      </w:r>
      <w:r w:rsidR="00E2115C" w:rsidRPr="00C737D4">
        <w:rPr>
          <w:rFonts w:ascii="Arial Black" w:hAnsi="Arial Black"/>
          <w:caps/>
          <w:sz w:val="15"/>
          <w:szCs w:val="15"/>
          <w:lang w:val="es-ES_tradnl"/>
        </w:rPr>
        <w:t>/</w:t>
      </w:r>
      <w:bookmarkStart w:id="0" w:name="Code"/>
      <w:bookmarkEnd w:id="0"/>
      <w:r w:rsidR="004462F0" w:rsidRPr="00C737D4">
        <w:rPr>
          <w:rFonts w:ascii="Arial Black" w:hAnsi="Arial Black"/>
          <w:caps/>
          <w:sz w:val="15"/>
          <w:szCs w:val="15"/>
          <w:lang w:val="es-ES_tradnl"/>
        </w:rPr>
        <w:t>6</w:t>
      </w:r>
    </w:p>
    <w:p w14:paraId="1876FA4A" w14:textId="28B07AF5" w:rsidR="008B2CC1" w:rsidRPr="00C737D4" w:rsidRDefault="008B14EA" w:rsidP="008B14EA">
      <w:pPr>
        <w:jc w:val="right"/>
        <w:rPr>
          <w:rFonts w:ascii="Arial Black" w:hAnsi="Arial Black"/>
          <w:caps/>
          <w:sz w:val="15"/>
          <w:lang w:val="es-ES_tradnl"/>
        </w:rPr>
      </w:pPr>
      <w:r w:rsidRPr="00C737D4">
        <w:rPr>
          <w:rFonts w:ascii="Arial Black" w:hAnsi="Arial Black"/>
          <w:caps/>
          <w:sz w:val="15"/>
          <w:lang w:val="es-ES_tradnl"/>
        </w:rPr>
        <w:t xml:space="preserve">ORIGINAL: </w:t>
      </w:r>
      <w:bookmarkStart w:id="1" w:name="Original"/>
      <w:r w:rsidR="004462F0" w:rsidRPr="00C737D4">
        <w:rPr>
          <w:rFonts w:ascii="Arial Black" w:hAnsi="Arial Black"/>
          <w:caps/>
          <w:sz w:val="15"/>
          <w:lang w:val="es-ES_tradnl"/>
        </w:rPr>
        <w:t>INGLÉS</w:t>
      </w:r>
    </w:p>
    <w:bookmarkEnd w:id="1"/>
    <w:p w14:paraId="276CB7A2" w14:textId="69573524" w:rsidR="008B2CC1" w:rsidRPr="00C737D4" w:rsidRDefault="008B14EA" w:rsidP="008B14EA">
      <w:pPr>
        <w:spacing w:after="1200"/>
        <w:jc w:val="right"/>
        <w:rPr>
          <w:rFonts w:ascii="Arial Black" w:hAnsi="Arial Black"/>
          <w:caps/>
          <w:sz w:val="15"/>
          <w:lang w:val="es-ES_tradnl"/>
        </w:rPr>
      </w:pPr>
      <w:r w:rsidRPr="00C737D4">
        <w:rPr>
          <w:rFonts w:ascii="Arial Black" w:hAnsi="Arial Black"/>
          <w:caps/>
          <w:sz w:val="15"/>
          <w:lang w:val="es-ES_tradnl"/>
        </w:rPr>
        <w:t xml:space="preserve">FECHA: </w:t>
      </w:r>
      <w:bookmarkStart w:id="2" w:name="Date"/>
      <w:r w:rsidR="004A3723">
        <w:rPr>
          <w:rFonts w:ascii="Arial Black" w:hAnsi="Arial Black"/>
          <w:caps/>
          <w:sz w:val="15"/>
          <w:lang w:val="es-ES_tradnl"/>
        </w:rPr>
        <w:t>10</w:t>
      </w:r>
      <w:r w:rsidR="004462F0" w:rsidRPr="00C737D4">
        <w:rPr>
          <w:rFonts w:ascii="Arial Black" w:hAnsi="Arial Black"/>
          <w:caps/>
          <w:sz w:val="15"/>
          <w:lang w:val="es-ES_tradnl"/>
        </w:rPr>
        <w:t xml:space="preserve"> DE ABRIL DE 2025</w:t>
      </w:r>
    </w:p>
    <w:bookmarkEnd w:id="2"/>
    <w:p w14:paraId="10CD9806" w14:textId="77777777" w:rsidR="001C4DD3" w:rsidRPr="00C737D4" w:rsidRDefault="00E2115C" w:rsidP="008B14EA">
      <w:pPr>
        <w:spacing w:after="720"/>
        <w:rPr>
          <w:b/>
          <w:sz w:val="28"/>
          <w:szCs w:val="28"/>
          <w:lang w:val="es-ES_tradnl"/>
        </w:rPr>
      </w:pPr>
      <w:r w:rsidRPr="00C737D4">
        <w:rPr>
          <w:b/>
          <w:sz w:val="28"/>
          <w:szCs w:val="28"/>
          <w:lang w:val="es-ES_tradnl"/>
        </w:rPr>
        <w:t>Comité Permanente de Derecho de Autor y Derechos Conexos</w:t>
      </w:r>
    </w:p>
    <w:p w14:paraId="3A4DCD4F" w14:textId="77777777" w:rsidR="00E2115C" w:rsidRPr="00C737D4" w:rsidRDefault="00D05711" w:rsidP="00E2115C">
      <w:pPr>
        <w:rPr>
          <w:b/>
          <w:sz w:val="24"/>
          <w:szCs w:val="24"/>
          <w:lang w:val="es-ES_tradnl"/>
        </w:rPr>
      </w:pPr>
      <w:r w:rsidRPr="00C737D4">
        <w:rPr>
          <w:b/>
          <w:sz w:val="24"/>
          <w:szCs w:val="24"/>
          <w:lang w:val="es-ES_tradnl"/>
        </w:rPr>
        <w:t xml:space="preserve">Cuadragésima </w:t>
      </w:r>
      <w:r w:rsidR="00470516" w:rsidRPr="00C737D4">
        <w:rPr>
          <w:b/>
          <w:sz w:val="24"/>
          <w:szCs w:val="24"/>
          <w:lang w:val="es-ES_tradnl"/>
        </w:rPr>
        <w:t>sex</w:t>
      </w:r>
      <w:r w:rsidR="006A60BE" w:rsidRPr="00C737D4">
        <w:rPr>
          <w:b/>
          <w:sz w:val="24"/>
          <w:szCs w:val="24"/>
          <w:lang w:val="es-ES_tradnl"/>
        </w:rPr>
        <w:t>ta</w:t>
      </w:r>
      <w:r w:rsidR="009E4D3B" w:rsidRPr="00C737D4">
        <w:rPr>
          <w:b/>
          <w:sz w:val="24"/>
          <w:szCs w:val="24"/>
          <w:lang w:val="es-ES_tradnl"/>
        </w:rPr>
        <w:t xml:space="preserve"> </w:t>
      </w:r>
      <w:r w:rsidR="00E2115C" w:rsidRPr="00C737D4">
        <w:rPr>
          <w:b/>
          <w:sz w:val="24"/>
          <w:szCs w:val="24"/>
          <w:lang w:val="es-ES_tradnl"/>
        </w:rPr>
        <w:t>sesión</w:t>
      </w:r>
    </w:p>
    <w:p w14:paraId="55CA3334" w14:textId="77777777" w:rsidR="008B2CC1" w:rsidRPr="00C737D4" w:rsidRDefault="00E2115C" w:rsidP="008B14EA">
      <w:pPr>
        <w:spacing w:after="720"/>
        <w:rPr>
          <w:b/>
          <w:sz w:val="24"/>
          <w:szCs w:val="24"/>
          <w:lang w:val="es-ES_tradnl"/>
        </w:rPr>
      </w:pPr>
      <w:r w:rsidRPr="00C737D4">
        <w:rPr>
          <w:b/>
          <w:sz w:val="24"/>
          <w:szCs w:val="24"/>
          <w:lang w:val="es-ES_tradnl"/>
        </w:rPr>
        <w:t xml:space="preserve">Ginebra, </w:t>
      </w:r>
      <w:r w:rsidR="00470516" w:rsidRPr="00C737D4">
        <w:rPr>
          <w:b/>
          <w:sz w:val="24"/>
          <w:szCs w:val="24"/>
          <w:lang w:val="es-ES_tradnl"/>
        </w:rPr>
        <w:t>7</w:t>
      </w:r>
      <w:r w:rsidR="009E4D3B" w:rsidRPr="00C737D4">
        <w:rPr>
          <w:b/>
          <w:sz w:val="24"/>
          <w:szCs w:val="24"/>
          <w:lang w:val="es-ES_tradnl"/>
        </w:rPr>
        <w:t xml:space="preserve"> a </w:t>
      </w:r>
      <w:r w:rsidR="006A60BE" w:rsidRPr="00C737D4">
        <w:rPr>
          <w:b/>
          <w:sz w:val="24"/>
          <w:szCs w:val="24"/>
          <w:lang w:val="es-ES_tradnl"/>
        </w:rPr>
        <w:t>1</w:t>
      </w:r>
      <w:r w:rsidR="00470516" w:rsidRPr="00C737D4">
        <w:rPr>
          <w:b/>
          <w:sz w:val="24"/>
          <w:szCs w:val="24"/>
          <w:lang w:val="es-ES_tradnl"/>
        </w:rPr>
        <w:t>1</w:t>
      </w:r>
      <w:r w:rsidR="009E4D3B" w:rsidRPr="00C737D4">
        <w:rPr>
          <w:b/>
          <w:sz w:val="24"/>
          <w:szCs w:val="24"/>
          <w:lang w:val="es-ES_tradnl"/>
        </w:rPr>
        <w:t xml:space="preserve"> de </w:t>
      </w:r>
      <w:r w:rsidR="006A60BE" w:rsidRPr="00C737D4">
        <w:rPr>
          <w:b/>
          <w:sz w:val="24"/>
          <w:szCs w:val="24"/>
          <w:lang w:val="es-ES_tradnl"/>
        </w:rPr>
        <w:t xml:space="preserve">abril </w:t>
      </w:r>
      <w:r w:rsidR="009E4D3B" w:rsidRPr="00C737D4">
        <w:rPr>
          <w:b/>
          <w:sz w:val="24"/>
          <w:szCs w:val="24"/>
          <w:lang w:val="es-ES_tradnl"/>
        </w:rPr>
        <w:t>de 202</w:t>
      </w:r>
      <w:r w:rsidR="00470516" w:rsidRPr="00C737D4">
        <w:rPr>
          <w:b/>
          <w:sz w:val="24"/>
          <w:szCs w:val="24"/>
          <w:lang w:val="es-ES_tradnl"/>
        </w:rPr>
        <w:t>5</w:t>
      </w:r>
    </w:p>
    <w:p w14:paraId="491B341F" w14:textId="0EBFFAD6" w:rsidR="008B2CC1" w:rsidRPr="00C737D4" w:rsidRDefault="004462F0" w:rsidP="008B14EA">
      <w:pPr>
        <w:spacing w:after="360"/>
        <w:rPr>
          <w:caps/>
          <w:sz w:val="24"/>
          <w:lang w:val="es-ES_tradnl"/>
        </w:rPr>
      </w:pPr>
      <w:bookmarkStart w:id="3" w:name="TitleOfDoc"/>
      <w:r w:rsidRPr="00C737D4">
        <w:rPr>
          <w:caps/>
          <w:sz w:val="24"/>
          <w:lang w:val="es-ES_tradnl"/>
        </w:rPr>
        <w:t>Sesión de información sobre el derecho de autor y la inteligencia artificial generativa: perfiles de los ponentes</w:t>
      </w:r>
    </w:p>
    <w:p w14:paraId="33AB681F" w14:textId="12DF322B" w:rsidR="008B2CC1" w:rsidRPr="00C737D4" w:rsidRDefault="004462F0" w:rsidP="008B14EA">
      <w:pPr>
        <w:spacing w:after="960"/>
        <w:rPr>
          <w:i/>
          <w:lang w:val="es-ES_tradnl"/>
        </w:rPr>
      </w:pPr>
      <w:bookmarkStart w:id="4" w:name="Prepared"/>
      <w:bookmarkEnd w:id="3"/>
      <w:r w:rsidRPr="00C737D4">
        <w:rPr>
          <w:i/>
          <w:lang w:val="es-ES_tradnl"/>
        </w:rPr>
        <w:t>compilación por la Secretaría</w:t>
      </w:r>
    </w:p>
    <w:bookmarkEnd w:id="4"/>
    <w:p w14:paraId="51C64574" w14:textId="2AA5B117" w:rsidR="004462F0" w:rsidRPr="00C737D4" w:rsidRDefault="004462F0">
      <w:pPr>
        <w:rPr>
          <w:lang w:val="es-ES_tradnl"/>
        </w:rPr>
      </w:pPr>
      <w:r w:rsidRPr="00C737D4">
        <w:rPr>
          <w:lang w:val="es-ES_tradnl"/>
        </w:rPr>
        <w:br w:type="page"/>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gridCol w:w="6439"/>
      </w:tblGrid>
      <w:tr w:rsidR="004462F0" w:rsidRPr="00C737D4" w14:paraId="46703BE4" w14:textId="77777777" w:rsidTr="007B219D">
        <w:tc>
          <w:tcPr>
            <w:tcW w:w="2916" w:type="dxa"/>
          </w:tcPr>
          <w:p w14:paraId="40716A14" w14:textId="77777777" w:rsidR="004462F0" w:rsidRPr="00C737D4" w:rsidRDefault="004462F0" w:rsidP="009A4F6C">
            <w:pPr>
              <w:spacing w:after="480"/>
              <w:rPr>
                <w:b/>
                <w:bCs/>
                <w:noProof/>
                <w:highlight w:val="yellow"/>
                <w:lang w:val="es-ES_tradnl"/>
              </w:rPr>
            </w:pPr>
            <w:r w:rsidRPr="00C737D4">
              <w:rPr>
                <w:b/>
                <w:noProof/>
                <w:sz w:val="28"/>
                <w:lang w:val="es-ES_tradnl"/>
              </w:rPr>
              <w:lastRenderedPageBreak/>
              <w:drawing>
                <wp:inline distT="0" distB="0" distL="0" distR="0" wp14:anchorId="46BCBC62" wp14:editId="6F6209FD">
                  <wp:extent cx="1675990" cy="2160000"/>
                  <wp:effectExtent l="19050" t="19050" r="19685" b="12065"/>
                  <wp:docPr id="1933223134" name="Picture 1933223134"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23134" name="Picture 1933223134" descr="A person in a sui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t="1628" b="1628"/>
                          <a:stretch>
                            <a:fillRect/>
                          </a:stretch>
                        </pic:blipFill>
                        <pic:spPr bwMode="auto">
                          <a:xfrm>
                            <a:off x="0" y="0"/>
                            <a:ext cx="1675990" cy="2160000"/>
                          </a:xfrm>
                          <a:prstGeom prst="roundRect">
                            <a:avLst>
                              <a:gd name="adj" fmla="val 8594"/>
                            </a:avLst>
                          </a:prstGeom>
                          <a:solidFill>
                            <a:srgbClr val="FFFFFF">
                              <a:shade val="85000"/>
                            </a:srgbClr>
                          </a:solidFill>
                          <a:ln w="3175">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59FF6631" w14:textId="77777777" w:rsidR="004462F0" w:rsidRPr="00C737D4" w:rsidRDefault="004462F0" w:rsidP="00405160">
            <w:pPr>
              <w:pStyle w:val="Heading3"/>
              <w:keepNext w:val="0"/>
              <w:spacing w:before="0" w:after="253"/>
              <w:rPr>
                <w:b/>
                <w:sz w:val="24"/>
                <w:szCs w:val="20"/>
                <w:u w:val="none"/>
                <w:lang w:val="es-ES_tradnl"/>
              </w:rPr>
            </w:pPr>
            <w:r w:rsidRPr="00C737D4">
              <w:rPr>
                <w:b/>
                <w:sz w:val="24"/>
                <w:szCs w:val="20"/>
                <w:u w:val="none"/>
                <w:lang w:val="es-ES_tradnl"/>
              </w:rPr>
              <w:t>Marcos Alves de Souza</w:t>
            </w:r>
          </w:p>
          <w:p w14:paraId="36005957" w14:textId="6FD7BF0F" w:rsidR="004462F0" w:rsidRPr="00C737D4" w:rsidRDefault="004462F0" w:rsidP="009A4F6C">
            <w:pPr>
              <w:rPr>
                <w:b/>
                <w:bCs/>
                <w:highlight w:val="yellow"/>
                <w:lang w:val="es-ES_tradnl"/>
              </w:rPr>
            </w:pPr>
            <w:r w:rsidRPr="00C737D4">
              <w:rPr>
                <w:lang w:val="es-ES_tradnl"/>
              </w:rPr>
              <w:t>Marcos Alves de Souza tiene un máster en Antropología por la Universidad de Brasilia y es funcionario público de carrera del Ministerio de Gestión e Innovación en Servicios Públicos. De 2004 a 2016 dirigió el departamento de derecho de autor del Ministerio de Cultura. De 2018 a 2022 fue asesor de asuntos culturales de la dirección del Partido Laborista en el Senado, y participó en la redacción de leyes. Actualmente es secretario de Derecho de Autor y Derechos de Propiedad Intelectual del Ministerio de Cultura.</w:t>
            </w:r>
          </w:p>
        </w:tc>
      </w:tr>
      <w:tr w:rsidR="004462F0" w:rsidRPr="00C737D4" w14:paraId="70CEF4BD" w14:textId="77777777" w:rsidTr="007B219D">
        <w:tc>
          <w:tcPr>
            <w:tcW w:w="2916" w:type="dxa"/>
          </w:tcPr>
          <w:p w14:paraId="5AB67923" w14:textId="77777777" w:rsidR="004462F0" w:rsidRPr="00C737D4" w:rsidRDefault="004462F0" w:rsidP="009A4F6C">
            <w:pPr>
              <w:spacing w:after="480"/>
              <w:rPr>
                <w:b/>
                <w:bCs/>
                <w:noProof/>
                <w:lang w:val="es-ES_tradnl"/>
              </w:rPr>
            </w:pPr>
            <w:r w:rsidRPr="00C737D4">
              <w:rPr>
                <w:b/>
                <w:noProof/>
                <w:lang w:val="es-ES_tradnl"/>
              </w:rPr>
              <w:drawing>
                <wp:inline distT="0" distB="0" distL="0" distR="0" wp14:anchorId="3075B5F5" wp14:editId="5461340C">
                  <wp:extent cx="1654058" cy="2194560"/>
                  <wp:effectExtent l="19050" t="19050" r="22860" b="15240"/>
                  <wp:docPr id="677416197" name="Picture 2"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16197" name="Picture 2" descr="A person in a suit and tie&#10;&#10;AI-generated content may be incorrect."/>
                          <pic:cNvPicPr/>
                        </pic:nvPicPr>
                        <pic:blipFill>
                          <a:blip r:embed="rId10" cstate="print">
                            <a:extLst>
                              <a:ext uri="{28A0092B-C50C-407E-A947-70E740481C1C}">
                                <a14:useLocalDpi xmlns:a14="http://schemas.microsoft.com/office/drawing/2010/main" val="0"/>
                              </a:ext>
                            </a:extLst>
                          </a:blip>
                          <a:srcRect l="12315" r="12315"/>
                          <a:stretch>
                            <a:fillRect/>
                          </a:stretch>
                        </pic:blipFill>
                        <pic:spPr bwMode="auto">
                          <a:xfrm>
                            <a:off x="0" y="0"/>
                            <a:ext cx="1654058" cy="2194560"/>
                          </a:xfrm>
                          <a:prstGeom prst="roundRect">
                            <a:avLst>
                              <a:gd name="adj" fmla="val 8594"/>
                            </a:avLst>
                          </a:prstGeom>
                          <a:solidFill>
                            <a:srgbClr val="FFFFFF">
                              <a:shade val="85000"/>
                            </a:srgbClr>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tc>
        <w:tc>
          <w:tcPr>
            <w:tcW w:w="6439" w:type="dxa"/>
          </w:tcPr>
          <w:p w14:paraId="25520F5B" w14:textId="77777777" w:rsidR="004462F0" w:rsidRPr="00C737D4" w:rsidRDefault="004462F0" w:rsidP="00405160">
            <w:pPr>
              <w:pStyle w:val="Heading3"/>
              <w:keepNext w:val="0"/>
              <w:spacing w:before="0" w:after="253"/>
              <w:rPr>
                <w:b/>
                <w:sz w:val="24"/>
                <w:szCs w:val="20"/>
                <w:u w:val="none"/>
                <w:lang w:val="es-ES_tradnl"/>
              </w:rPr>
            </w:pPr>
            <w:r w:rsidRPr="00C737D4">
              <w:rPr>
                <w:b/>
                <w:sz w:val="24"/>
                <w:szCs w:val="20"/>
                <w:u w:val="none"/>
                <w:lang w:val="es-ES_tradnl"/>
              </w:rPr>
              <w:t>John Asein</w:t>
            </w:r>
          </w:p>
          <w:p w14:paraId="5823CF27" w14:textId="70229348" w:rsidR="004462F0" w:rsidRPr="00C737D4" w:rsidRDefault="004462F0" w:rsidP="009A4F6C">
            <w:pPr>
              <w:rPr>
                <w:lang w:val="es-ES_tradnl"/>
              </w:rPr>
            </w:pPr>
            <w:r w:rsidRPr="00C737D4">
              <w:rPr>
                <w:lang w:val="es-ES_tradnl"/>
              </w:rPr>
              <w:t>El Dr. John Asein es abogado, administrador de derechos de autor y autor, y tiene una vasta experiencia en Derecho y políticas de propiedad intelectual. Ha contribuido activamente al establecimiento de normas regionales e internacionales y ha desempeñado un papel clave en la configuración de la legislación sobre derecho de autor en muchos países africanos. Como director general de la Comisión de Derecho de Autor de Nigeria, contribuyó decisivamente a la promulgación de la Ley de Derecho de Autor de 2022, que refuerza la protección del derecho de autor y su papel en el desarrollo económico</w:t>
            </w:r>
          </w:p>
        </w:tc>
      </w:tr>
      <w:tr w:rsidR="004462F0" w:rsidRPr="00C737D4" w14:paraId="3891BED2" w14:textId="77777777" w:rsidTr="007B219D">
        <w:tc>
          <w:tcPr>
            <w:tcW w:w="2916" w:type="dxa"/>
          </w:tcPr>
          <w:p w14:paraId="4E8FF43D" w14:textId="77777777" w:rsidR="004462F0" w:rsidRPr="00C737D4" w:rsidRDefault="004462F0" w:rsidP="009A4F6C">
            <w:pPr>
              <w:spacing w:after="480"/>
              <w:rPr>
                <w:highlight w:val="yellow"/>
                <w:lang w:val="es-ES_tradnl"/>
              </w:rPr>
            </w:pPr>
            <w:r w:rsidRPr="00C737D4">
              <w:rPr>
                <w:noProof/>
                <w:lang w:val="es-ES_tradnl"/>
              </w:rPr>
              <w:drawing>
                <wp:inline distT="0" distB="0" distL="0" distR="0" wp14:anchorId="51143142" wp14:editId="13554677">
                  <wp:extent cx="1619688" cy="2160000"/>
                  <wp:effectExtent l="19050" t="19050" r="19050" b="12065"/>
                  <wp:docPr id="1338543141" name="Picture 2" descr="A close-up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43141" name="Picture 2" descr="A close-up of a person smiling&#10;&#10;AI-generated content may be incorrect."/>
                          <pic:cNvPicPr/>
                        </pic:nvPicPr>
                        <pic:blipFill>
                          <a:blip r:embed="rId11" cstate="print">
                            <a:extLst>
                              <a:ext uri="{28A0092B-C50C-407E-A947-70E740481C1C}">
                                <a14:useLocalDpi xmlns:a14="http://schemas.microsoft.com/office/drawing/2010/main" val="0"/>
                              </a:ext>
                            </a:extLst>
                          </a:blip>
                          <a:srcRect t="6" b="6"/>
                          <a:stretch>
                            <a:fillRect/>
                          </a:stretch>
                        </pic:blipFill>
                        <pic:spPr>
                          <a:xfrm>
                            <a:off x="0" y="0"/>
                            <a:ext cx="1619688" cy="2160000"/>
                          </a:xfrm>
                          <a:prstGeom prst="roundRect">
                            <a:avLst>
                              <a:gd name="adj" fmla="val 8594"/>
                            </a:avLst>
                          </a:prstGeom>
                          <a:solidFill>
                            <a:srgbClr val="FFFFFF">
                              <a:shade val="85000"/>
                            </a:srgbClr>
                          </a:solidFill>
                          <a:ln>
                            <a:solidFill>
                              <a:schemeClr val="tx1"/>
                            </a:solidFill>
                          </a:ln>
                          <a:effectLst/>
                        </pic:spPr>
                      </pic:pic>
                    </a:graphicData>
                  </a:graphic>
                </wp:inline>
              </w:drawing>
            </w:r>
          </w:p>
        </w:tc>
        <w:tc>
          <w:tcPr>
            <w:tcW w:w="6439" w:type="dxa"/>
          </w:tcPr>
          <w:p w14:paraId="0399B27D" w14:textId="77777777" w:rsidR="004462F0" w:rsidRPr="00C737D4" w:rsidRDefault="004462F0" w:rsidP="001514EB">
            <w:pPr>
              <w:pStyle w:val="Heading3"/>
              <w:keepNext w:val="0"/>
              <w:spacing w:before="120" w:after="120"/>
              <w:rPr>
                <w:b/>
                <w:sz w:val="24"/>
                <w:szCs w:val="20"/>
                <w:u w:val="none"/>
                <w:lang w:val="es-ES_tradnl"/>
              </w:rPr>
            </w:pPr>
            <w:r w:rsidRPr="00C737D4">
              <w:rPr>
                <w:b/>
                <w:sz w:val="24"/>
                <w:szCs w:val="20"/>
                <w:u w:val="none"/>
                <w:lang w:val="es-ES_tradnl"/>
              </w:rPr>
              <w:t>Emmanuelle Du Chalard</w:t>
            </w:r>
          </w:p>
          <w:p w14:paraId="3A610F39" w14:textId="4D35299F" w:rsidR="004462F0" w:rsidRPr="00C737D4" w:rsidRDefault="004462F0" w:rsidP="009A4F6C">
            <w:pPr>
              <w:rPr>
                <w:highlight w:val="yellow"/>
                <w:lang w:val="es-ES_tradnl"/>
              </w:rPr>
            </w:pPr>
            <w:r w:rsidRPr="00C737D4">
              <w:rPr>
                <w:lang w:val="es-ES_tradnl"/>
              </w:rPr>
              <w:t>Emmanuelle du Chalard trabaja en la Comisión Europea en calidad de jefa de la Unidad de Derecho de Autor, Dirección General de Redes de Comunicación, Contenido y Tecnología (DG CONNECT, Dirección de Política de Medios). Se unió a la Comisión en 2010 y desde 2014 trabaja en la política y legislación de derecho de autor de la UE. Participa activamente en los debates sobre IA y derecho de autor a nivel de la UE. Emmanuelle tiene un máster por el Instituto de Ciencias Políticas de París.</w:t>
            </w:r>
          </w:p>
        </w:tc>
      </w:tr>
      <w:tr w:rsidR="004462F0" w:rsidRPr="00C737D4" w14:paraId="1001127E" w14:textId="77777777" w:rsidTr="007B219D">
        <w:tc>
          <w:tcPr>
            <w:tcW w:w="2916" w:type="dxa"/>
          </w:tcPr>
          <w:p w14:paraId="4A525235" w14:textId="77777777" w:rsidR="004462F0" w:rsidRPr="00C737D4" w:rsidRDefault="004462F0" w:rsidP="00553335">
            <w:pPr>
              <w:rPr>
                <w:sz w:val="24"/>
                <w:szCs w:val="24"/>
                <w:lang w:val="es-ES_tradnl"/>
              </w:rPr>
            </w:pPr>
            <w:r w:rsidRPr="00C737D4">
              <w:rPr>
                <w:noProof/>
                <w:lang w:val="es-ES_tradnl"/>
              </w:rPr>
              <w:lastRenderedPageBreak/>
              <w:drawing>
                <wp:inline distT="0" distB="0" distL="0" distR="0" wp14:anchorId="741F531A" wp14:editId="5A74A96D">
                  <wp:extent cx="1616207" cy="2196000"/>
                  <wp:effectExtent l="19050" t="19050" r="22225" b="13970"/>
                  <wp:docPr id="1199549013" name="Picture 6" descr="A person in a blue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49013" name="Picture 6" descr="A person in a blue jacke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l="952" r="952"/>
                          <a:stretch>
                            <a:fillRect/>
                          </a:stretch>
                        </pic:blipFill>
                        <pic:spPr bwMode="auto">
                          <a:xfrm>
                            <a:off x="0" y="0"/>
                            <a:ext cx="1616207" cy="219600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5328A5E0" w14:textId="77777777" w:rsidR="004462F0" w:rsidRPr="00C737D4" w:rsidRDefault="004462F0" w:rsidP="00405160">
            <w:pPr>
              <w:pStyle w:val="Heading3"/>
              <w:keepNext w:val="0"/>
              <w:spacing w:before="0" w:after="253"/>
              <w:rPr>
                <w:b/>
                <w:sz w:val="24"/>
                <w:szCs w:val="20"/>
                <w:u w:val="none"/>
                <w:lang w:val="es-ES_tradnl"/>
              </w:rPr>
            </w:pPr>
            <w:r w:rsidRPr="00C737D4">
              <w:rPr>
                <w:b/>
                <w:sz w:val="24"/>
                <w:szCs w:val="20"/>
                <w:u w:val="none"/>
                <w:lang w:val="es-ES_tradnl"/>
              </w:rPr>
              <w:t>Arun Chaturvedi</w:t>
            </w:r>
          </w:p>
          <w:p w14:paraId="4948FC3A" w14:textId="7B9D10AE" w:rsidR="004462F0" w:rsidRPr="00C737D4" w:rsidRDefault="004462F0" w:rsidP="00553335">
            <w:pPr>
              <w:rPr>
                <w:lang w:val="es-ES_tradnl"/>
              </w:rPr>
            </w:pPr>
            <w:r w:rsidRPr="00C737D4">
              <w:rPr>
                <w:lang w:val="es-ES_tradnl"/>
              </w:rPr>
              <w:t>Arun Chaturvedi es un galardonado compositor, productor y multiinstrumentista canadiense, que se siente igual de cómodo en un estudio que subido a un escenario. Conocido por su habilidad para crear música impactante en todos los géneros, ha colaborado con artistas legendarios como Lamont Dozier y Felix Cavaliere (</w:t>
            </w:r>
            <w:r w:rsidRPr="00C737D4">
              <w:rPr>
                <w:i/>
                <w:iCs/>
                <w:lang w:val="es-ES_tradnl"/>
              </w:rPr>
              <w:t>The Rascals</w:t>
            </w:r>
            <w:r w:rsidRPr="00C737D4">
              <w:rPr>
                <w:lang w:val="es-ES_tradnl"/>
              </w:rPr>
              <w:t xml:space="preserve">), a la vez que ha escrito y producido para sellos discográficos independientes y grandes discográficas, así como para editoriales musicales. Trabaja también en el cine, en la televisión y en publicidad, y ha participado en programas de éxito como </w:t>
            </w:r>
            <w:r w:rsidRPr="00C737D4">
              <w:rPr>
                <w:i/>
                <w:iCs/>
                <w:lang w:val="es-ES_tradnl"/>
              </w:rPr>
              <w:t>Keeping Up With the Kardashians</w:t>
            </w:r>
            <w:r w:rsidRPr="00C737D4">
              <w:rPr>
                <w:lang w:val="es-ES_tradnl"/>
              </w:rPr>
              <w:t>, G</w:t>
            </w:r>
            <w:r w:rsidRPr="00C737D4">
              <w:rPr>
                <w:i/>
                <w:iCs/>
                <w:lang w:val="es-ES_tradnl"/>
              </w:rPr>
              <w:t>eneral Hospital</w:t>
            </w:r>
            <w:r w:rsidRPr="00C737D4">
              <w:rPr>
                <w:lang w:val="es-ES_tradnl"/>
              </w:rPr>
              <w:t xml:space="preserve"> y muchos otros.</w:t>
            </w:r>
            <w:r w:rsidR="00EC2465" w:rsidRPr="00C737D4">
              <w:rPr>
                <w:lang w:val="es-ES_tradnl"/>
              </w:rPr>
              <w:t xml:space="preserve"> Además de centrarse en su faceta creativa, promueve enérgicamente los </w:t>
            </w:r>
          </w:p>
        </w:tc>
      </w:tr>
      <w:tr w:rsidR="00553335" w:rsidRPr="00C737D4" w14:paraId="01C1D0AE" w14:textId="77777777" w:rsidTr="007B219D">
        <w:tc>
          <w:tcPr>
            <w:tcW w:w="9355" w:type="dxa"/>
            <w:gridSpan w:val="2"/>
          </w:tcPr>
          <w:p w14:paraId="705180A9" w14:textId="0C0E8E86" w:rsidR="00553335" w:rsidRPr="00C737D4" w:rsidRDefault="00553335" w:rsidP="00553335">
            <w:pPr>
              <w:pStyle w:val="Heading3"/>
              <w:keepNext w:val="0"/>
              <w:spacing w:before="0" w:after="480"/>
              <w:rPr>
                <w:bCs w:val="0"/>
                <w:szCs w:val="22"/>
                <w:u w:val="none"/>
                <w:lang w:val="es-ES_tradnl"/>
              </w:rPr>
            </w:pPr>
            <w:r w:rsidRPr="00C737D4">
              <w:rPr>
                <w:bCs w:val="0"/>
                <w:szCs w:val="22"/>
                <w:u w:val="none"/>
                <w:lang w:val="es-ES_tradnl"/>
              </w:rPr>
              <w:t>derechos de los creadores musicales. Como presidente de la Asociación de Compositores del Canadá, que es uno de los principales grupos de apoyo a los creadores musicales del país, defiende los derechos de los compositores y se moviliza para que la industria musical sea más equitativa y sostenible.</w:t>
            </w:r>
          </w:p>
        </w:tc>
      </w:tr>
      <w:tr w:rsidR="0077751D" w:rsidRPr="00C737D4" w14:paraId="12D608C8" w14:textId="77777777" w:rsidTr="007B219D">
        <w:tc>
          <w:tcPr>
            <w:tcW w:w="2916" w:type="dxa"/>
          </w:tcPr>
          <w:p w14:paraId="12BCC0AE" w14:textId="77777777" w:rsidR="0077751D" w:rsidRPr="00C737D4" w:rsidRDefault="0077751D" w:rsidP="00EE0DD0">
            <w:pPr>
              <w:rPr>
                <w:noProof/>
                <w:sz w:val="24"/>
                <w:szCs w:val="24"/>
                <w:lang w:val="es-ES_tradnl"/>
              </w:rPr>
            </w:pPr>
            <w:r w:rsidRPr="00C737D4">
              <w:rPr>
                <w:noProof/>
                <w:sz w:val="24"/>
                <w:szCs w:val="24"/>
                <w:lang w:val="es-ES_tradnl"/>
              </w:rPr>
              <w:drawing>
                <wp:inline distT="0" distB="0" distL="0" distR="0" wp14:anchorId="381B89DE" wp14:editId="1384DFBE">
                  <wp:extent cx="1624731" cy="2160000"/>
                  <wp:effectExtent l="19050" t="19050" r="13970" b="12065"/>
                  <wp:docPr id="673820663" name="Picture 1" descr="A person with long hair wearing a black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20663" name="Picture 1" descr="A person with long hair wearing a black sui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4731" cy="2160000"/>
                          </a:xfrm>
                          <a:prstGeom prst="roundRect">
                            <a:avLst>
                              <a:gd name="adj" fmla="val 8594"/>
                            </a:avLst>
                          </a:prstGeom>
                          <a:solidFill>
                            <a:srgbClr val="FFFFFF">
                              <a:shade val="85000"/>
                            </a:srgbClr>
                          </a:solidFill>
                          <a:ln w="3175">
                            <a:solidFill>
                              <a:schemeClr val="tx1"/>
                            </a:solidFill>
                          </a:ln>
                          <a:effectLst/>
                        </pic:spPr>
                      </pic:pic>
                    </a:graphicData>
                  </a:graphic>
                </wp:inline>
              </w:drawing>
            </w:r>
          </w:p>
        </w:tc>
        <w:tc>
          <w:tcPr>
            <w:tcW w:w="6439" w:type="dxa"/>
          </w:tcPr>
          <w:p w14:paraId="6E38858F" w14:textId="77777777" w:rsidR="0077751D" w:rsidRPr="00C737D4" w:rsidRDefault="0077751D" w:rsidP="004027BA">
            <w:pPr>
              <w:pStyle w:val="Heading3"/>
              <w:keepNext w:val="0"/>
              <w:spacing w:before="0" w:after="253"/>
              <w:rPr>
                <w:b/>
                <w:sz w:val="24"/>
                <w:szCs w:val="20"/>
                <w:u w:val="none"/>
                <w:lang w:val="es-ES_tradnl"/>
              </w:rPr>
            </w:pPr>
            <w:r w:rsidRPr="00C737D4">
              <w:rPr>
                <w:b/>
                <w:sz w:val="24"/>
                <w:szCs w:val="20"/>
                <w:u w:val="none"/>
                <w:lang w:val="es-ES_tradnl"/>
              </w:rPr>
              <w:t>Anna Dickson</w:t>
            </w:r>
          </w:p>
          <w:p w14:paraId="0968C18E" w14:textId="2B8AAFCF" w:rsidR="0077751D" w:rsidRPr="00C737D4" w:rsidRDefault="00CF68D0" w:rsidP="00CF68D0">
            <w:pPr>
              <w:spacing w:after="600"/>
              <w:rPr>
                <w:caps/>
                <w:lang w:val="es-ES_tradnl"/>
              </w:rPr>
            </w:pPr>
            <w:r w:rsidRPr="00C737D4">
              <w:rPr>
                <w:lang w:val="es-ES_tradnl"/>
              </w:rPr>
              <w:t>Anna Dickson es vicepresidenta de Estrategia de Contenidos y Operaciones en Shutterstock, donde dirige un equipo global que da impulso a la innovación de los contenidos en toda la empresa. Anna, reconocida experta en estrategia multimedios, se centra en cómo creamos, organizamos y utilizamos contenidos visuales y sonoros para comunicarnos en un mundo digital en rápida evolución. Antes de incorporarse a Shutterstock, fue directora de grupos de producto en Google, donde plasmó la hoja de ruta del Servicio de Medios bajo Licencia e integró normas como IPTC y C2PA en las experiencias generativas de Google. Su carrera abarca puestos de liderazgo en medios tanto tecnológicos como tradicionales, como The Huffington Post y The Wall Street Journal.</w:t>
            </w:r>
          </w:p>
        </w:tc>
      </w:tr>
      <w:tr w:rsidR="004462F0" w:rsidRPr="00C737D4" w14:paraId="4216B5C7" w14:textId="77777777" w:rsidTr="007B219D">
        <w:tc>
          <w:tcPr>
            <w:tcW w:w="2916" w:type="dxa"/>
          </w:tcPr>
          <w:p w14:paraId="0B8D3A31" w14:textId="77777777" w:rsidR="004462F0" w:rsidRPr="00C737D4" w:rsidRDefault="004462F0" w:rsidP="009A4F6C">
            <w:pPr>
              <w:rPr>
                <w:b/>
                <w:bCs/>
                <w:noProof/>
                <w:lang w:val="es-ES_tradnl"/>
              </w:rPr>
            </w:pPr>
            <w:r w:rsidRPr="00C737D4">
              <w:rPr>
                <w:noProof/>
                <w:sz w:val="24"/>
                <w:lang w:val="es-ES_tradnl"/>
              </w:rPr>
              <w:drawing>
                <wp:inline distT="0" distB="0" distL="0" distR="0" wp14:anchorId="2A0106AE" wp14:editId="5B89DE7C">
                  <wp:extent cx="1638300" cy="2195195"/>
                  <wp:effectExtent l="19050" t="19050" r="19050" b="14605"/>
                  <wp:docPr id="785102092" name="Picture 4" descr="A person in a suit with his hand on his ch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02092" name="Picture 4" descr="A person in a suit with his hand on his chin&#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l="26733" r="26733"/>
                          <a:stretch>
                            <a:fillRect/>
                          </a:stretch>
                        </pic:blipFill>
                        <pic:spPr bwMode="auto">
                          <a:xfrm>
                            <a:off x="0" y="0"/>
                            <a:ext cx="1638300" cy="2195195"/>
                          </a:xfrm>
                          <a:prstGeom prst="roundRect">
                            <a:avLst>
                              <a:gd name="adj" fmla="val 8594"/>
                            </a:avLst>
                          </a:prstGeom>
                          <a:solidFill>
                            <a:srgbClr val="FFFFFF">
                              <a:shade val="85000"/>
                            </a:srgbClr>
                          </a:solidFill>
                          <a:ln>
                            <a:solidFill>
                              <a:schemeClr val="tx1"/>
                            </a:solidFill>
                          </a:ln>
                          <a:effectLst/>
                        </pic:spPr>
                      </pic:pic>
                    </a:graphicData>
                  </a:graphic>
                </wp:inline>
              </w:drawing>
            </w:r>
          </w:p>
        </w:tc>
        <w:tc>
          <w:tcPr>
            <w:tcW w:w="6439" w:type="dxa"/>
          </w:tcPr>
          <w:p w14:paraId="43FE1F3A" w14:textId="77777777" w:rsidR="004462F0" w:rsidRPr="00C737D4" w:rsidRDefault="004462F0" w:rsidP="004027BA">
            <w:pPr>
              <w:pStyle w:val="Heading3"/>
              <w:keepNext w:val="0"/>
              <w:spacing w:before="0" w:after="253"/>
              <w:rPr>
                <w:b/>
                <w:sz w:val="24"/>
                <w:szCs w:val="20"/>
                <w:u w:val="none"/>
                <w:lang w:val="es-ES_tradnl"/>
              </w:rPr>
            </w:pPr>
            <w:r w:rsidRPr="00C737D4">
              <w:rPr>
                <w:b/>
                <w:sz w:val="24"/>
                <w:szCs w:val="20"/>
                <w:u w:val="none"/>
                <w:lang w:val="es-ES_tradnl"/>
              </w:rPr>
              <w:t>Kamran Imanov</w:t>
            </w:r>
          </w:p>
          <w:p w14:paraId="0700BB1B" w14:textId="3B7EE35A" w:rsidR="004462F0" w:rsidRPr="00C737D4" w:rsidRDefault="004462F0" w:rsidP="009A4F6C">
            <w:pPr>
              <w:rPr>
                <w:lang w:val="es-ES_tradnl"/>
              </w:rPr>
            </w:pPr>
            <w:r w:rsidRPr="00C737D4">
              <w:rPr>
                <w:lang w:val="es-ES_tradnl"/>
              </w:rPr>
              <w:t>Kamran Imanov es presidente de la Junta Directiva del Organismo de Propiedad Intelectual de la República de Azerbaiyán.</w:t>
            </w:r>
            <w:r w:rsidRPr="00C737D4">
              <w:rPr>
                <w:b/>
                <w:lang w:val="es-ES_tradnl"/>
              </w:rPr>
              <w:t xml:space="preserve"> </w:t>
            </w:r>
            <w:r w:rsidRPr="00C737D4">
              <w:rPr>
                <w:lang w:val="es-ES_tradnl"/>
              </w:rPr>
              <w:t>A los fines de consolidar el sistema de propiedad intelectual en Azerbaiyán, ha estado a la cabeza de más de</w:t>
            </w:r>
            <w:r w:rsidR="00A84585" w:rsidRPr="00C737D4">
              <w:rPr>
                <w:lang w:val="es-ES_tradnl"/>
              </w:rPr>
              <w:t> </w:t>
            </w:r>
            <w:r w:rsidRPr="00C737D4">
              <w:rPr>
                <w:lang w:val="es-ES_tradnl"/>
              </w:rPr>
              <w:t xml:space="preserve">40 proyectos, entre los que se incluyen algunos relacionados con la normativa sobre la protección del patrimonio cultural inmaterial, la gestión de derechos digitales, el comercio electrónico, la comercialización y la transferencia de tecnología, así como la protección y observancia de los derechos de propiedad intelectual. El Sr. Imanov es profesor honorario de la Universidad de Arquitectura y Construcción de Azerbaiyán y ha presentado ponencias en conferencias </w:t>
            </w:r>
          </w:p>
        </w:tc>
      </w:tr>
      <w:tr w:rsidR="004462F0" w:rsidRPr="00C737D4" w14:paraId="0147A643" w14:textId="77777777" w:rsidTr="007B219D">
        <w:tc>
          <w:tcPr>
            <w:tcW w:w="9355" w:type="dxa"/>
            <w:gridSpan w:val="2"/>
          </w:tcPr>
          <w:p w14:paraId="7C486B41" w14:textId="020A6951" w:rsidR="0077751D" w:rsidRPr="00C737D4" w:rsidRDefault="00134335" w:rsidP="0077751D">
            <w:pPr>
              <w:spacing w:after="600"/>
              <w:rPr>
                <w:lang w:val="es-ES_tradnl"/>
              </w:rPr>
            </w:pPr>
            <w:r w:rsidRPr="00C737D4">
              <w:rPr>
                <w:lang w:val="es-ES_tradnl"/>
              </w:rPr>
              <w:t xml:space="preserve">internacionales celebradas en países como Alemania, Estados Unidos, Francia, Hungría, Suiza y Turquía. Es </w:t>
            </w:r>
            <w:r w:rsidR="004462F0" w:rsidRPr="00C737D4">
              <w:rPr>
                <w:lang w:val="es-ES_tradnl"/>
              </w:rPr>
              <w:t xml:space="preserve">autor de más de 110 artículos científicos sobre propiedad intelectual y </w:t>
            </w:r>
            <w:r w:rsidR="004462F0" w:rsidRPr="00C737D4">
              <w:rPr>
                <w:lang w:val="es-ES_tradnl"/>
              </w:rPr>
              <w:lastRenderedPageBreak/>
              <w:t>derecho de autor. Bajo su supervisión científica se ha llevado a cabo un gran número de doctorados y másteres.</w:t>
            </w:r>
          </w:p>
        </w:tc>
      </w:tr>
      <w:tr w:rsidR="0077751D" w:rsidRPr="00C737D4" w14:paraId="0182F030" w14:textId="77777777" w:rsidTr="007B219D">
        <w:tc>
          <w:tcPr>
            <w:tcW w:w="2916" w:type="dxa"/>
          </w:tcPr>
          <w:p w14:paraId="2A1930D8" w14:textId="77777777" w:rsidR="0077751D" w:rsidRPr="00C737D4" w:rsidRDefault="0077751D" w:rsidP="00EE0DD0">
            <w:pPr>
              <w:rPr>
                <w:highlight w:val="yellow"/>
                <w:lang w:val="es-ES_tradnl"/>
              </w:rPr>
            </w:pPr>
            <w:bookmarkStart w:id="5" w:name="_Hlk195016021"/>
            <w:r w:rsidRPr="00C737D4">
              <w:rPr>
                <w:noProof/>
                <w:sz w:val="24"/>
                <w:szCs w:val="24"/>
                <w:lang w:val="es-ES_tradnl" w:eastAsia="en-AU"/>
              </w:rPr>
              <w:lastRenderedPageBreak/>
              <w:drawing>
                <wp:inline distT="0" distB="0" distL="0" distR="0" wp14:anchorId="17451EBB" wp14:editId="56FDD9B3">
                  <wp:extent cx="1647825" cy="2195195"/>
                  <wp:effectExtent l="19050" t="19050" r="28575" b="14605"/>
                  <wp:docPr id="1" name="Picture 1" descr="A person with long hair wearing a blac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 wearing a black shirt&#10;&#10;AI-generated content may be incorrect."/>
                          <pic:cNvPicPr/>
                        </pic:nvPicPr>
                        <pic:blipFill>
                          <a:blip r:embed="rId15" cstate="print">
                            <a:extLst>
                              <a:ext uri="{28A0092B-C50C-407E-A947-70E740481C1C}">
                                <a14:useLocalDpi xmlns:a14="http://schemas.microsoft.com/office/drawing/2010/main" val="0"/>
                              </a:ext>
                            </a:extLst>
                          </a:blip>
                          <a:srcRect l="21850" r="21850"/>
                          <a:stretch>
                            <a:fillRect/>
                          </a:stretch>
                        </pic:blipFill>
                        <pic:spPr bwMode="auto">
                          <a:xfrm>
                            <a:off x="0" y="0"/>
                            <a:ext cx="1647825" cy="2195195"/>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2373A96F" w14:textId="1F8B0E30" w:rsidR="0077751D" w:rsidRPr="00C737D4" w:rsidRDefault="00031D65" w:rsidP="004027BA">
            <w:pPr>
              <w:pStyle w:val="Heading3"/>
              <w:keepNext w:val="0"/>
              <w:spacing w:before="0" w:after="253"/>
              <w:rPr>
                <w:b/>
                <w:sz w:val="24"/>
                <w:szCs w:val="20"/>
                <w:u w:val="none"/>
                <w:lang w:val="es-ES_tradnl"/>
              </w:rPr>
            </w:pPr>
            <w:r w:rsidRPr="00C737D4">
              <w:rPr>
                <w:b/>
                <w:sz w:val="24"/>
                <w:szCs w:val="20"/>
                <w:u w:val="none"/>
                <w:lang w:val="es-ES_tradnl"/>
              </w:rPr>
              <w:t>Mary Critharis</w:t>
            </w:r>
          </w:p>
          <w:p w14:paraId="22F73A43" w14:textId="58F345B7" w:rsidR="0077751D" w:rsidRPr="00C737D4" w:rsidRDefault="00031D65" w:rsidP="009A12BE">
            <w:pPr>
              <w:jc w:val="both"/>
              <w:rPr>
                <w:lang w:val="es-ES_tradnl"/>
              </w:rPr>
            </w:pPr>
            <w:r w:rsidRPr="00C737D4">
              <w:rPr>
                <w:lang w:val="es-ES_tradnl"/>
              </w:rPr>
              <w:t xml:space="preserve">Mary Critharis </w:t>
            </w:r>
            <w:r w:rsidR="0027143F" w:rsidRPr="00C737D4">
              <w:rPr>
                <w:lang w:val="es-ES_tradnl"/>
              </w:rPr>
              <w:t xml:space="preserve">es </w:t>
            </w:r>
            <w:r w:rsidR="00104C0C" w:rsidRPr="00C737D4">
              <w:rPr>
                <w:lang w:val="es-ES_tradnl"/>
              </w:rPr>
              <w:t>jefa</w:t>
            </w:r>
            <w:r w:rsidR="0027143F" w:rsidRPr="00C737D4">
              <w:rPr>
                <w:lang w:val="es-ES_tradnl"/>
              </w:rPr>
              <w:t xml:space="preserve"> </w:t>
            </w:r>
            <w:r w:rsidR="00104C0C" w:rsidRPr="00C737D4">
              <w:rPr>
                <w:lang w:val="es-ES_tradnl"/>
              </w:rPr>
              <w:t xml:space="preserve">interina </w:t>
            </w:r>
            <w:r w:rsidR="0027143F" w:rsidRPr="00C737D4">
              <w:rPr>
                <w:lang w:val="es-ES_tradnl"/>
              </w:rPr>
              <w:t xml:space="preserve">de Políticas y </w:t>
            </w:r>
            <w:r w:rsidR="00104C0C" w:rsidRPr="00C737D4">
              <w:rPr>
                <w:lang w:val="es-ES_tradnl"/>
              </w:rPr>
              <w:t xml:space="preserve">directora interina de </w:t>
            </w:r>
            <w:r w:rsidR="0027143F" w:rsidRPr="00C737D4">
              <w:rPr>
                <w:lang w:val="es-ES_tradnl"/>
              </w:rPr>
              <w:t>Asuntos Internacionales, Oficina de Patentes y Marcas de los Estados Unidos (USPTO). En el desempeño de su cargo, ejerce de asesora de políticas de</w:t>
            </w:r>
            <w:r w:rsidR="00104C0C" w:rsidRPr="00C737D4">
              <w:rPr>
                <w:lang w:val="es-ES_tradnl"/>
              </w:rPr>
              <w:t xml:space="preserve"> </w:t>
            </w:r>
            <w:r w:rsidR="0027143F" w:rsidRPr="00C737D4">
              <w:rPr>
                <w:lang w:val="es-ES_tradnl"/>
              </w:rPr>
              <w:t>l</w:t>
            </w:r>
            <w:r w:rsidR="00104C0C" w:rsidRPr="00C737D4">
              <w:rPr>
                <w:lang w:val="es-ES_tradnl"/>
              </w:rPr>
              <w:t>a</w:t>
            </w:r>
            <w:r w:rsidR="0027143F" w:rsidRPr="00C737D4">
              <w:rPr>
                <w:lang w:val="es-ES_tradnl"/>
              </w:rPr>
              <w:t xml:space="preserve"> subsecretari</w:t>
            </w:r>
            <w:r w:rsidR="00104C0C" w:rsidRPr="00C737D4">
              <w:rPr>
                <w:lang w:val="es-ES_tradnl"/>
              </w:rPr>
              <w:t>a</w:t>
            </w:r>
            <w:r w:rsidR="0027143F" w:rsidRPr="00C737D4">
              <w:rPr>
                <w:lang w:val="es-ES_tradnl"/>
              </w:rPr>
              <w:t xml:space="preserve"> de Comercio y Propiedad Intelectual y director</w:t>
            </w:r>
            <w:r w:rsidR="00104C0C" w:rsidRPr="00C737D4">
              <w:rPr>
                <w:lang w:val="es-ES_tradnl"/>
              </w:rPr>
              <w:t>a</w:t>
            </w:r>
            <w:r w:rsidR="0027143F" w:rsidRPr="00C737D4">
              <w:rPr>
                <w:lang w:val="es-ES_tradnl"/>
              </w:rPr>
              <w:t xml:space="preserve"> de la USPTO, así como del subsecretario adjunto de Comercio y Propiedad Intelectual y director adjunto de la USPTO. Supervisa los asuntos de política nacional e internacional de la USPTO relacionados con la protección y la observancia de la PI respecto a cuestiones comerciales, incluidas las propuestas legislativas y las actividades internacionales de </w:t>
            </w:r>
            <w:r w:rsidR="009A12BE" w:rsidRPr="00C737D4">
              <w:rPr>
                <w:lang w:val="es-ES_tradnl"/>
              </w:rPr>
              <w:t xml:space="preserve">los </w:t>
            </w:r>
            <w:r w:rsidR="0027143F" w:rsidRPr="00C737D4">
              <w:rPr>
                <w:lang w:val="es-ES_tradnl"/>
              </w:rPr>
              <w:t xml:space="preserve">EE. UU. </w:t>
            </w:r>
            <w:r w:rsidR="009A12BE" w:rsidRPr="00C737D4">
              <w:rPr>
                <w:lang w:val="es-ES_tradnl"/>
              </w:rPr>
              <w:t>También supervisa</w:t>
            </w:r>
            <w:r w:rsidR="0027143F" w:rsidRPr="00C737D4">
              <w:rPr>
                <w:lang w:val="es-ES_tradnl"/>
              </w:rPr>
              <w:t xml:space="preserve"> los programas de enseñanza y formación de la Oficina de </w:t>
            </w:r>
          </w:p>
        </w:tc>
      </w:tr>
      <w:bookmarkEnd w:id="5"/>
      <w:tr w:rsidR="0077751D" w:rsidRPr="00C737D4" w14:paraId="502DFBE0" w14:textId="77777777" w:rsidTr="007B219D">
        <w:tc>
          <w:tcPr>
            <w:tcW w:w="9355" w:type="dxa"/>
            <w:gridSpan w:val="2"/>
          </w:tcPr>
          <w:p w14:paraId="44D59124" w14:textId="07C65E24" w:rsidR="0077751D" w:rsidRPr="00C737D4" w:rsidRDefault="00104F86" w:rsidP="0077751D">
            <w:pPr>
              <w:spacing w:after="600"/>
              <w:rPr>
                <w:lang w:val="es-ES_tradnl"/>
              </w:rPr>
            </w:pPr>
            <w:r w:rsidRPr="00C737D4">
              <w:rPr>
                <w:lang w:val="es-ES_tradnl"/>
              </w:rPr>
              <w:t xml:space="preserve">Políticas y Asuntos Internacionales (OPIA) a través de la Academia Mundial de la Propiedad Intelectual (GIPA), las iniciativas de promoción mundial a través del </w:t>
            </w:r>
            <w:r w:rsidRPr="00C737D4">
              <w:rPr>
                <w:i/>
                <w:iCs/>
                <w:lang w:val="es-ES_tradnl"/>
              </w:rPr>
              <w:t>IP Attaché Program</w:t>
            </w:r>
            <w:r w:rsidRPr="00C737D4">
              <w:rPr>
                <w:lang w:val="es-ES_tradnl"/>
              </w:rPr>
              <w:t xml:space="preserve"> y los análisis económicos a través de la Oficina del Economista Jefe.</w:t>
            </w:r>
          </w:p>
        </w:tc>
      </w:tr>
      <w:tr w:rsidR="004462F0" w:rsidRPr="00C737D4" w14:paraId="6CC9A933" w14:textId="77777777" w:rsidTr="007B219D">
        <w:tc>
          <w:tcPr>
            <w:tcW w:w="2916" w:type="dxa"/>
          </w:tcPr>
          <w:p w14:paraId="1ECE5437" w14:textId="77777777" w:rsidR="004462F0" w:rsidRPr="00C737D4" w:rsidRDefault="004462F0" w:rsidP="00405160">
            <w:pPr>
              <w:rPr>
                <w:b/>
                <w:noProof/>
                <w:sz w:val="28"/>
                <w:highlight w:val="yellow"/>
                <w:lang w:val="es-ES_tradnl"/>
              </w:rPr>
            </w:pPr>
            <w:r w:rsidRPr="00C737D4">
              <w:rPr>
                <w:b/>
                <w:noProof/>
                <w:lang w:val="es-ES_tradnl"/>
              </w:rPr>
              <w:drawing>
                <wp:inline distT="0" distB="0" distL="0" distR="0" wp14:anchorId="79F9F7D4" wp14:editId="05A57E33">
                  <wp:extent cx="1657502" cy="2196000"/>
                  <wp:effectExtent l="19050" t="19050" r="19050" b="13970"/>
                  <wp:docPr id="625546636" name="Picture 1" descr="A person wearing glasses and a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46636" name="Picture 1" descr="A person wearing glasses and a jacke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7502" cy="2196000"/>
                          </a:xfrm>
                          <a:prstGeom prst="roundRect">
                            <a:avLst>
                              <a:gd name="adj" fmla="val 8594"/>
                            </a:avLst>
                          </a:prstGeom>
                          <a:solidFill>
                            <a:srgbClr val="FFFFFF">
                              <a:shade val="85000"/>
                            </a:srgbClr>
                          </a:solidFill>
                          <a:ln w="3175">
                            <a:solidFill>
                              <a:schemeClr val="tx1"/>
                            </a:solidFill>
                          </a:ln>
                          <a:effectLst/>
                        </pic:spPr>
                      </pic:pic>
                    </a:graphicData>
                  </a:graphic>
                </wp:inline>
              </w:drawing>
            </w:r>
          </w:p>
        </w:tc>
        <w:tc>
          <w:tcPr>
            <w:tcW w:w="6439" w:type="dxa"/>
          </w:tcPr>
          <w:p w14:paraId="6C81795A" w14:textId="77777777" w:rsidR="004462F0" w:rsidRPr="00C737D4" w:rsidRDefault="004462F0" w:rsidP="004027BA">
            <w:pPr>
              <w:pStyle w:val="Heading3"/>
              <w:keepNext w:val="0"/>
              <w:spacing w:before="0" w:after="253"/>
              <w:rPr>
                <w:b/>
                <w:sz w:val="24"/>
                <w:szCs w:val="20"/>
                <w:u w:val="none"/>
                <w:lang w:val="es-ES_tradnl"/>
              </w:rPr>
            </w:pPr>
            <w:r w:rsidRPr="00C737D4">
              <w:rPr>
                <w:b/>
                <w:sz w:val="24"/>
                <w:szCs w:val="20"/>
                <w:u w:val="none"/>
                <w:lang w:val="es-ES_tradnl"/>
              </w:rPr>
              <w:t>Hyang-Mi Jung</w:t>
            </w:r>
          </w:p>
          <w:p w14:paraId="3E195474" w14:textId="5ADD7B28" w:rsidR="004462F0" w:rsidRPr="00C737D4" w:rsidRDefault="004462F0" w:rsidP="009A4F6C">
            <w:pPr>
              <w:rPr>
                <w:lang w:val="es-ES_tradnl"/>
              </w:rPr>
            </w:pPr>
            <w:r w:rsidRPr="00C737D4">
              <w:rPr>
                <w:lang w:val="es-ES_tradnl"/>
              </w:rPr>
              <w:t>La Sra. Hyang-Mi Jung es directora general de la Oficina de Derecho de Autor del Ministerio de Cultura, Deportes y Turismo (MCST) y miembro del Servicio Ejecutivo Superior (SES) del Gobierno de la República de Corea. Como tal, supervisa la política nacional e internacional de derecho de autor de la República de Corea y las actividades legislativas relacionadas con la Ley de Derecho de Autor. Se incorporó a la administración pública en 1997 como subdirectora del MCST. La Sra. Jung lleva casi treinta años desempeñando funciones gubernamentales en los ámbitos cultural, artístico y turístico, entre las que se incluyen las de directora de políticas artísticas</w:t>
            </w:r>
            <w:r w:rsidR="00104F86" w:rsidRPr="00C737D4">
              <w:rPr>
                <w:lang w:val="es-ES_tradnl"/>
              </w:rPr>
              <w:t xml:space="preserve"> y turísticas y de industria editorial. En 2022, la Sra. Jung fue </w:t>
            </w:r>
          </w:p>
        </w:tc>
      </w:tr>
      <w:tr w:rsidR="004462F0" w:rsidRPr="00C737D4" w14:paraId="629FD956" w14:textId="77777777" w:rsidTr="007B219D">
        <w:tc>
          <w:tcPr>
            <w:tcW w:w="9355" w:type="dxa"/>
            <w:gridSpan w:val="2"/>
          </w:tcPr>
          <w:p w14:paraId="0F6CF92C" w14:textId="7DCA91A2" w:rsidR="0077751D" w:rsidRPr="00C737D4" w:rsidRDefault="00104F86" w:rsidP="007B219D">
            <w:pPr>
              <w:spacing w:after="480"/>
              <w:rPr>
                <w:lang w:val="es-ES_tradnl"/>
              </w:rPr>
            </w:pPr>
            <w:r w:rsidRPr="00C737D4">
              <w:rPr>
                <w:lang w:val="es-ES_tradnl"/>
              </w:rPr>
              <w:t xml:space="preserve">nombrada </w:t>
            </w:r>
            <w:r w:rsidR="00405160" w:rsidRPr="00C737D4">
              <w:rPr>
                <w:lang w:val="es-ES_tradnl"/>
              </w:rPr>
              <w:t xml:space="preserve">directora general de la Oficina Regional de Política Cultural del MCST. Posteriormente, en agosto de 2022, </w:t>
            </w:r>
            <w:r w:rsidR="004462F0" w:rsidRPr="00C737D4">
              <w:rPr>
                <w:lang w:val="es-ES_tradnl"/>
              </w:rPr>
              <w:t>pasó a ocupar el puesto de directora general de la Oficina de Política Cultural hasta que asumió su cargo actual el 22 de enero de 2024. La Sra. Jung se licenció en Psicología por la Universidad de Yonsei, en Seúl, y cursó un doctorado en Derecho por la Universidad de Manchester, en el Reino Unido. Su lengua materna es el coreano y domina el inglés.</w:t>
            </w:r>
          </w:p>
        </w:tc>
      </w:tr>
      <w:tr w:rsidR="00104F86" w:rsidRPr="00C737D4" w14:paraId="276A8F30" w14:textId="77777777" w:rsidTr="007B219D">
        <w:tc>
          <w:tcPr>
            <w:tcW w:w="2916" w:type="dxa"/>
          </w:tcPr>
          <w:p w14:paraId="2961959B" w14:textId="77777777" w:rsidR="00104F86" w:rsidRPr="00C737D4" w:rsidRDefault="00104F86" w:rsidP="00104F86">
            <w:pPr>
              <w:rPr>
                <w:highlight w:val="yellow"/>
                <w:lang w:val="es-ES_tradnl"/>
              </w:rPr>
            </w:pPr>
            <w:r w:rsidRPr="00C737D4">
              <w:rPr>
                <w:noProof/>
                <w:lang w:val="es-ES_tradnl"/>
              </w:rPr>
              <w:lastRenderedPageBreak/>
              <w:drawing>
                <wp:inline distT="0" distB="0" distL="0" distR="0" wp14:anchorId="38E71982" wp14:editId="69977FB2">
                  <wp:extent cx="1632102" cy="2194560"/>
                  <wp:effectExtent l="19050" t="19050" r="25400" b="15240"/>
                  <wp:docPr id="722304813" name="Picture 1" descr="A person in a red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04813" name="Picture 1" descr="A person in a red sui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l="462" r="462"/>
                          <a:stretch>
                            <a:fillRect/>
                          </a:stretch>
                        </pic:blipFill>
                        <pic:spPr bwMode="auto">
                          <a:xfrm>
                            <a:off x="0" y="0"/>
                            <a:ext cx="1632102"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1FB51B3A" w14:textId="77777777" w:rsidR="00104F86" w:rsidRPr="00C737D4" w:rsidRDefault="00104F86" w:rsidP="004027BA">
            <w:pPr>
              <w:pStyle w:val="Heading3"/>
              <w:keepNext w:val="0"/>
              <w:spacing w:before="0" w:after="253"/>
              <w:rPr>
                <w:b/>
                <w:sz w:val="24"/>
                <w:szCs w:val="20"/>
                <w:u w:val="none"/>
                <w:lang w:val="es-ES_tradnl"/>
              </w:rPr>
            </w:pPr>
            <w:r w:rsidRPr="00C737D4">
              <w:rPr>
                <w:b/>
                <w:sz w:val="24"/>
                <w:szCs w:val="20"/>
                <w:u w:val="none"/>
                <w:lang w:val="es-ES_tradnl"/>
              </w:rPr>
              <w:t>Mery Macharashvili</w:t>
            </w:r>
          </w:p>
          <w:p w14:paraId="01E2313A" w14:textId="5D60988A" w:rsidR="00104F86" w:rsidRPr="00C737D4" w:rsidRDefault="00104F86" w:rsidP="007B219D">
            <w:pPr>
              <w:spacing w:after="120"/>
              <w:rPr>
                <w:lang w:val="es-ES_tradnl"/>
              </w:rPr>
            </w:pPr>
            <w:r w:rsidRPr="00C737D4">
              <w:rPr>
                <w:lang w:val="es-ES_tradnl"/>
              </w:rPr>
              <w:t>La Sra. Mery Macharashvili es jurista y cuenta con más de 15 años de experiencia en PI y Derecho público. Actualmente dirige el Departamento de Invenciones, Obtenciones Vegetales y Animales del Centro Nacional de Propiedad Intelectual de Georgia (Sakpatenti).</w:t>
            </w:r>
          </w:p>
          <w:p w14:paraId="5D87378A" w14:textId="333F4AD0" w:rsidR="00104F86" w:rsidRPr="00C737D4" w:rsidRDefault="00104F86" w:rsidP="00104F86">
            <w:pPr>
              <w:rPr>
                <w:lang w:val="es-ES_tradnl"/>
              </w:rPr>
            </w:pPr>
            <w:r w:rsidRPr="00C737D4">
              <w:rPr>
                <w:lang w:val="es-ES_tradnl"/>
              </w:rPr>
              <w:t xml:space="preserve">Anteriormente, la Sra. Macharashvili dirigió el Departamento de Marcas, Indicaciones Geográficas y Diseños, donde desempeñó un papel importante en el desarrollo y refuerzo del sistema de indicaciones geográficas, contribuyendo a su consolidación y perfeccionamiento para cumplir con las normas nacionales e internacionales. Además, desempeñó un papel </w:t>
            </w:r>
          </w:p>
        </w:tc>
      </w:tr>
      <w:tr w:rsidR="00104F86" w:rsidRPr="00C737D4" w14:paraId="3A361BDA" w14:textId="77777777" w:rsidTr="007B219D">
        <w:tc>
          <w:tcPr>
            <w:tcW w:w="9355" w:type="dxa"/>
            <w:gridSpan w:val="2"/>
          </w:tcPr>
          <w:p w14:paraId="3E03FE0D" w14:textId="1ACEEDDD" w:rsidR="00104F86" w:rsidRPr="00C737D4" w:rsidRDefault="00104F86" w:rsidP="00104F86">
            <w:pPr>
              <w:spacing w:after="480"/>
              <w:rPr>
                <w:lang w:val="es-ES_tradnl"/>
              </w:rPr>
            </w:pPr>
            <w:r w:rsidRPr="00C737D4">
              <w:rPr>
                <w:lang w:val="es-ES_tradnl"/>
              </w:rPr>
              <w:t>decisivo en la protección de las indicaciones geográficas, garantizando que el sistema proporcionara sólidas salvaguardias para las indicaciones geográficas tanto a nivel nacional como internacional. Estuvo también a cargo de la administración del sistema de depósito de obras protegidas por derechos de autor. Durante su carrera, también ha ocupado cargos en el Ministerio de Finanzas de Georgia y en el Organismo de Desarrollo de la Función Pública, dependiente del Ministerio de Justicia de Georgia.</w:t>
            </w:r>
          </w:p>
        </w:tc>
      </w:tr>
      <w:tr w:rsidR="00104F86" w:rsidRPr="00C737D4" w14:paraId="37D9B804" w14:textId="77777777" w:rsidTr="007B219D">
        <w:tc>
          <w:tcPr>
            <w:tcW w:w="2916" w:type="dxa"/>
          </w:tcPr>
          <w:p w14:paraId="48D75FF3" w14:textId="77777777" w:rsidR="00104F86" w:rsidRPr="00C737D4" w:rsidRDefault="00104F86" w:rsidP="00104F86">
            <w:pPr>
              <w:spacing w:after="480"/>
              <w:rPr>
                <w:b/>
                <w:bCs/>
                <w:noProof/>
                <w:highlight w:val="yellow"/>
                <w:lang w:val="es-ES_tradnl"/>
              </w:rPr>
            </w:pPr>
            <w:r w:rsidRPr="00C737D4">
              <w:rPr>
                <w:noProof/>
                <w:lang w:val="es-ES_tradnl"/>
              </w:rPr>
              <w:drawing>
                <wp:inline distT="0" distB="0" distL="0" distR="0" wp14:anchorId="33B00738" wp14:editId="740AC0CE">
                  <wp:extent cx="1645920" cy="2226329"/>
                  <wp:effectExtent l="19050" t="19050" r="11430" b="21590"/>
                  <wp:docPr id="270218960" name="Picture 4" descr="A person holding his fingers up to hi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18960" name="Picture 4" descr="A person holding his fingers up to his fac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l="669" r="669"/>
                          <a:stretch>
                            <a:fillRect/>
                          </a:stretch>
                        </pic:blipFill>
                        <pic:spPr bwMode="auto">
                          <a:xfrm>
                            <a:off x="0" y="0"/>
                            <a:ext cx="1645920" cy="2226329"/>
                          </a:xfrm>
                          <a:prstGeom prst="roundRect">
                            <a:avLst>
                              <a:gd name="adj" fmla="val 8594"/>
                            </a:avLst>
                          </a:prstGeom>
                          <a:solidFill>
                            <a:srgbClr val="FFFFFF">
                              <a:shade val="85000"/>
                            </a:srgbClr>
                          </a:solid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tc>
        <w:tc>
          <w:tcPr>
            <w:tcW w:w="6439" w:type="dxa"/>
          </w:tcPr>
          <w:p w14:paraId="0988BA62" w14:textId="77777777" w:rsidR="00104F86" w:rsidRPr="00C737D4" w:rsidRDefault="00104F86" w:rsidP="004027BA">
            <w:pPr>
              <w:pStyle w:val="Heading3"/>
              <w:keepNext w:val="0"/>
              <w:spacing w:before="0" w:after="253"/>
              <w:rPr>
                <w:b/>
                <w:sz w:val="24"/>
                <w:szCs w:val="20"/>
                <w:u w:val="none"/>
                <w:lang w:val="es-ES_tradnl"/>
              </w:rPr>
            </w:pPr>
            <w:r w:rsidRPr="00C737D4">
              <w:rPr>
                <w:b/>
                <w:sz w:val="24"/>
                <w:szCs w:val="20"/>
                <w:u w:val="none"/>
                <w:lang w:val="es-ES_tradnl"/>
              </w:rPr>
              <w:t>Cédric Manara</w:t>
            </w:r>
          </w:p>
          <w:p w14:paraId="5D62F18E" w14:textId="6C2402AE" w:rsidR="00104F86" w:rsidRPr="00C737D4" w:rsidRDefault="00104F86" w:rsidP="00104F86">
            <w:pPr>
              <w:rPr>
                <w:highlight w:val="yellow"/>
                <w:lang w:val="es-ES_tradnl"/>
              </w:rPr>
            </w:pPr>
            <w:r w:rsidRPr="00C737D4">
              <w:rPr>
                <w:lang w:val="es-ES_tradnl"/>
              </w:rPr>
              <w:t>El Dr. Cédric Manara se ha dedicado de lleno a la enseñanza, la escritura y la consultoría. Ha sido profesor de Derecho a tiempo completo en la École des Hautes Études Commerciales du Nord (EDHEC) de Francia y profesor visitante en Finlandia, Italia, Japón y Estados Unidos. Ha publicado numerosos artículos sobre propiedad intelectual y cuestiones jurídicas relacionadas con Internet y además ha sido consultor de empresas de comercio electrónico y estudios de abogados. Cédric se incorporó a Google en 2013, y es director y responsable del equipo jurídico global de derecho de autor.</w:t>
            </w:r>
          </w:p>
        </w:tc>
      </w:tr>
      <w:tr w:rsidR="00104F86" w:rsidRPr="00C737D4" w14:paraId="5AC53FEB" w14:textId="77777777" w:rsidTr="007B219D">
        <w:trPr>
          <w:trHeight w:val="3436"/>
        </w:trPr>
        <w:tc>
          <w:tcPr>
            <w:tcW w:w="2916" w:type="dxa"/>
          </w:tcPr>
          <w:p w14:paraId="36754CB7" w14:textId="77777777" w:rsidR="00104F86" w:rsidRPr="00C737D4" w:rsidRDefault="00104F86" w:rsidP="00104F86">
            <w:pPr>
              <w:spacing w:after="480"/>
              <w:rPr>
                <w:highlight w:val="yellow"/>
                <w:lang w:val="es-ES_tradnl"/>
              </w:rPr>
            </w:pPr>
            <w:r w:rsidRPr="00C737D4">
              <w:rPr>
                <w:noProof/>
                <w:lang w:val="es-ES_tradnl"/>
              </w:rPr>
              <w:drawing>
                <wp:inline distT="0" distB="0" distL="0" distR="0" wp14:anchorId="5D03BA5F" wp14:editId="5B938350">
                  <wp:extent cx="1619885" cy="2154555"/>
                  <wp:effectExtent l="19050" t="19050" r="18415" b="17145"/>
                  <wp:docPr id="1639914964" name="Picture 1" descr="A person in a red shirt&#10;&#10;AI-generated content may be incorrec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14964" name="Picture 1" descr="A person in a red shirt&#10;&#10;AI-generated content may be incorrect.">
                            <a:extLst>
                              <a:ext uri="{C183D7F6-B498-43B3-948B-1728B52AA6E4}">
                                <adec:decorative xmlns:adec="http://schemas.microsoft.com/office/drawing/2017/decorative" val="0"/>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l="3010" r="3010"/>
                          <a:stretch>
                            <a:fillRect/>
                          </a:stretch>
                        </pic:blipFill>
                        <pic:spPr bwMode="auto">
                          <a:xfrm>
                            <a:off x="0" y="0"/>
                            <a:ext cx="1619885" cy="2154555"/>
                          </a:xfrm>
                          <a:prstGeom prst="roundRect">
                            <a:avLst>
                              <a:gd name="adj" fmla="val 8594"/>
                            </a:avLst>
                          </a:prstGeom>
                          <a:solidFill>
                            <a:srgbClr val="FFFFFF">
                              <a:shade val="85000"/>
                            </a:srgbClr>
                          </a:solidFill>
                          <a:ln>
                            <a:solidFill>
                              <a:schemeClr val="tx1"/>
                            </a:solidFill>
                          </a:ln>
                          <a:effectLst/>
                        </pic:spPr>
                      </pic:pic>
                    </a:graphicData>
                  </a:graphic>
                </wp:inline>
              </w:drawing>
            </w:r>
          </w:p>
        </w:tc>
        <w:tc>
          <w:tcPr>
            <w:tcW w:w="6439" w:type="dxa"/>
          </w:tcPr>
          <w:p w14:paraId="4D0CEB76" w14:textId="77777777" w:rsidR="00104F86" w:rsidRPr="00C737D4" w:rsidRDefault="00104F86" w:rsidP="004027BA">
            <w:pPr>
              <w:pStyle w:val="Heading3"/>
              <w:keepNext w:val="0"/>
              <w:spacing w:before="0" w:after="253"/>
              <w:rPr>
                <w:b/>
                <w:sz w:val="24"/>
                <w:szCs w:val="20"/>
                <w:u w:val="none"/>
                <w:lang w:val="es-ES_tradnl"/>
              </w:rPr>
            </w:pPr>
            <w:r w:rsidRPr="00C737D4">
              <w:rPr>
                <w:b/>
                <w:sz w:val="24"/>
                <w:szCs w:val="20"/>
                <w:u w:val="none"/>
                <w:lang w:val="es-ES_tradnl"/>
              </w:rPr>
              <w:t>Graciela Melo Sarmiento</w:t>
            </w:r>
          </w:p>
          <w:p w14:paraId="03B1E5B0" w14:textId="6461BDA1" w:rsidR="00104F86" w:rsidRPr="00C737D4" w:rsidRDefault="00104F86" w:rsidP="00104F86">
            <w:pPr>
              <w:spacing w:after="600"/>
              <w:rPr>
                <w:b/>
                <w:noProof/>
                <w:highlight w:val="yellow"/>
                <w:lang w:val="es-ES_tradnl"/>
              </w:rPr>
            </w:pPr>
            <w:r w:rsidRPr="00C737D4">
              <w:rPr>
                <w:lang w:val="es-ES_tradnl"/>
              </w:rPr>
              <w:t xml:space="preserve">Abogada, especialista en Derecho Mercantil de la Universidad de los Andes y en Regulación de Telecomunicaciones y Nuevas Tecnologías de la Universidad Externado, experta en Propiedad Intelectual, becaria de la Agencia de Cooperación Internacional del Japón, estudiante de doctorado de la Universidad Austral. Profesora universitaria y tutora de la Academia de la OMPI. Asesora y consultora independiente, clasificada en el </w:t>
            </w:r>
            <w:r w:rsidRPr="00C737D4">
              <w:rPr>
                <w:i/>
                <w:iCs/>
                <w:lang w:val="es-ES_tradnl"/>
              </w:rPr>
              <w:t>ranking</w:t>
            </w:r>
            <w:r w:rsidRPr="00C737D4">
              <w:rPr>
                <w:lang w:val="es-ES_tradnl"/>
              </w:rPr>
              <w:t xml:space="preserve"> de Propiedad Intelectual de Chambers &amp; Partners desde 2013. Árbitro de la Cámara de Comercio de Bogotá. Ex presidenta del Centro Colombiano del Derecho de Autor CECOLDA y miembro de la Asociación Literaria y Artística Internacional (ALAI).</w:t>
            </w:r>
          </w:p>
        </w:tc>
      </w:tr>
      <w:tr w:rsidR="00104F86" w:rsidRPr="00C737D4" w14:paraId="3E75551A" w14:textId="77777777" w:rsidTr="007B219D">
        <w:tc>
          <w:tcPr>
            <w:tcW w:w="2916" w:type="dxa"/>
          </w:tcPr>
          <w:p w14:paraId="5C31EFF0" w14:textId="77777777" w:rsidR="00104F86" w:rsidRPr="00C737D4" w:rsidRDefault="00104F86" w:rsidP="00104F86">
            <w:pPr>
              <w:rPr>
                <w:b/>
                <w:bCs/>
                <w:noProof/>
                <w:lang w:val="es-ES_tradnl"/>
              </w:rPr>
            </w:pPr>
            <w:r w:rsidRPr="00C737D4">
              <w:rPr>
                <w:b/>
                <w:noProof/>
                <w:lang w:val="es-ES_tradnl"/>
              </w:rPr>
              <w:lastRenderedPageBreak/>
              <w:drawing>
                <wp:inline distT="0" distB="0" distL="0" distR="0" wp14:anchorId="0C6DD415" wp14:editId="4521843B">
                  <wp:extent cx="1645920" cy="2226694"/>
                  <wp:effectExtent l="19050" t="19050" r="11430" b="21590"/>
                  <wp:docPr id="811714348" name="Picture 2" descr="A person in a blue shir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14348" name="Picture 2" descr="A person in a blue shirt and tie&#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l="747" r="747"/>
                          <a:stretch>
                            <a:fillRect/>
                          </a:stretch>
                        </pic:blipFill>
                        <pic:spPr bwMode="auto">
                          <a:xfrm>
                            <a:off x="0" y="0"/>
                            <a:ext cx="1645920" cy="2226694"/>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02CEB4AA" w14:textId="77777777" w:rsidR="00104F86" w:rsidRPr="00C737D4" w:rsidRDefault="00104F86" w:rsidP="004027BA">
            <w:pPr>
              <w:pStyle w:val="Heading3"/>
              <w:keepNext w:val="0"/>
              <w:spacing w:before="0" w:after="253"/>
              <w:rPr>
                <w:b/>
                <w:sz w:val="24"/>
                <w:szCs w:val="20"/>
                <w:u w:val="none"/>
                <w:lang w:val="es-ES_tradnl"/>
              </w:rPr>
            </w:pPr>
            <w:r w:rsidRPr="00C737D4">
              <w:rPr>
                <w:b/>
                <w:sz w:val="24"/>
                <w:szCs w:val="20"/>
                <w:u w:val="none"/>
                <w:lang w:val="es-ES_tradnl"/>
              </w:rPr>
              <w:t>Péter Mezei</w:t>
            </w:r>
          </w:p>
          <w:p w14:paraId="4EF59581" w14:textId="2CA18952" w:rsidR="00104F86" w:rsidRPr="00C737D4" w:rsidRDefault="00104F86" w:rsidP="00104F86">
            <w:pPr>
              <w:rPr>
                <w:lang w:val="es-ES_tradnl"/>
              </w:rPr>
            </w:pPr>
            <w:r w:rsidRPr="00C737D4">
              <w:rPr>
                <w:lang w:val="es-ES_tradnl"/>
              </w:rPr>
              <w:t xml:space="preserve">Péter Mezei es catedrático de Derecho en la Universidad de Szeged (Hungría). En diciembre de 2014, fue nombrado profesor adjunto honorario (dosentti) en la Facultad de Derecho de la Universidad de Turku (Finlandia). Es investigador jefe en la Universidad Vytautas Magnus (Lituania) y profesor invitado en la Universidad Jean Moulin Lyon III (Francia). Coordina el Máster en Derecho Comparado de la Propiedad Intelectual de la Universidad de Szeged y el Máster en PI conjunto de la Universidad Técnica de Dresde y la Universidad de Szeged en representación de esta última. Sus cursos e investigaciones se centran en el Derecho comparado, así como en el Derecho digital, internacional y europeo de la propiedad intelectual. </w:t>
            </w:r>
          </w:p>
        </w:tc>
      </w:tr>
      <w:tr w:rsidR="00104F86" w:rsidRPr="00C737D4" w14:paraId="7E5445A0" w14:textId="77777777" w:rsidTr="007B219D">
        <w:tc>
          <w:tcPr>
            <w:tcW w:w="9355" w:type="dxa"/>
            <w:gridSpan w:val="2"/>
          </w:tcPr>
          <w:p w14:paraId="364E8BC1" w14:textId="16A49BC2" w:rsidR="00104F86" w:rsidRPr="00C737D4" w:rsidRDefault="00104F86" w:rsidP="00104F86">
            <w:pPr>
              <w:pStyle w:val="Heading3"/>
              <w:keepNext w:val="0"/>
              <w:spacing w:before="0" w:after="600"/>
              <w:rPr>
                <w:u w:val="none"/>
                <w:lang w:val="es-ES_tradnl"/>
              </w:rPr>
            </w:pPr>
            <w:r w:rsidRPr="00C737D4">
              <w:rPr>
                <w:u w:val="none"/>
                <w:lang w:val="es-ES_tradnl"/>
              </w:rPr>
              <w:t xml:space="preserve">Es miembro de la European Copyright Society y Consejo de Expertos en Derecho de Autor de Hungría. Es vicepresidente de Derecho de Autor de la Asociación Húngara de PI. Sus principales artículos en inglés están disponibles a través de SSRN </w:t>
            </w:r>
            <w:r w:rsidRPr="00C737D4">
              <w:rPr>
                <w:color w:val="000000" w:themeColor="text1"/>
                <w:u w:val="none"/>
                <w:lang w:val="es-ES_tradnl"/>
              </w:rPr>
              <w:t xml:space="preserve">en </w:t>
            </w:r>
            <w:hyperlink r:id="rId21" w:history="1">
              <w:r w:rsidRPr="00C737D4">
                <w:rPr>
                  <w:rStyle w:val="Hyperlink"/>
                  <w:color w:val="000000" w:themeColor="text1"/>
                  <w:u w:val="none"/>
                  <w:lang w:val="es-ES_tradnl"/>
                </w:rPr>
                <w:t>https://papers.ssrn.</w:t>
              </w:r>
            </w:hyperlink>
            <w:r w:rsidRPr="00C737D4">
              <w:rPr>
                <w:color w:val="000000" w:themeColor="text1"/>
                <w:u w:val="none"/>
                <w:lang w:val="es-ES_tradnl"/>
              </w:rPr>
              <w:br/>
            </w:r>
            <w:hyperlink r:id="rId22" w:history="1">
              <w:r w:rsidRPr="00C737D4">
                <w:rPr>
                  <w:rStyle w:val="Hyperlink"/>
                  <w:color w:val="000000" w:themeColor="text1"/>
                  <w:u w:val="none"/>
                  <w:lang w:val="es-ES_tradnl"/>
                </w:rPr>
                <w:t>com/sol3/cf_dev/AbsByAuth.cfm?per_id=1697918</w:t>
              </w:r>
            </w:hyperlink>
            <w:r w:rsidRPr="00C737D4">
              <w:rPr>
                <w:color w:val="000000" w:themeColor="text1"/>
                <w:u w:val="none"/>
                <w:lang w:val="es-ES_tradnl"/>
              </w:rPr>
              <w:t xml:space="preserve">. ORCID </w:t>
            </w:r>
            <w:proofErr w:type="spellStart"/>
            <w:r w:rsidRPr="00C737D4">
              <w:rPr>
                <w:color w:val="000000" w:themeColor="text1"/>
                <w:u w:val="none"/>
                <w:lang w:val="es-ES_tradnl"/>
              </w:rPr>
              <w:t>number</w:t>
            </w:r>
            <w:proofErr w:type="spellEnd"/>
            <w:r w:rsidRPr="00C737D4">
              <w:rPr>
                <w:color w:val="000000" w:themeColor="text1"/>
                <w:u w:val="none"/>
                <w:lang w:val="es-ES_tradnl"/>
              </w:rPr>
              <w:t xml:space="preserve">: </w:t>
            </w:r>
            <w:hyperlink r:id="rId23" w:history="1">
              <w:r w:rsidRPr="00C737D4">
                <w:rPr>
                  <w:rStyle w:val="Hyperlink"/>
                  <w:color w:val="000000" w:themeColor="text1"/>
                  <w:u w:val="none"/>
                  <w:lang w:val="es-ES_tradnl"/>
                </w:rPr>
                <w:t>https://orcid.org/0000-0003-4832-2079</w:t>
              </w:r>
            </w:hyperlink>
            <w:r w:rsidRPr="00C737D4">
              <w:rPr>
                <w:color w:val="000000" w:themeColor="text1"/>
                <w:u w:val="none"/>
                <w:lang w:val="es-ES_tradnl"/>
              </w:rPr>
              <w:t>.</w:t>
            </w:r>
          </w:p>
        </w:tc>
      </w:tr>
      <w:tr w:rsidR="00104F86" w:rsidRPr="00C737D4" w14:paraId="18321D8E" w14:textId="77777777" w:rsidTr="007B219D">
        <w:trPr>
          <w:trHeight w:val="3456"/>
        </w:trPr>
        <w:tc>
          <w:tcPr>
            <w:tcW w:w="2916" w:type="dxa"/>
          </w:tcPr>
          <w:p w14:paraId="01FFF527" w14:textId="77777777" w:rsidR="00104F86" w:rsidRPr="00C737D4" w:rsidRDefault="00104F86" w:rsidP="00104F86">
            <w:pPr>
              <w:rPr>
                <w:b/>
                <w:noProof/>
                <w:sz w:val="28"/>
                <w:lang w:val="es-ES_tradnl"/>
              </w:rPr>
            </w:pPr>
            <w:r w:rsidRPr="00C737D4">
              <w:rPr>
                <w:b/>
                <w:noProof/>
                <w:lang w:val="es-ES_tradnl"/>
              </w:rPr>
              <w:drawing>
                <wp:inline distT="0" distB="0" distL="0" distR="0" wp14:anchorId="4EB99B9E" wp14:editId="31DAA20D">
                  <wp:extent cx="1638553" cy="2194560"/>
                  <wp:effectExtent l="19050" t="19050" r="19050" b="15240"/>
                  <wp:docPr id="1934839142" name="Picture 5" descr="A person wearing glasses and a blue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39142" name="Picture 5" descr="A person wearing glasses and a blue jacket&#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l="262" r="262"/>
                          <a:stretch>
                            <a:fillRect/>
                          </a:stretch>
                        </pic:blipFill>
                        <pic:spPr bwMode="auto">
                          <a:xfrm>
                            <a:off x="0" y="0"/>
                            <a:ext cx="1638553"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536C8D8B" w14:textId="77777777" w:rsidR="00104F86" w:rsidRPr="00C737D4" w:rsidRDefault="00104F86" w:rsidP="00104F86">
            <w:pPr>
              <w:pStyle w:val="Heading3"/>
              <w:keepNext w:val="0"/>
              <w:spacing w:before="0" w:after="253"/>
              <w:rPr>
                <w:b/>
                <w:sz w:val="24"/>
                <w:szCs w:val="20"/>
                <w:u w:val="none"/>
                <w:lang w:val="es-ES_tradnl"/>
              </w:rPr>
            </w:pPr>
            <w:r w:rsidRPr="00C737D4">
              <w:rPr>
                <w:b/>
                <w:sz w:val="24"/>
                <w:szCs w:val="20"/>
                <w:u w:val="none"/>
                <w:lang w:val="es-ES_tradnl"/>
              </w:rPr>
              <w:t>Hirohiko Nakahara</w:t>
            </w:r>
          </w:p>
          <w:p w14:paraId="067EE611" w14:textId="32EDB58E" w:rsidR="00104F86" w:rsidRPr="00C737D4" w:rsidRDefault="00104F86" w:rsidP="00104F86">
            <w:pPr>
              <w:spacing w:after="253"/>
              <w:rPr>
                <w:lang w:val="es-ES_tradnl"/>
              </w:rPr>
            </w:pPr>
            <w:r w:rsidRPr="00C737D4">
              <w:rPr>
                <w:lang w:val="es-ES_tradnl"/>
              </w:rPr>
              <w:t>Hirohiko Nakahara es director general de la Oficina Japonesa de Derecho de Autor, Organismo de Asuntos Culturales, Japón desde julio de 2021. En mayo de 2023 asumió la tarea de encabezar el equipo responsable de la modificación de la Ley de Propiedad Intelectual del Japón, así como el debate sobre inteligencia artificial generativa y derecho de autor en el Japón.</w:t>
            </w:r>
          </w:p>
          <w:p w14:paraId="4D4CD91D" w14:textId="2E396ACA" w:rsidR="00104F86" w:rsidRPr="00C737D4" w:rsidRDefault="00104F86" w:rsidP="00104F86">
            <w:pPr>
              <w:spacing w:before="120"/>
              <w:rPr>
                <w:lang w:val="es-ES_tradnl"/>
              </w:rPr>
            </w:pPr>
            <w:r w:rsidRPr="00C737D4">
              <w:rPr>
                <w:lang w:val="es-ES_tradnl"/>
              </w:rPr>
              <w:t xml:space="preserve">El Sr. Nakahara ha dedicado más de 30 años a la propiedad intelectual y a la política económica e industrial, trabajando en el Ministerio de Economía, Comercio e Industria (METI), el Ministerio de Finanzas, el Ministerio de Justicia y la Secretaría del Gabinete. Ha participado en la revisión de varias leyes </w:t>
            </w:r>
          </w:p>
        </w:tc>
      </w:tr>
      <w:tr w:rsidR="00104F86" w:rsidRPr="00C737D4" w14:paraId="49471C7E" w14:textId="77777777" w:rsidTr="007B219D">
        <w:tc>
          <w:tcPr>
            <w:tcW w:w="9355" w:type="dxa"/>
            <w:gridSpan w:val="2"/>
          </w:tcPr>
          <w:p w14:paraId="55A49944" w14:textId="5A79AC98" w:rsidR="00104F86" w:rsidRPr="00C737D4" w:rsidRDefault="00104F86" w:rsidP="007B219D">
            <w:pPr>
              <w:spacing w:after="120"/>
              <w:rPr>
                <w:szCs w:val="22"/>
                <w:lang w:val="es-ES_tradnl"/>
              </w:rPr>
            </w:pPr>
            <w:r w:rsidRPr="00C737D4">
              <w:rPr>
                <w:lang w:val="es-ES_tradnl"/>
              </w:rPr>
              <w:t xml:space="preserve">relacionadas, como la Ley de Sociedades y la Ley de Prevención de la Competencia Desleal, así como en estrategias de expansión del gobierno, como el Plan de Implementación de la Reforma Regulatoria y la Estrategia de Inversión Futura. Ha establecido el sistema experimental de regulación japonés. En 2020 fue seleccionado como una de las 50 personas más influyentes del mundo que revolucionan la gobernanza en la lista «Agile 50», una iniciativa conjunta de </w:t>
            </w:r>
            <w:r w:rsidRPr="00C737D4">
              <w:rPr>
                <w:i/>
                <w:iCs/>
                <w:lang w:val="es-ES_tradnl"/>
              </w:rPr>
              <w:t>Apolitical</w:t>
            </w:r>
            <w:r w:rsidRPr="00C737D4">
              <w:rPr>
                <w:lang w:val="es-ES_tradnl"/>
              </w:rPr>
              <w:t xml:space="preserve"> y el Consejo Mundial Futuro del Foro Económico Mundial sobre Gobernanza Ágil.</w:t>
            </w:r>
          </w:p>
          <w:p w14:paraId="2698A6E3" w14:textId="66273D30" w:rsidR="00104F86" w:rsidRPr="00C737D4" w:rsidRDefault="00104F86" w:rsidP="007B219D">
            <w:pPr>
              <w:pStyle w:val="Heading3"/>
              <w:spacing w:before="0" w:after="480"/>
              <w:rPr>
                <w:b/>
                <w:bCs w:val="0"/>
                <w:caps/>
                <w:u w:val="none"/>
                <w:lang w:val="es-ES_tradnl"/>
              </w:rPr>
            </w:pPr>
            <w:r w:rsidRPr="00C737D4">
              <w:rPr>
                <w:u w:val="none"/>
                <w:lang w:val="es-ES_tradnl"/>
              </w:rPr>
              <w:t>Tras graduarse en la Universidad de Tokio (Licenciado en Derecho) en 1991, se incorporó al Ministerio de Economía, Comercio e Industria. También estudió en la Universidad de Cornell (candidato a doctorado).</w:t>
            </w:r>
          </w:p>
        </w:tc>
      </w:tr>
      <w:tr w:rsidR="00104F86" w:rsidRPr="00C737D4" w14:paraId="20715986" w14:textId="77777777" w:rsidTr="00A83CE3">
        <w:trPr>
          <w:trHeight w:val="3456"/>
        </w:trPr>
        <w:tc>
          <w:tcPr>
            <w:tcW w:w="2916" w:type="dxa"/>
          </w:tcPr>
          <w:p w14:paraId="481CF94C" w14:textId="77777777" w:rsidR="00104F86" w:rsidRPr="00C737D4" w:rsidRDefault="00104F86" w:rsidP="00104F86">
            <w:pPr>
              <w:rPr>
                <w:b/>
                <w:bCs/>
                <w:noProof/>
                <w:lang w:val="es-ES_tradnl"/>
              </w:rPr>
            </w:pPr>
            <w:r w:rsidRPr="00C737D4">
              <w:rPr>
                <w:b/>
                <w:noProof/>
                <w:lang w:val="es-ES_tradnl"/>
              </w:rPr>
              <w:lastRenderedPageBreak/>
              <w:drawing>
                <wp:inline distT="0" distB="0" distL="0" distR="0" wp14:anchorId="5F60B5E6" wp14:editId="607F379F">
                  <wp:extent cx="1637826" cy="2194560"/>
                  <wp:effectExtent l="19050" t="19050" r="19685" b="15240"/>
                  <wp:docPr id="733700517" name="Picture 1"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57793" name="Picture 1" descr="A person in a suit and tie&#10;&#10;AI-generated content may be incorrect."/>
                          <pic:cNvPicPr/>
                        </pic:nvPicPr>
                        <pic:blipFill>
                          <a:blip r:embed="rId25">
                            <a:extLst>
                              <a:ext uri="{28A0092B-C50C-407E-A947-70E740481C1C}">
                                <a14:useLocalDpi xmlns:a14="http://schemas.microsoft.com/office/drawing/2010/main" val="0"/>
                              </a:ext>
                            </a:extLst>
                          </a:blip>
                          <a:srcRect l="14131" r="14131"/>
                          <a:stretch>
                            <a:fillRect/>
                          </a:stretch>
                        </pic:blipFill>
                        <pic:spPr bwMode="auto">
                          <a:xfrm>
                            <a:off x="0" y="0"/>
                            <a:ext cx="1637826"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shd w:val="clear" w:color="auto" w:fill="auto"/>
          </w:tcPr>
          <w:p w14:paraId="1A94A530" w14:textId="4C60420D" w:rsidR="00104F86" w:rsidRPr="00C737D4" w:rsidRDefault="00104F86" w:rsidP="004027BA">
            <w:pPr>
              <w:pStyle w:val="Heading3"/>
              <w:keepNext w:val="0"/>
              <w:spacing w:before="0" w:after="253"/>
              <w:rPr>
                <w:b/>
                <w:sz w:val="24"/>
                <w:szCs w:val="20"/>
                <w:u w:val="none"/>
                <w:lang w:val="es-ES_tradnl"/>
              </w:rPr>
            </w:pPr>
            <w:r w:rsidRPr="00C737D4">
              <w:rPr>
                <w:b/>
                <w:sz w:val="24"/>
                <w:szCs w:val="20"/>
                <w:u w:val="none"/>
                <w:lang w:val="es-ES_tradnl"/>
              </w:rPr>
              <w:t>Fran</w:t>
            </w:r>
            <w:r w:rsidR="007B219D" w:rsidRPr="00C737D4">
              <w:rPr>
                <w:b/>
                <w:sz w:val="24"/>
                <w:szCs w:val="20"/>
                <w:u w:val="none"/>
                <w:lang w:val="es-ES_tradnl"/>
              </w:rPr>
              <w:t>ç</w:t>
            </w:r>
            <w:r w:rsidRPr="00C737D4">
              <w:rPr>
                <w:b/>
                <w:sz w:val="24"/>
                <w:szCs w:val="20"/>
                <w:u w:val="none"/>
                <w:lang w:val="es-ES_tradnl"/>
              </w:rPr>
              <w:t>ois Joseph Nnemete Beyeme</w:t>
            </w:r>
          </w:p>
          <w:p w14:paraId="5391EE57" w14:textId="168E9E70" w:rsidR="00104F86" w:rsidRPr="00C737D4" w:rsidRDefault="00104F86" w:rsidP="007B219D">
            <w:pPr>
              <w:pStyle w:val="Heading3"/>
              <w:spacing w:before="0" w:after="0"/>
              <w:rPr>
                <w:caps/>
                <w:szCs w:val="22"/>
                <w:u w:val="none"/>
                <w:lang w:val="es-ES_tradnl"/>
              </w:rPr>
            </w:pPr>
            <w:r w:rsidRPr="00C737D4">
              <w:rPr>
                <w:u w:val="none"/>
                <w:lang w:val="es-ES_tradnl"/>
              </w:rPr>
              <w:t>Fran</w:t>
            </w:r>
            <w:r w:rsidR="007B219D" w:rsidRPr="00C737D4">
              <w:rPr>
                <w:u w:val="none"/>
                <w:lang w:val="es-ES_tradnl"/>
              </w:rPr>
              <w:t>ç</w:t>
            </w:r>
            <w:r w:rsidRPr="00C737D4">
              <w:rPr>
                <w:u w:val="none"/>
                <w:lang w:val="es-ES_tradnl"/>
              </w:rPr>
              <w:t xml:space="preserve">ois Joseph </w:t>
            </w:r>
            <w:proofErr w:type="spellStart"/>
            <w:r w:rsidRPr="00C737D4">
              <w:rPr>
                <w:u w:val="none"/>
                <w:lang w:val="es-ES_tradnl"/>
              </w:rPr>
              <w:t>Nnemete</w:t>
            </w:r>
            <w:proofErr w:type="spellEnd"/>
            <w:r w:rsidRPr="00C737D4">
              <w:rPr>
                <w:u w:val="none"/>
                <w:lang w:val="es-ES_tradnl"/>
              </w:rPr>
              <w:t xml:space="preserve"> </w:t>
            </w:r>
            <w:proofErr w:type="spellStart"/>
            <w:r w:rsidRPr="00C737D4">
              <w:rPr>
                <w:u w:val="none"/>
                <w:lang w:val="es-ES_tradnl"/>
              </w:rPr>
              <w:t>Beyeme</w:t>
            </w:r>
            <w:proofErr w:type="spellEnd"/>
            <w:r w:rsidRPr="00C737D4">
              <w:rPr>
                <w:u w:val="none"/>
                <w:lang w:val="es-ES_tradnl"/>
              </w:rPr>
              <w:t xml:space="preserve"> es experto en política y regulación de telecomunicaciones. Actualmente es director de Telecomunicaciones y Regulación de las TIC en el Ministerio de Correos y Telecomunicaciones del Camerún. Con una sólida formación académica y experiencia internacional, tiene un máster profesional en Economía por la Universidad de Rennes 1 (Francia), así como un máster profesional en Gestión de Telecomunicaciones en la Era de la Convergencia por la UK Telecommunications Academy. El Sr. Nnemete Beyeme también ha obtenido certificación de varias instituciones internacionales, como el United States Telecommunications Training Institute (USTTI), la American University Washington</w:t>
            </w:r>
          </w:p>
        </w:tc>
      </w:tr>
      <w:tr w:rsidR="00104F86" w:rsidRPr="00C737D4" w14:paraId="62315B45" w14:textId="77777777" w:rsidTr="00A83CE3">
        <w:tc>
          <w:tcPr>
            <w:tcW w:w="9355" w:type="dxa"/>
            <w:gridSpan w:val="2"/>
            <w:shd w:val="clear" w:color="auto" w:fill="auto"/>
          </w:tcPr>
          <w:p w14:paraId="37841BF5" w14:textId="4D0D41D6" w:rsidR="00104F86" w:rsidRPr="00C737D4" w:rsidRDefault="00104F86" w:rsidP="001514EB">
            <w:pPr>
              <w:pStyle w:val="Heading3"/>
              <w:keepNext w:val="0"/>
              <w:spacing w:before="60" w:after="480"/>
              <w:rPr>
                <w:caps/>
                <w:szCs w:val="22"/>
                <w:u w:val="none"/>
                <w:lang w:val="es-ES_tradnl"/>
              </w:rPr>
            </w:pPr>
            <w:proofErr w:type="spellStart"/>
            <w:r w:rsidRPr="00C737D4">
              <w:rPr>
                <w:u w:val="none"/>
                <w:lang w:val="es-ES_tradnl"/>
              </w:rPr>
              <w:t>College</w:t>
            </w:r>
            <w:proofErr w:type="spellEnd"/>
            <w:r w:rsidRPr="00C737D4">
              <w:rPr>
                <w:u w:val="none"/>
                <w:lang w:val="es-ES_tradnl"/>
              </w:rPr>
              <w:t xml:space="preserve"> of Law (AUWCL) y la Fletcher School de la Tufts University. Estas calificaciones abarcan áreas clave como la política reguladora de las telecomunicaciones, la moneda digital y la tecnología 5G. Tiene experiencia en políticas y regulación de telecomunicaciones y TIC, apoyo a la transformación digital de organizaciones y promoción del espíritu empresarial digital de los jóvenes. Además de su función en el sector público, es consultor especializado en empresas y gestión, con competencia demostrada en ingeniería, planificación estratégica, optimización del rendimiento y desarrollo de marcos políticos y normativos.</w:t>
            </w:r>
          </w:p>
        </w:tc>
      </w:tr>
      <w:tr w:rsidR="00104F86" w:rsidRPr="00C737D4" w14:paraId="3AE02489" w14:textId="77777777" w:rsidTr="007B219D">
        <w:trPr>
          <w:trHeight w:val="3456"/>
        </w:trPr>
        <w:tc>
          <w:tcPr>
            <w:tcW w:w="2916" w:type="dxa"/>
          </w:tcPr>
          <w:p w14:paraId="1A875B08" w14:textId="4973DF5D" w:rsidR="00104F86" w:rsidRPr="00C737D4" w:rsidRDefault="00104F86" w:rsidP="00104F86">
            <w:pPr>
              <w:spacing w:after="480"/>
              <w:rPr>
                <w:b/>
                <w:bCs/>
                <w:noProof/>
                <w:lang w:val="es-ES_tradnl"/>
              </w:rPr>
            </w:pPr>
            <w:r w:rsidRPr="00C737D4">
              <w:rPr>
                <w:b/>
                <w:noProof/>
                <w:lang w:val="es-ES_tradnl"/>
              </w:rPr>
              <w:drawing>
                <wp:inline distT="0" distB="0" distL="0" distR="0" wp14:anchorId="58F20F8C" wp14:editId="547AC64C">
                  <wp:extent cx="1637826" cy="2194560"/>
                  <wp:effectExtent l="19050" t="19050" r="19685" b="15240"/>
                  <wp:docPr id="2048054944" name="Picture 1" descr="A person with long hair smiling and holding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54944" name="Picture 1" descr="A person with long hair smiling and holding a microphone&#10;&#10;AI-generated content may be incorrect."/>
                          <pic:cNvPicPr/>
                        </pic:nvPicPr>
                        <pic:blipFill>
                          <a:blip r:embed="rId26" cstate="print">
                            <a:extLst>
                              <a:ext uri="{28A0092B-C50C-407E-A947-70E740481C1C}">
                                <a14:useLocalDpi xmlns:a14="http://schemas.microsoft.com/office/drawing/2010/main" val="0"/>
                              </a:ext>
                            </a:extLst>
                          </a:blip>
                          <a:srcRect l="202" r="202"/>
                          <a:stretch>
                            <a:fillRect/>
                          </a:stretch>
                        </pic:blipFill>
                        <pic:spPr bwMode="auto">
                          <a:xfrm>
                            <a:off x="0" y="0"/>
                            <a:ext cx="1637826"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55BC0A23" w14:textId="77777777" w:rsidR="00104F86" w:rsidRPr="00C737D4" w:rsidRDefault="00104F86" w:rsidP="004027BA">
            <w:pPr>
              <w:pStyle w:val="Heading3"/>
              <w:keepNext w:val="0"/>
              <w:spacing w:before="0" w:after="253"/>
              <w:rPr>
                <w:b/>
                <w:sz w:val="24"/>
                <w:szCs w:val="20"/>
                <w:u w:val="none"/>
                <w:lang w:val="es-ES_tradnl"/>
              </w:rPr>
            </w:pPr>
            <w:r w:rsidRPr="00C737D4">
              <w:rPr>
                <w:b/>
                <w:sz w:val="24"/>
                <w:szCs w:val="20"/>
                <w:u w:val="none"/>
                <w:lang w:val="es-ES_tradnl"/>
              </w:rPr>
              <w:t>Thibault Roucou</w:t>
            </w:r>
          </w:p>
          <w:p w14:paraId="29DDBE74" w14:textId="476C09B7" w:rsidR="00104F86" w:rsidRPr="00C737D4" w:rsidRDefault="00104F86" w:rsidP="007B219D">
            <w:pPr>
              <w:pStyle w:val="Heading3"/>
              <w:spacing w:before="0"/>
              <w:rPr>
                <w:u w:val="none"/>
                <w:lang w:val="es-ES_tradnl"/>
              </w:rPr>
            </w:pPr>
            <w:r w:rsidRPr="00C737D4">
              <w:rPr>
                <w:u w:val="none"/>
                <w:lang w:val="es-ES_tradnl"/>
              </w:rPr>
              <w:t>Thibault Roucou es director de Informes y Regalías de Deezer. Como tal, dirige la gestión y la mejora continua de los canales de distribución de regalías de la empresa, asegurándose de que los titulares de derechos de todo el mundo, desde artistas y productores hasta editores, sean debidamente retribuidos. Thibault fue contratado en 2013 como ingeniero de datos, y se le encomendó la tarea de crear el software interno de cálculo de regalías de la empresa. En su trayectoria en Deezer, Thibault ha demostrado sus conocimientos técnicos y su compromiso de apoyar la economía creativa.</w:t>
            </w:r>
          </w:p>
        </w:tc>
      </w:tr>
      <w:tr w:rsidR="004027BA" w:rsidRPr="00C737D4" w14:paraId="4FA4EEE3" w14:textId="77777777" w:rsidTr="004027BA">
        <w:tc>
          <w:tcPr>
            <w:tcW w:w="2916" w:type="dxa"/>
          </w:tcPr>
          <w:p w14:paraId="12345011" w14:textId="4ED31FDA" w:rsidR="004027BA" w:rsidRPr="00C737D4" w:rsidRDefault="004027BA" w:rsidP="004027BA">
            <w:pPr>
              <w:rPr>
                <w:b/>
                <w:noProof/>
                <w:lang w:val="es-ES_tradnl"/>
              </w:rPr>
            </w:pPr>
            <w:r w:rsidRPr="00C737D4">
              <w:rPr>
                <w:b/>
                <w:bCs/>
                <w:noProof/>
                <w:lang w:val="es-ES_tradnl"/>
              </w:rPr>
              <w:drawing>
                <wp:inline distT="0" distB="0" distL="0" distR="0" wp14:anchorId="1479C21E" wp14:editId="1B4840A4">
                  <wp:extent cx="1619885" cy="2159635"/>
                  <wp:effectExtent l="19050" t="19050" r="18415" b="12065"/>
                  <wp:docPr id="1038459875" name="Picture 1" descr="A person in a suit and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59875" name="Picture 1" descr="A person in a suit and glasse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2159635"/>
                          </a:xfrm>
                          <a:prstGeom prst="roundRect">
                            <a:avLst>
                              <a:gd name="adj" fmla="val 8594"/>
                            </a:avLst>
                          </a:prstGeom>
                          <a:solidFill>
                            <a:srgbClr val="FFFFFF">
                              <a:shade val="85000"/>
                            </a:srgbClr>
                          </a:solidFill>
                          <a:ln w="3175">
                            <a:solidFill>
                              <a:schemeClr val="tx1"/>
                            </a:solidFill>
                          </a:ln>
                          <a:effectLst/>
                        </pic:spPr>
                      </pic:pic>
                    </a:graphicData>
                  </a:graphic>
                </wp:inline>
              </w:drawing>
            </w:r>
          </w:p>
        </w:tc>
        <w:tc>
          <w:tcPr>
            <w:tcW w:w="6439" w:type="dxa"/>
          </w:tcPr>
          <w:p w14:paraId="675F4AFC" w14:textId="77777777" w:rsidR="004027BA" w:rsidRPr="00C737D4" w:rsidRDefault="004027BA" w:rsidP="004027BA">
            <w:pPr>
              <w:spacing w:after="253"/>
              <w:rPr>
                <w:b/>
                <w:sz w:val="24"/>
                <w:lang w:val="es-ES_tradnl"/>
              </w:rPr>
            </w:pPr>
            <w:proofErr w:type="spellStart"/>
            <w:r w:rsidRPr="00C737D4">
              <w:rPr>
                <w:b/>
                <w:sz w:val="24"/>
                <w:lang w:val="es-ES_tradnl"/>
              </w:rPr>
              <w:t>Abhishek</w:t>
            </w:r>
            <w:proofErr w:type="spellEnd"/>
            <w:r w:rsidRPr="00C737D4">
              <w:rPr>
                <w:b/>
                <w:sz w:val="24"/>
                <w:lang w:val="es-ES_tradnl"/>
              </w:rPr>
              <w:t xml:space="preserve"> Singh</w:t>
            </w:r>
          </w:p>
          <w:p w14:paraId="7BF06022" w14:textId="69943148" w:rsidR="004027BA" w:rsidRPr="00C737D4" w:rsidRDefault="004027BA" w:rsidP="004027BA">
            <w:pPr>
              <w:pStyle w:val="Heading3"/>
              <w:keepNext w:val="0"/>
              <w:spacing w:before="0" w:after="0"/>
              <w:rPr>
                <w:b/>
                <w:sz w:val="24"/>
                <w:szCs w:val="20"/>
                <w:u w:val="none"/>
                <w:lang w:val="es-ES_tradnl"/>
              </w:rPr>
            </w:pPr>
            <w:proofErr w:type="spellStart"/>
            <w:r w:rsidRPr="00C737D4">
              <w:rPr>
                <w:szCs w:val="22"/>
                <w:u w:val="none"/>
                <w:lang w:val="es-ES_tradnl"/>
              </w:rPr>
              <w:t>Abhishek</w:t>
            </w:r>
            <w:proofErr w:type="spellEnd"/>
            <w:r w:rsidRPr="00C737D4">
              <w:rPr>
                <w:szCs w:val="22"/>
                <w:u w:val="none"/>
                <w:lang w:val="es-ES_tradnl"/>
              </w:rPr>
              <w:t xml:space="preserve"> Singh es un funcionario de carrera con 30 años de experiencia en gobernanza y formulación de políticas, especializado en el uso de la tecnología para mejorar la gobernanza. Actualmente ocupa el cargo de secretario adjunto del Ministerio de Electrónica y Tecnología de la Información (</w:t>
            </w:r>
            <w:proofErr w:type="spellStart"/>
            <w:r w:rsidRPr="00C737D4">
              <w:rPr>
                <w:szCs w:val="22"/>
                <w:u w:val="none"/>
                <w:lang w:val="es-ES_tradnl"/>
              </w:rPr>
              <w:t>MeitY</w:t>
            </w:r>
            <w:proofErr w:type="spellEnd"/>
            <w:r w:rsidRPr="00C737D4">
              <w:rPr>
                <w:szCs w:val="22"/>
                <w:u w:val="none"/>
                <w:lang w:val="es-ES_tradnl"/>
              </w:rPr>
              <w:t>) del Gobierno de la India, con responsabilidades en inteligencia artificial y tecnologías emergentes; I+D en electrónica y TI; y convergencia, comunicaciones y tecnologías de banda ancha. Anteriormente, fue director general del Programa Nacional de Desarrollo de Capacidades de la Administración Pública (</w:t>
            </w:r>
            <w:proofErr w:type="spellStart"/>
            <w:r w:rsidRPr="00C737D4">
              <w:rPr>
                <w:szCs w:val="22"/>
                <w:u w:val="none"/>
                <w:lang w:val="es-ES_tradnl"/>
              </w:rPr>
              <w:t>Karmayogi</w:t>
            </w:r>
            <w:proofErr w:type="spellEnd"/>
            <w:r w:rsidRPr="00C737D4">
              <w:rPr>
                <w:szCs w:val="22"/>
                <w:u w:val="none"/>
                <w:lang w:val="es-ES_tradnl"/>
              </w:rPr>
              <w:t xml:space="preserve"> </w:t>
            </w:r>
            <w:proofErr w:type="spellStart"/>
            <w:r w:rsidRPr="00C737D4">
              <w:rPr>
                <w:szCs w:val="22"/>
                <w:u w:val="none"/>
                <w:lang w:val="es-ES_tradnl"/>
              </w:rPr>
              <w:t>Bharat</w:t>
            </w:r>
            <w:proofErr w:type="spellEnd"/>
            <w:r w:rsidRPr="00C737D4">
              <w:rPr>
                <w:szCs w:val="22"/>
                <w:u w:val="none"/>
                <w:lang w:val="es-ES_tradnl"/>
              </w:rPr>
              <w:t xml:space="preserve">) del Departamento de Personal y Formación y, en el </w:t>
            </w:r>
            <w:proofErr w:type="spellStart"/>
            <w:r w:rsidRPr="00C737D4">
              <w:rPr>
                <w:szCs w:val="22"/>
                <w:u w:val="none"/>
                <w:lang w:val="es-ES_tradnl"/>
              </w:rPr>
              <w:t>MeitY</w:t>
            </w:r>
            <w:proofErr w:type="spellEnd"/>
            <w:r w:rsidRPr="00C737D4">
              <w:rPr>
                <w:szCs w:val="22"/>
                <w:u w:val="none"/>
                <w:lang w:val="es-ES_tradnl"/>
              </w:rPr>
              <w:t xml:space="preserve">, fue director general de </w:t>
            </w:r>
          </w:p>
        </w:tc>
      </w:tr>
      <w:tr w:rsidR="007B219D" w:rsidRPr="00C737D4" w14:paraId="6A57CD11" w14:textId="77777777" w:rsidTr="004027BA">
        <w:tc>
          <w:tcPr>
            <w:tcW w:w="9355" w:type="dxa"/>
            <w:gridSpan w:val="2"/>
          </w:tcPr>
          <w:p w14:paraId="625B79AD" w14:textId="75337663" w:rsidR="007B219D" w:rsidRPr="00C737D4" w:rsidRDefault="004027BA" w:rsidP="004027BA">
            <w:pPr>
              <w:pStyle w:val="Heading3"/>
              <w:keepNext w:val="0"/>
              <w:spacing w:before="0" w:after="480"/>
              <w:ind w:left="-45"/>
              <w:rPr>
                <w:b/>
                <w:sz w:val="24"/>
                <w:szCs w:val="20"/>
                <w:u w:val="none"/>
                <w:lang w:val="es-ES_tradnl"/>
              </w:rPr>
            </w:pPr>
            <w:r w:rsidRPr="00C737D4">
              <w:rPr>
                <w:szCs w:val="22"/>
                <w:u w:val="none"/>
                <w:lang w:val="es-ES_tradnl"/>
              </w:rPr>
              <w:lastRenderedPageBreak/>
              <w:t xml:space="preserve">la División Nacional de Gobernanza Electrónica, la Digital India </w:t>
            </w:r>
            <w:proofErr w:type="spellStart"/>
            <w:r w:rsidRPr="00C737D4">
              <w:rPr>
                <w:szCs w:val="22"/>
                <w:u w:val="none"/>
                <w:lang w:val="es-ES_tradnl"/>
              </w:rPr>
              <w:t>Corporation</w:t>
            </w:r>
            <w:proofErr w:type="spellEnd"/>
            <w:r w:rsidRPr="00C737D4">
              <w:rPr>
                <w:szCs w:val="22"/>
                <w:u w:val="none"/>
                <w:lang w:val="es-ES_tradnl"/>
              </w:rPr>
              <w:t xml:space="preserve"> y la plataforma </w:t>
            </w:r>
            <w:proofErr w:type="spellStart"/>
            <w:r w:rsidRPr="00C737D4">
              <w:rPr>
                <w:szCs w:val="22"/>
                <w:u w:val="none"/>
                <w:lang w:val="es-ES_tradnl"/>
              </w:rPr>
              <w:t>MyGov</w:t>
            </w:r>
            <w:proofErr w:type="spellEnd"/>
            <w:r w:rsidRPr="00C737D4">
              <w:rPr>
                <w:szCs w:val="22"/>
                <w:u w:val="none"/>
                <w:lang w:val="es-ES_tradnl"/>
              </w:rPr>
              <w:t>. Ha completado un máster</w:t>
            </w:r>
            <w:r w:rsidR="007B219D" w:rsidRPr="00C737D4">
              <w:rPr>
                <w:szCs w:val="22"/>
                <w:u w:val="none"/>
                <w:lang w:val="es-ES_tradnl"/>
              </w:rPr>
              <w:t xml:space="preserve"> </w:t>
            </w:r>
            <w:r w:rsidRPr="00C737D4">
              <w:rPr>
                <w:szCs w:val="22"/>
                <w:u w:val="none"/>
                <w:lang w:val="es-ES_tradnl"/>
              </w:rPr>
              <w:t xml:space="preserve">en administración pública en la Harvard Kennedy </w:t>
            </w:r>
            <w:proofErr w:type="spellStart"/>
            <w:r w:rsidRPr="00C737D4">
              <w:rPr>
                <w:szCs w:val="22"/>
                <w:u w:val="none"/>
                <w:lang w:val="es-ES_tradnl"/>
              </w:rPr>
              <w:t>School</w:t>
            </w:r>
            <w:proofErr w:type="spellEnd"/>
            <w:r w:rsidRPr="00C737D4">
              <w:rPr>
                <w:szCs w:val="22"/>
                <w:u w:val="none"/>
                <w:lang w:val="es-ES_tradnl"/>
              </w:rPr>
              <w:t xml:space="preserve"> of </w:t>
            </w:r>
            <w:proofErr w:type="spellStart"/>
            <w:r w:rsidRPr="00C737D4">
              <w:rPr>
                <w:szCs w:val="22"/>
                <w:u w:val="none"/>
                <w:lang w:val="es-ES_tradnl"/>
              </w:rPr>
              <w:t>Government</w:t>
            </w:r>
            <w:proofErr w:type="spellEnd"/>
            <w:r w:rsidRPr="00C737D4">
              <w:rPr>
                <w:szCs w:val="22"/>
                <w:u w:val="none"/>
                <w:lang w:val="es-ES_tradnl"/>
              </w:rPr>
              <w:t xml:space="preserve"> y es exalumno del IIT Kanpur.</w:t>
            </w:r>
          </w:p>
        </w:tc>
      </w:tr>
      <w:tr w:rsidR="007B219D" w:rsidRPr="00C737D4" w14:paraId="3C480869" w14:textId="77777777" w:rsidTr="007B219D">
        <w:trPr>
          <w:trHeight w:val="3456"/>
        </w:trPr>
        <w:tc>
          <w:tcPr>
            <w:tcW w:w="2916" w:type="dxa"/>
          </w:tcPr>
          <w:p w14:paraId="3C1788AA" w14:textId="35EB7B5D" w:rsidR="007B219D" w:rsidRPr="00C737D4" w:rsidRDefault="007B219D" w:rsidP="009459C5">
            <w:pPr>
              <w:spacing w:after="480"/>
              <w:rPr>
                <w:b/>
                <w:bCs/>
                <w:noProof/>
                <w:lang w:val="es-ES_tradnl"/>
              </w:rPr>
            </w:pPr>
            <w:r w:rsidRPr="00C737D4">
              <w:rPr>
                <w:b/>
                <w:bCs/>
                <w:noProof/>
                <w:lang w:val="es-ES_tradnl"/>
              </w:rPr>
              <w:drawing>
                <wp:inline distT="0" distB="0" distL="0" distR="0" wp14:anchorId="327769D4" wp14:editId="2A23C102">
                  <wp:extent cx="1620000" cy="2160000"/>
                  <wp:effectExtent l="19050" t="19050" r="18415" b="12065"/>
                  <wp:docPr id="1269723728" name="Picture 1" descr="A person with short hair wearing a black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23728" name="Picture 1" descr="A person with short hair wearing a black jacket&#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0000" cy="2160000"/>
                          </a:xfrm>
                          <a:prstGeom prst="roundRect">
                            <a:avLst>
                              <a:gd name="adj" fmla="val 8594"/>
                            </a:avLst>
                          </a:prstGeom>
                          <a:solidFill>
                            <a:srgbClr val="FFFFFF">
                              <a:shade val="85000"/>
                            </a:srgbClr>
                          </a:solidFill>
                          <a:ln w="3175">
                            <a:solidFill>
                              <a:schemeClr val="tx1"/>
                            </a:solidFill>
                          </a:ln>
                          <a:effectLst/>
                        </pic:spPr>
                      </pic:pic>
                    </a:graphicData>
                  </a:graphic>
                </wp:inline>
              </w:drawing>
            </w:r>
          </w:p>
        </w:tc>
        <w:tc>
          <w:tcPr>
            <w:tcW w:w="6439" w:type="dxa"/>
          </w:tcPr>
          <w:p w14:paraId="6DE2C02A" w14:textId="2F5A6EF7" w:rsidR="007B219D" w:rsidRPr="004027BA" w:rsidRDefault="007B219D" w:rsidP="004027BA">
            <w:pPr>
              <w:pStyle w:val="Heading3"/>
              <w:keepNext w:val="0"/>
              <w:spacing w:before="0" w:after="253"/>
              <w:rPr>
                <w:b/>
                <w:sz w:val="24"/>
                <w:szCs w:val="20"/>
                <w:u w:val="none"/>
                <w:lang w:val="es-ES_tradnl"/>
              </w:rPr>
            </w:pPr>
            <w:r w:rsidRPr="004027BA">
              <w:rPr>
                <w:b/>
                <w:sz w:val="24"/>
                <w:szCs w:val="20"/>
                <w:u w:val="none"/>
                <w:lang w:val="es-ES_tradnl"/>
              </w:rPr>
              <w:t>Anastasia Stasenko</w:t>
            </w:r>
          </w:p>
          <w:p w14:paraId="2EF3065E" w14:textId="14EC7A0F" w:rsidR="007B219D" w:rsidRPr="00C737D4" w:rsidRDefault="00A83CE3" w:rsidP="00A83CE3">
            <w:pPr>
              <w:rPr>
                <w:lang w:val="es-ES_tradnl"/>
              </w:rPr>
            </w:pPr>
            <w:r w:rsidRPr="00C737D4">
              <w:rPr>
                <w:lang w:val="es-ES_tradnl"/>
              </w:rPr>
              <w:t>La Dra. Anastasia Stasenko es cofundadora de la empresa francesa Pleias. La misión de Pleias es diseñar modelos lingüísticos (LLM) de eficiencia energética para sectores que hacen un uso intensivo de la información y muy reglamentados, utilizando exclusivamente contenido con arreglo a licencias autorizadas para el entrenamiento. Entre sus proyectos recientes está el desarrollo de Albert, el primer modelo generativo de IA que ayuda a los funcionarios franceses a responder a las consultas de los ciudadanos, en colaboración con Étalab. Además de su función en Pleias, es profesora asociada en la Sorbonne-Nouvelle en Análisis de Datos y Comunicaciones Digitales.</w:t>
            </w:r>
          </w:p>
        </w:tc>
      </w:tr>
      <w:tr w:rsidR="00104F86" w:rsidRPr="00C737D4" w14:paraId="03EB89AE" w14:textId="77777777" w:rsidTr="007B219D">
        <w:trPr>
          <w:trHeight w:val="3456"/>
        </w:trPr>
        <w:tc>
          <w:tcPr>
            <w:tcW w:w="2916" w:type="dxa"/>
          </w:tcPr>
          <w:p w14:paraId="43E65EAE" w14:textId="77777777" w:rsidR="00104F86" w:rsidRPr="00C737D4" w:rsidRDefault="00104F86" w:rsidP="00104F86">
            <w:pPr>
              <w:rPr>
                <w:b/>
                <w:bCs/>
                <w:noProof/>
                <w:lang w:val="es-ES_tradnl"/>
              </w:rPr>
            </w:pPr>
            <w:r w:rsidRPr="00C737D4">
              <w:rPr>
                <w:b/>
                <w:noProof/>
                <w:lang w:val="es-ES_tradnl"/>
              </w:rPr>
              <w:drawing>
                <wp:inline distT="0" distB="0" distL="0" distR="0" wp14:anchorId="389FE8FA" wp14:editId="0DEB358A">
                  <wp:extent cx="1637826" cy="2194560"/>
                  <wp:effectExtent l="19050" t="19050" r="19685" b="15240"/>
                  <wp:docPr id="283912490" name="Picture 1" descr="A person wearing glasses and a blue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12490" name="Picture 1" descr="A person wearing glasses and a blue suit&#10;&#10;AI-generated content may be incorrect."/>
                          <pic:cNvPicPr/>
                        </pic:nvPicPr>
                        <pic:blipFill>
                          <a:blip r:embed="rId29">
                            <a:extLst>
                              <a:ext uri="{28A0092B-C50C-407E-A947-70E740481C1C}">
                                <a14:useLocalDpi xmlns:a14="http://schemas.microsoft.com/office/drawing/2010/main" val="0"/>
                              </a:ext>
                            </a:extLst>
                          </a:blip>
                          <a:srcRect l="325" r="325"/>
                          <a:stretch>
                            <a:fillRect/>
                          </a:stretch>
                        </pic:blipFill>
                        <pic:spPr bwMode="auto">
                          <a:xfrm>
                            <a:off x="0" y="0"/>
                            <a:ext cx="1637826" cy="2194560"/>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tc>
        <w:tc>
          <w:tcPr>
            <w:tcW w:w="6439" w:type="dxa"/>
          </w:tcPr>
          <w:p w14:paraId="77CB1AEA" w14:textId="77777777" w:rsidR="00104F86" w:rsidRPr="00C737D4" w:rsidRDefault="00104F86" w:rsidP="00104F86">
            <w:pPr>
              <w:pStyle w:val="Heading3"/>
              <w:keepNext w:val="0"/>
              <w:spacing w:before="0" w:after="253"/>
              <w:rPr>
                <w:b/>
                <w:sz w:val="24"/>
                <w:szCs w:val="20"/>
                <w:u w:val="none"/>
                <w:lang w:val="es-ES_tradnl"/>
              </w:rPr>
            </w:pPr>
            <w:r w:rsidRPr="00C737D4">
              <w:rPr>
                <w:b/>
                <w:sz w:val="24"/>
                <w:szCs w:val="20"/>
                <w:u w:val="none"/>
                <w:lang w:val="es-ES_tradnl"/>
              </w:rPr>
              <w:t>Wang Qian</w:t>
            </w:r>
          </w:p>
          <w:p w14:paraId="45D47DD1" w14:textId="796BBC50" w:rsidR="00104F86" w:rsidRPr="00C737D4" w:rsidRDefault="00104F86" w:rsidP="00104F86">
            <w:pPr>
              <w:pStyle w:val="Heading3"/>
              <w:spacing w:after="0"/>
              <w:rPr>
                <w:caps/>
                <w:szCs w:val="22"/>
                <w:lang w:val="es-ES_tradnl"/>
              </w:rPr>
            </w:pPr>
            <w:r w:rsidRPr="00C737D4">
              <w:rPr>
                <w:u w:val="none"/>
                <w:lang w:val="es-ES_tradnl"/>
              </w:rPr>
              <w:t xml:space="preserve">Wang Qian es catedrático de Derecho y vicepresidente de la Comisión Académica de la East China University of Political Science and Law. También es vicepresidente de la Asociación China de Derecho de Autor. Obtuvo su máster en Derecho por la Universidad de Toronto (Canadá) y su doctorado por la Universidad de Pekín. Es autor del libro </w:t>
            </w:r>
            <w:r w:rsidRPr="00C737D4">
              <w:rPr>
                <w:i/>
                <w:iCs/>
                <w:u w:val="none"/>
                <w:lang w:val="es-ES_tradnl"/>
              </w:rPr>
              <w:t>Study on Exclusive Rights of Copyright in the Network Environment, Protection and Regulation of Technological Measures in the Copyright Law, y Copyright Protection on the Internet</w:t>
            </w:r>
            <w:r w:rsidRPr="00C737D4">
              <w:rPr>
                <w:u w:val="none"/>
                <w:lang w:val="es-ES_tradnl"/>
              </w:rPr>
              <w:t xml:space="preserve">. Su libro </w:t>
            </w:r>
            <w:r w:rsidRPr="00C737D4">
              <w:rPr>
                <w:i/>
                <w:iCs/>
                <w:u w:val="none"/>
                <w:lang w:val="es-ES_tradnl"/>
              </w:rPr>
              <w:t>Intellectual Property Law Course</w:t>
            </w:r>
            <w:r w:rsidRPr="00C737D4">
              <w:rPr>
                <w:u w:val="none"/>
                <w:lang w:val="es-ES_tradnl"/>
              </w:rPr>
              <w:t xml:space="preserve"> (1-8 ediciones) es uno de los libros de texto sobre PI más conocidos en China. El Sr. Wang es asesor</w:t>
            </w:r>
            <w:r w:rsidRPr="00C737D4">
              <w:rPr>
                <w:lang w:val="es-ES_tradnl"/>
              </w:rPr>
              <w:t xml:space="preserve"> </w:t>
            </w:r>
            <w:r w:rsidRPr="00C737D4">
              <w:rPr>
                <w:u w:val="none"/>
                <w:lang w:val="es-ES_tradnl"/>
              </w:rPr>
              <w:t>experto en numerosos tribunales y fiscalías, entre ellos</w:t>
            </w:r>
            <w:r w:rsidRPr="00C737D4">
              <w:rPr>
                <w:lang w:val="es-ES_tradnl"/>
              </w:rPr>
              <w:t xml:space="preserve"> </w:t>
            </w:r>
          </w:p>
        </w:tc>
      </w:tr>
      <w:tr w:rsidR="00104F86" w:rsidRPr="00C737D4" w14:paraId="6827D6F2" w14:textId="77777777" w:rsidTr="007B219D">
        <w:tc>
          <w:tcPr>
            <w:tcW w:w="9355" w:type="dxa"/>
            <w:gridSpan w:val="2"/>
          </w:tcPr>
          <w:p w14:paraId="7E0D8803" w14:textId="4CFBA538" w:rsidR="00104F86" w:rsidRPr="00C737D4" w:rsidRDefault="00104F86" w:rsidP="004027BA">
            <w:pPr>
              <w:rPr>
                <w:b/>
                <w:bCs/>
                <w:caps/>
                <w:szCs w:val="24"/>
                <w:lang w:val="es-ES_tradnl"/>
              </w:rPr>
            </w:pPr>
            <w:r w:rsidRPr="00C737D4">
              <w:rPr>
                <w:lang w:val="es-ES_tradnl"/>
              </w:rPr>
              <w:t>el Tribunal Popular Superior de Beijing, la Fiscalía Popular de Shanghái y el Tribunal de Propiedad Intelectual de Shanghái. Participó en la redacción del Reglamento sobre la protección de los derechos de transmisión de redes de información y es miembro de la Comisión de Expertos para la tercera revisión de la Ley de Propiedad Intelectual. Fue distinguido como uno de los diez mejores jóvenes juristas en la novena edición de los Premios Nacionales.</w:t>
            </w:r>
          </w:p>
        </w:tc>
      </w:tr>
    </w:tbl>
    <w:p w14:paraId="318796DF" w14:textId="43229468" w:rsidR="00152CEA" w:rsidRPr="00C737D4" w:rsidRDefault="004462F0" w:rsidP="004027BA">
      <w:pPr>
        <w:pStyle w:val="Endofdocument-Annex"/>
        <w:spacing w:before="1012"/>
        <w:rPr>
          <w:lang w:val="es-ES_tradnl"/>
        </w:rPr>
      </w:pPr>
      <w:r w:rsidRPr="00C737D4">
        <w:rPr>
          <w:lang w:val="es-ES_tradnl"/>
        </w:rPr>
        <w:t>[Fin del documento]</w:t>
      </w:r>
    </w:p>
    <w:sectPr w:rsidR="00152CEA" w:rsidRPr="00C737D4" w:rsidSect="004462F0">
      <w:headerReference w:type="default" r:id="rId30"/>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2F97B" w14:textId="77777777" w:rsidR="004462F0" w:rsidRDefault="004462F0">
      <w:r>
        <w:separator/>
      </w:r>
    </w:p>
  </w:endnote>
  <w:endnote w:type="continuationSeparator" w:id="0">
    <w:p w14:paraId="62B947CB" w14:textId="77777777" w:rsidR="004462F0" w:rsidRPr="009D30E6" w:rsidRDefault="004462F0" w:rsidP="007E663E">
      <w:pPr>
        <w:rPr>
          <w:sz w:val="17"/>
          <w:szCs w:val="17"/>
        </w:rPr>
      </w:pPr>
      <w:r w:rsidRPr="009D30E6">
        <w:rPr>
          <w:sz w:val="17"/>
          <w:szCs w:val="17"/>
        </w:rPr>
        <w:separator/>
      </w:r>
    </w:p>
    <w:p w14:paraId="79041BBF" w14:textId="77777777" w:rsidR="004462F0" w:rsidRPr="007E663E" w:rsidRDefault="004462F0" w:rsidP="007E663E">
      <w:pPr>
        <w:spacing w:after="60"/>
        <w:rPr>
          <w:sz w:val="17"/>
          <w:szCs w:val="17"/>
        </w:rPr>
      </w:pPr>
      <w:r>
        <w:rPr>
          <w:sz w:val="17"/>
        </w:rPr>
        <w:t>[Continuación de la nota de la página anterior]</w:t>
      </w:r>
    </w:p>
  </w:endnote>
  <w:endnote w:type="continuationNotice" w:id="1">
    <w:p w14:paraId="5729F26E" w14:textId="77777777" w:rsidR="004462F0" w:rsidRPr="007E663E" w:rsidRDefault="004462F0"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662AC" w14:textId="77777777" w:rsidR="004462F0" w:rsidRDefault="004462F0">
      <w:r>
        <w:separator/>
      </w:r>
    </w:p>
  </w:footnote>
  <w:footnote w:type="continuationSeparator" w:id="0">
    <w:p w14:paraId="54AC0523" w14:textId="77777777" w:rsidR="004462F0" w:rsidRPr="009D30E6" w:rsidRDefault="004462F0" w:rsidP="007E663E">
      <w:pPr>
        <w:rPr>
          <w:sz w:val="17"/>
          <w:szCs w:val="17"/>
        </w:rPr>
      </w:pPr>
      <w:r w:rsidRPr="009D30E6">
        <w:rPr>
          <w:sz w:val="17"/>
          <w:szCs w:val="17"/>
        </w:rPr>
        <w:separator/>
      </w:r>
    </w:p>
    <w:p w14:paraId="664DF1A5" w14:textId="77777777" w:rsidR="004462F0" w:rsidRPr="007E663E" w:rsidRDefault="004462F0" w:rsidP="007E663E">
      <w:pPr>
        <w:spacing w:after="60"/>
        <w:rPr>
          <w:sz w:val="17"/>
          <w:szCs w:val="17"/>
        </w:rPr>
      </w:pPr>
      <w:r>
        <w:rPr>
          <w:sz w:val="17"/>
        </w:rPr>
        <w:t>[Continuación de la nota de la página anterior]</w:t>
      </w:r>
    </w:p>
  </w:footnote>
  <w:footnote w:type="continuationNotice" w:id="1">
    <w:p w14:paraId="3B156F8F" w14:textId="77777777" w:rsidR="004462F0" w:rsidRPr="007E663E" w:rsidRDefault="004462F0" w:rsidP="007E663E">
      <w:pPr>
        <w:spacing w:before="60"/>
        <w:jc w:val="right"/>
        <w:rPr>
          <w:sz w:val="17"/>
          <w:szCs w:val="17"/>
        </w:rPr>
      </w:pPr>
      <w:r w:rsidRPr="007E663E">
        <w:rPr>
          <w:sz w:val="17"/>
          <w:szCs w:val="17"/>
        </w:rPr>
        <w:t>[Sigue la nota en la página siguiente]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81527" w14:textId="65257865" w:rsidR="00F84474" w:rsidRDefault="004462F0" w:rsidP="00477D6B">
    <w:pPr>
      <w:jc w:val="right"/>
    </w:pPr>
    <w:bookmarkStart w:id="6" w:name="Code2"/>
    <w:bookmarkEnd w:id="6"/>
    <w:r>
      <w:t>SCCR/46/6</w:t>
    </w:r>
  </w:p>
  <w:p w14:paraId="4030260D" w14:textId="77777777" w:rsidR="00F84474" w:rsidRDefault="00F84474" w:rsidP="00477D6B">
    <w:pPr>
      <w:jc w:val="right"/>
    </w:pPr>
    <w:r>
      <w:t xml:space="preserve">página </w:t>
    </w:r>
    <w:r>
      <w:fldChar w:fldCharType="begin"/>
    </w:r>
    <w:r>
      <w:instrText xml:space="preserve"> PAGE  \* MERGEFORMAT </w:instrText>
    </w:r>
    <w:r>
      <w:fldChar w:fldCharType="separate"/>
    </w:r>
    <w:r w:rsidR="008B14EA">
      <w:rPr>
        <w:noProof/>
      </w:rPr>
      <w:t>2</w:t>
    </w:r>
    <w:r>
      <w:fldChar w:fldCharType="end"/>
    </w:r>
  </w:p>
  <w:p w14:paraId="6C84050B" w14:textId="77777777" w:rsidR="004F7418" w:rsidRDefault="004F7418" w:rsidP="00477D6B">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DCC6DE4"/>
    <w:lvl w:ilvl="0">
      <w:start w:val="1"/>
      <w:numFmt w:val="decimal"/>
      <w:lvlText w:val="%1."/>
      <w:lvlJc w:val="left"/>
      <w:pPr>
        <w:tabs>
          <w:tab w:val="num" w:pos="360"/>
        </w:tabs>
        <w:ind w:left="360" w:hanging="360"/>
      </w:pPr>
    </w:lvl>
  </w:abstractNum>
  <w:abstractNum w:abstractNumId="1"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72930950">
    <w:abstractNumId w:val="2"/>
  </w:num>
  <w:num w:numId="2" w16cid:durableId="803157564">
    <w:abstractNumId w:val="4"/>
  </w:num>
  <w:num w:numId="3" w16cid:durableId="1677994612">
    <w:abstractNumId w:val="0"/>
  </w:num>
  <w:num w:numId="4" w16cid:durableId="1032074281">
    <w:abstractNumId w:val="5"/>
  </w:num>
  <w:num w:numId="5" w16cid:durableId="1045062155">
    <w:abstractNumId w:val="1"/>
  </w:num>
  <w:num w:numId="6" w16cid:durableId="16219133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2F0"/>
    <w:rsid w:val="0001509E"/>
    <w:rsid w:val="00031D65"/>
    <w:rsid w:val="00040261"/>
    <w:rsid w:val="000554FB"/>
    <w:rsid w:val="000E3BB3"/>
    <w:rsid w:val="000F5E56"/>
    <w:rsid w:val="00104C0C"/>
    <w:rsid w:val="00104F86"/>
    <w:rsid w:val="00134335"/>
    <w:rsid w:val="001362EE"/>
    <w:rsid w:val="001514EB"/>
    <w:rsid w:val="00152CEA"/>
    <w:rsid w:val="001832A6"/>
    <w:rsid w:val="001C4DD3"/>
    <w:rsid w:val="00214869"/>
    <w:rsid w:val="002634C4"/>
    <w:rsid w:val="0027143F"/>
    <w:rsid w:val="0028416B"/>
    <w:rsid w:val="0028668D"/>
    <w:rsid w:val="00291514"/>
    <w:rsid w:val="002D0602"/>
    <w:rsid w:val="002D3750"/>
    <w:rsid w:val="002E3001"/>
    <w:rsid w:val="002F4E68"/>
    <w:rsid w:val="00307787"/>
    <w:rsid w:val="00354647"/>
    <w:rsid w:val="00377273"/>
    <w:rsid w:val="003845C1"/>
    <w:rsid w:val="00387287"/>
    <w:rsid w:val="003935D0"/>
    <w:rsid w:val="003953AA"/>
    <w:rsid w:val="003D41D4"/>
    <w:rsid w:val="003D5836"/>
    <w:rsid w:val="004027BA"/>
    <w:rsid w:val="00405160"/>
    <w:rsid w:val="00423E3E"/>
    <w:rsid w:val="00427AF4"/>
    <w:rsid w:val="004462F0"/>
    <w:rsid w:val="0045231F"/>
    <w:rsid w:val="004647DA"/>
    <w:rsid w:val="00470516"/>
    <w:rsid w:val="004710EA"/>
    <w:rsid w:val="00477D6B"/>
    <w:rsid w:val="00493543"/>
    <w:rsid w:val="004A3723"/>
    <w:rsid w:val="004A6C37"/>
    <w:rsid w:val="004C37E3"/>
    <w:rsid w:val="004F5A87"/>
    <w:rsid w:val="004F7418"/>
    <w:rsid w:val="005456B1"/>
    <w:rsid w:val="0055013B"/>
    <w:rsid w:val="00552CE1"/>
    <w:rsid w:val="00553335"/>
    <w:rsid w:val="0056224D"/>
    <w:rsid w:val="00565CAD"/>
    <w:rsid w:val="00571B99"/>
    <w:rsid w:val="005D64EC"/>
    <w:rsid w:val="005F2EA5"/>
    <w:rsid w:val="00605827"/>
    <w:rsid w:val="00654FDD"/>
    <w:rsid w:val="00675021"/>
    <w:rsid w:val="00681CA1"/>
    <w:rsid w:val="006A06C6"/>
    <w:rsid w:val="006A60BE"/>
    <w:rsid w:val="0077751D"/>
    <w:rsid w:val="007843B3"/>
    <w:rsid w:val="007B219D"/>
    <w:rsid w:val="007E63AC"/>
    <w:rsid w:val="007E663E"/>
    <w:rsid w:val="00815082"/>
    <w:rsid w:val="00843582"/>
    <w:rsid w:val="008B14EA"/>
    <w:rsid w:val="008B2CC1"/>
    <w:rsid w:val="008C43FD"/>
    <w:rsid w:val="0090731E"/>
    <w:rsid w:val="00966A22"/>
    <w:rsid w:val="00971A47"/>
    <w:rsid w:val="00972F03"/>
    <w:rsid w:val="009906F8"/>
    <w:rsid w:val="009A0C8B"/>
    <w:rsid w:val="009A12BE"/>
    <w:rsid w:val="009B6241"/>
    <w:rsid w:val="009E4D3B"/>
    <w:rsid w:val="00A117C6"/>
    <w:rsid w:val="00A16FC0"/>
    <w:rsid w:val="00A32C9E"/>
    <w:rsid w:val="00A3731F"/>
    <w:rsid w:val="00A40FE3"/>
    <w:rsid w:val="00A7241B"/>
    <w:rsid w:val="00A7453D"/>
    <w:rsid w:val="00A83CE3"/>
    <w:rsid w:val="00A84585"/>
    <w:rsid w:val="00AB613D"/>
    <w:rsid w:val="00B65A0A"/>
    <w:rsid w:val="00B72D36"/>
    <w:rsid w:val="00BA063E"/>
    <w:rsid w:val="00BC4164"/>
    <w:rsid w:val="00BD2DCC"/>
    <w:rsid w:val="00BE1A8C"/>
    <w:rsid w:val="00C0272D"/>
    <w:rsid w:val="00C06472"/>
    <w:rsid w:val="00C42181"/>
    <w:rsid w:val="00C737D4"/>
    <w:rsid w:val="00C90559"/>
    <w:rsid w:val="00C92B6F"/>
    <w:rsid w:val="00CB59CE"/>
    <w:rsid w:val="00CF68D0"/>
    <w:rsid w:val="00D05711"/>
    <w:rsid w:val="00D36B79"/>
    <w:rsid w:val="00D40CF0"/>
    <w:rsid w:val="00D56C7C"/>
    <w:rsid w:val="00D71B4D"/>
    <w:rsid w:val="00D90289"/>
    <w:rsid w:val="00D93D55"/>
    <w:rsid w:val="00DB5585"/>
    <w:rsid w:val="00DE1968"/>
    <w:rsid w:val="00E2115C"/>
    <w:rsid w:val="00E267F8"/>
    <w:rsid w:val="00E45C84"/>
    <w:rsid w:val="00E504E5"/>
    <w:rsid w:val="00E73ABF"/>
    <w:rsid w:val="00E76CF0"/>
    <w:rsid w:val="00E945FD"/>
    <w:rsid w:val="00EB7A3E"/>
    <w:rsid w:val="00EC2465"/>
    <w:rsid w:val="00EC401A"/>
    <w:rsid w:val="00EF530A"/>
    <w:rsid w:val="00EF6622"/>
    <w:rsid w:val="00F546F1"/>
    <w:rsid w:val="00F55408"/>
    <w:rsid w:val="00F66152"/>
    <w:rsid w:val="00F665B4"/>
    <w:rsid w:val="00F73F22"/>
    <w:rsid w:val="00F77F63"/>
    <w:rsid w:val="00F80845"/>
    <w:rsid w:val="00F84474"/>
    <w:rsid w:val="00F856BB"/>
    <w:rsid w:val="00FC3283"/>
  </w:rsids>
  <m:mathPr>
    <m:mathFont m:val="Cambria Math"/>
    <m:brkBin m:val="before"/>
    <m:brkBinSub m:val="--"/>
    <m:smallFrac m:val="0"/>
    <m:dispDef/>
    <m:lMargin m:val="0"/>
    <m:rMargin m:val="0"/>
    <m:defJc m:val="centerGroup"/>
    <m:wrapIndent m:val="1440"/>
    <m:intLim m:val="subSup"/>
    <m:naryLim m:val="undOvr"/>
  </m:mathPr>
  <w:themeFontLang w:val="fr-CH"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B33D0D"/>
  <w15:docId w15:val="{73322B14-D8E6-4424-8A84-0B297E380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qFormat/>
    <w:rsid w:val="00A32C9E"/>
    <w:pPr>
      <w:keepNext/>
      <w:spacing w:before="240" w:after="60"/>
      <w:outlineLvl w:val="0"/>
    </w:pPr>
    <w:rPr>
      <w:b/>
      <w:bCs/>
      <w:caps/>
      <w:kern w:val="32"/>
      <w:szCs w:val="32"/>
    </w:rPr>
  </w:style>
  <w:style w:type="paragraph" w:styleId="Heading2">
    <w:name w:val="heading 2"/>
    <w:basedOn w:val="Normal"/>
    <w:next w:val="Normal"/>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semiHidden/>
    <w:rsid w:val="00A32C9E"/>
    <w:rPr>
      <w:sz w:val="18"/>
    </w:rPr>
  </w:style>
  <w:style w:type="paragraph" w:styleId="EndnoteText">
    <w:name w:val="endnote text"/>
    <w:basedOn w:val="Normal"/>
    <w:semiHidden/>
    <w:rsid w:val="00A32C9E"/>
    <w:rPr>
      <w:sz w:val="18"/>
    </w:rPr>
  </w:style>
  <w:style w:type="paragraph" w:styleId="Footer">
    <w:name w:val="footer"/>
    <w:basedOn w:val="Normal"/>
    <w:semiHidden/>
    <w:rsid w:val="00A32C9E"/>
    <w:pPr>
      <w:tabs>
        <w:tab w:val="center" w:pos="4320"/>
        <w:tab w:val="right" w:pos="8640"/>
      </w:tabs>
    </w:pPr>
  </w:style>
  <w:style w:type="paragraph" w:styleId="FootnoteText">
    <w:name w:val="footnote text"/>
    <w:basedOn w:val="Normal"/>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semiHidden/>
    <w:rsid w:val="00A32C9E"/>
    <w:pPr>
      <w:tabs>
        <w:tab w:val="center" w:pos="4536"/>
        <w:tab w:val="right" w:pos="9072"/>
      </w:tabs>
    </w:pPr>
  </w:style>
  <w:style w:type="paragraph" w:styleId="ListNumber">
    <w:name w:val="List Number"/>
    <w:basedOn w:val="Normal"/>
    <w:semiHidden/>
    <w:rsid w:val="00A32C9E"/>
    <w:pPr>
      <w:numPr>
        <w:numId w:val="4"/>
      </w:numPr>
    </w:pPr>
  </w:style>
  <w:style w:type="paragraph" w:customStyle="1" w:styleId="ONUME">
    <w:name w:val="ONUM E"/>
    <w:basedOn w:val="BodyText"/>
    <w:rsid w:val="00A32C9E"/>
    <w:pPr>
      <w:numPr>
        <w:numId w:val="5"/>
      </w:numPr>
    </w:pPr>
  </w:style>
  <w:style w:type="paragraph" w:customStyle="1" w:styleId="ONUMFS">
    <w:name w:val="ONUM FS"/>
    <w:basedOn w:val="BodyText"/>
    <w:rsid w:val="00A32C9E"/>
    <w:pPr>
      <w:numPr>
        <w:numId w:val="6"/>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table" w:styleId="TableGrid">
    <w:name w:val="Table Grid"/>
    <w:basedOn w:val="TableNormal"/>
    <w:rsid w:val="004462F0"/>
    <w:rPr>
      <w:rFonts w:eastAsia="Malgun Gothic"/>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4462F0"/>
    <w:rPr>
      <w:rFonts w:ascii="Arial" w:eastAsia="SimSun" w:hAnsi="Arial" w:cs="Arial"/>
      <w:bCs/>
      <w:sz w:val="22"/>
      <w:szCs w:val="26"/>
      <w:u w:val="single"/>
      <w:lang w:val="es-ES" w:eastAsia="zh-CN"/>
    </w:rPr>
  </w:style>
  <w:style w:type="character" w:styleId="Hyperlink">
    <w:name w:val="Hyperlink"/>
    <w:basedOn w:val="DefaultParagraphFont"/>
    <w:unhideWhenUsed/>
    <w:rsid w:val="004462F0"/>
    <w:rPr>
      <w:color w:val="0000FF" w:themeColor="hyperlink"/>
      <w:u w:val="single"/>
    </w:rPr>
  </w:style>
  <w:style w:type="paragraph" w:styleId="Revision">
    <w:name w:val="Revision"/>
    <w:hidden/>
    <w:uiPriority w:val="99"/>
    <w:semiHidden/>
    <w:rsid w:val="00134335"/>
    <w:rPr>
      <w:rFonts w:ascii="Arial" w:eastAsia="SimSun" w:hAnsi="Arial" w:cs="Arial"/>
      <w:sz w:val="22"/>
      <w:lang w:val="es-ES" w:eastAsia="zh-CN"/>
    </w:rPr>
  </w:style>
  <w:style w:type="character" w:styleId="UnresolvedMention">
    <w:name w:val="Unresolved Mention"/>
    <w:basedOn w:val="DefaultParagraphFont"/>
    <w:uiPriority w:val="99"/>
    <w:semiHidden/>
    <w:unhideWhenUsed/>
    <w:rsid w:val="00134335"/>
    <w:rPr>
      <w:color w:val="605E5C"/>
      <w:shd w:val="clear" w:color="auto" w:fill="E1DFDD"/>
    </w:rPr>
  </w:style>
  <w:style w:type="character" w:styleId="FollowedHyperlink">
    <w:name w:val="FollowedHyperlink"/>
    <w:basedOn w:val="DefaultParagraphFont"/>
    <w:semiHidden/>
    <w:unhideWhenUsed/>
    <w:rsid w:val="00134335"/>
    <w:rPr>
      <w:color w:val="800080" w:themeColor="followedHyperlink"/>
      <w:u w:val="single"/>
    </w:rPr>
  </w:style>
  <w:style w:type="character" w:styleId="CommentReference">
    <w:name w:val="annotation reference"/>
    <w:basedOn w:val="DefaultParagraphFont"/>
    <w:semiHidden/>
    <w:unhideWhenUsed/>
    <w:rsid w:val="004710EA"/>
    <w:rPr>
      <w:sz w:val="16"/>
      <w:szCs w:val="16"/>
    </w:rPr>
  </w:style>
  <w:style w:type="character" w:customStyle="1" w:styleId="CommentTextChar">
    <w:name w:val="Comment Text Char"/>
    <w:basedOn w:val="DefaultParagraphFont"/>
    <w:link w:val="CommentText"/>
    <w:semiHidden/>
    <w:rsid w:val="004710EA"/>
    <w:rPr>
      <w:rFonts w:ascii="Arial" w:eastAsia="SimSun" w:hAnsi="Arial" w:cs="Arial"/>
      <w:sz w:val="18"/>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775967">
      <w:bodyDiv w:val="1"/>
      <w:marLeft w:val="0"/>
      <w:marRight w:val="0"/>
      <w:marTop w:val="0"/>
      <w:marBottom w:val="0"/>
      <w:divBdr>
        <w:top w:val="none" w:sz="0" w:space="0" w:color="auto"/>
        <w:left w:val="none" w:sz="0" w:space="0" w:color="auto"/>
        <w:bottom w:val="none" w:sz="0" w:space="0" w:color="auto"/>
        <w:right w:val="none" w:sz="0" w:space="0" w:color="auto"/>
      </w:divBdr>
    </w:div>
    <w:div w:id="241912568">
      <w:bodyDiv w:val="1"/>
      <w:marLeft w:val="0"/>
      <w:marRight w:val="0"/>
      <w:marTop w:val="0"/>
      <w:marBottom w:val="0"/>
      <w:divBdr>
        <w:top w:val="none" w:sz="0" w:space="0" w:color="auto"/>
        <w:left w:val="none" w:sz="0" w:space="0" w:color="auto"/>
        <w:bottom w:val="none" w:sz="0" w:space="0" w:color="auto"/>
        <w:right w:val="none" w:sz="0" w:space="0" w:color="auto"/>
      </w:divBdr>
    </w:div>
    <w:div w:id="968128295">
      <w:bodyDiv w:val="1"/>
      <w:marLeft w:val="0"/>
      <w:marRight w:val="0"/>
      <w:marTop w:val="0"/>
      <w:marBottom w:val="0"/>
      <w:divBdr>
        <w:top w:val="none" w:sz="0" w:space="0" w:color="auto"/>
        <w:left w:val="none" w:sz="0" w:space="0" w:color="auto"/>
        <w:bottom w:val="none" w:sz="0" w:space="0" w:color="auto"/>
        <w:right w:val="none" w:sz="0" w:space="0" w:color="auto"/>
      </w:divBdr>
    </w:div>
    <w:div w:id="177867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papers.ssrn.com/sol3/cf_dev/AbsByAuth.cfm?per_id=1697918"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orcid.org/0000-0003-4832-2079" TargetMode="External"/><Relationship Id="rId28" Type="http://schemas.openxmlformats.org/officeDocument/2006/relationships/image" Target="media/image18.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papers.ssrn.com/sol3/cf_dev/AbsByAuth.cfm?per_id=1697918" TargetMode="External"/><Relationship Id="rId27" Type="http://schemas.openxmlformats.org/officeDocument/2006/relationships/image" Target="media/image17.jpeg"/><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Copyright\SCCR_46%20(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A73D5-7B9F-43CE-A82B-64FA1870D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SCCR_46 (S).dotm</Template>
  <TotalTime>1</TotalTime>
  <Pages>8</Pages>
  <Words>2576</Words>
  <Characters>14423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SCCR/46/6 Prov.</vt:lpstr>
    </vt:vector>
  </TitlesOfParts>
  <Company/>
  <LinksUpToDate>false</LinksUpToDate>
  <CharactersWithSpaces>16966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SCCR/46/6 Prov.</dc:title>
  <dc:creator>BEDNARZ Tobias</dc:creator>
  <cp:keywords/>
  <cp:lastModifiedBy>BEDNARZ Tobias</cp:lastModifiedBy>
  <cp:revision>2</cp:revision>
  <dcterms:created xsi:type="dcterms:W3CDTF">2025-04-17T08:41:00Z</dcterms:created>
  <dcterms:modified xsi:type="dcterms:W3CDTF">2025-04-17T08:41:00Z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97c1e2a3-8e7f-43d2-be5f-27d34b55462c</vt:lpwstr>
  </property>
  <property fmtid="{D5CDD505-2E9C-101B-9397-08002B2CF9AE}" pid="3" name="TCSClassification">
    <vt:lpwstr>FOR OFFICIAL USE ONLY</vt:lpwstr>
  </property>
  <property fmtid="{D5CDD505-2E9C-101B-9397-08002B2CF9AE}" pid="4" name="Classification">
    <vt:lpwstr>For Official Use Only</vt:lpwstr>
  </property>
  <property fmtid="{D5CDD505-2E9C-101B-9397-08002B2CF9AE}" pid="5" name="VisualMarkings">
    <vt:lpwstr>Footer</vt:lpwstr>
  </property>
  <property fmtid="{D5CDD505-2E9C-101B-9397-08002B2CF9AE}" pid="6" name="Alignment">
    <vt:lpwstr>Centre</vt:lpwstr>
  </property>
  <property fmtid="{D5CDD505-2E9C-101B-9397-08002B2CF9AE}" pid="7" name="Language">
    <vt:lpwstr>English</vt:lpwstr>
  </property>
  <property fmtid="{D5CDD505-2E9C-101B-9397-08002B2CF9AE}" pid="8" name="MSIP_Label_20773ee6-353b-4fb9-a59d-0b94c8c67bea_Enabled">
    <vt:lpwstr>true</vt:lpwstr>
  </property>
  <property fmtid="{D5CDD505-2E9C-101B-9397-08002B2CF9AE}" pid="9" name="MSIP_Label_20773ee6-353b-4fb9-a59d-0b94c8c67bea_SetDate">
    <vt:lpwstr>2023-06-15T13:24:07Z</vt:lpwstr>
  </property>
  <property fmtid="{D5CDD505-2E9C-101B-9397-08002B2CF9AE}" pid="10" name="MSIP_Label_20773ee6-353b-4fb9-a59d-0b94c8c67bea_Method">
    <vt:lpwstr>Privileged</vt:lpwstr>
  </property>
  <property fmtid="{D5CDD505-2E9C-101B-9397-08002B2CF9AE}" pid="11" name="MSIP_Label_20773ee6-353b-4fb9-a59d-0b94c8c67bea_Name">
    <vt:lpwstr>No markings</vt:lpwstr>
  </property>
  <property fmtid="{D5CDD505-2E9C-101B-9397-08002B2CF9AE}" pid="12" name="MSIP_Label_20773ee6-353b-4fb9-a59d-0b94c8c67bea_SiteId">
    <vt:lpwstr>faa31b06-8ccc-48c9-867f-f7510dd11c02</vt:lpwstr>
  </property>
  <property fmtid="{D5CDD505-2E9C-101B-9397-08002B2CF9AE}" pid="13" name="MSIP_Label_20773ee6-353b-4fb9-a59d-0b94c8c67bea_ActionId">
    <vt:lpwstr>4548e92f-e6d0-48b6-9248-f7e0185e35b5</vt:lpwstr>
  </property>
  <property fmtid="{D5CDD505-2E9C-101B-9397-08002B2CF9AE}" pid="14" name="MSIP_Label_20773ee6-353b-4fb9-a59d-0b94c8c67bea_ContentBits">
    <vt:lpwstr>0</vt:lpwstr>
  </property>
</Properties>
</file>