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922D" w14:textId="77777777" w:rsidR="008B2CC1" w:rsidRPr="008B2CC1" w:rsidRDefault="00DB0349" w:rsidP="00DB0349">
      <w:pPr>
        <w:spacing w:after="120"/>
        <w:jc w:val="right"/>
      </w:pPr>
      <w:r>
        <w:rPr>
          <w:noProof/>
          <w:lang w:val="en-US" w:eastAsia="en-US"/>
        </w:rPr>
        <w:drawing>
          <wp:inline distT="0" distB="0" distL="0" distR="0" wp14:anchorId="3868E58C" wp14:editId="2B3AF537">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0FDE1227" wp14:editId="556B2D78">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B6AFF5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876754E" w14:textId="77777777" w:rsidR="008B2CC1" w:rsidRPr="00DB0349" w:rsidRDefault="00456117" w:rsidP="00DB0349">
      <w:pPr>
        <w:jc w:val="right"/>
        <w:rPr>
          <w:rFonts w:ascii="Arial Black" w:hAnsi="Arial Black"/>
          <w:caps/>
          <w:sz w:val="15"/>
          <w:szCs w:val="15"/>
        </w:rPr>
      </w:pPr>
      <w:r>
        <w:rPr>
          <w:rFonts w:ascii="Arial Black" w:hAnsi="Arial Black"/>
          <w:caps/>
          <w:sz w:val="15"/>
          <w:szCs w:val="15"/>
        </w:rPr>
        <w:t>SCCR/4</w:t>
      </w:r>
      <w:r w:rsidR="0076654B">
        <w:rPr>
          <w:rFonts w:ascii="Arial Black" w:hAnsi="Arial Black"/>
          <w:caps/>
          <w:sz w:val="15"/>
          <w:szCs w:val="15"/>
        </w:rPr>
        <w:t>5</w:t>
      </w:r>
      <w:r w:rsidR="00D55C00">
        <w:rPr>
          <w:rFonts w:ascii="Arial Black" w:hAnsi="Arial Black"/>
          <w:caps/>
          <w:sz w:val="15"/>
          <w:szCs w:val="15"/>
        </w:rPr>
        <w:t>/</w:t>
      </w:r>
      <w:bookmarkStart w:id="0" w:name="Code"/>
      <w:bookmarkEnd w:id="0"/>
      <w:r w:rsidR="00DE57E6">
        <w:rPr>
          <w:rFonts w:ascii="Arial Black" w:hAnsi="Arial Black"/>
          <w:caps/>
          <w:sz w:val="15"/>
          <w:szCs w:val="15"/>
        </w:rPr>
        <w:t>6</w:t>
      </w:r>
    </w:p>
    <w:p w14:paraId="537F0A93" w14:textId="5272040F"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375F98">
        <w:rPr>
          <w:rFonts w:ascii="Arial Black" w:hAnsi="Arial Black"/>
          <w:caps/>
          <w:sz w:val="15"/>
          <w:szCs w:val="15"/>
        </w:rPr>
        <w:t> :</w:t>
      </w:r>
      <w:r>
        <w:rPr>
          <w:rFonts w:ascii="Arial Black" w:hAnsi="Arial Black"/>
          <w:caps/>
          <w:sz w:val="15"/>
          <w:szCs w:val="15"/>
        </w:rPr>
        <w:t xml:space="preserve"> </w:t>
      </w:r>
      <w:bookmarkStart w:id="1" w:name="Original"/>
      <w:r w:rsidR="00DE57E6">
        <w:rPr>
          <w:rFonts w:ascii="Arial Black" w:hAnsi="Arial Black"/>
          <w:caps/>
          <w:sz w:val="15"/>
          <w:szCs w:val="15"/>
        </w:rPr>
        <w:t>anglais</w:t>
      </w:r>
    </w:p>
    <w:bookmarkEnd w:id="1"/>
    <w:p w14:paraId="4BC5900E" w14:textId="039CC226"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375F98">
        <w:rPr>
          <w:rFonts w:ascii="Arial Black" w:hAnsi="Arial Black"/>
          <w:caps/>
          <w:sz w:val="15"/>
          <w:szCs w:val="15"/>
        </w:rPr>
        <w:t> :</w:t>
      </w:r>
      <w:r>
        <w:rPr>
          <w:rFonts w:ascii="Arial Black" w:hAnsi="Arial Black"/>
          <w:caps/>
          <w:sz w:val="15"/>
          <w:szCs w:val="15"/>
        </w:rPr>
        <w:t xml:space="preserve"> </w:t>
      </w:r>
      <w:bookmarkStart w:id="2" w:name="Date"/>
      <w:r w:rsidR="00375F98">
        <w:rPr>
          <w:rFonts w:ascii="Arial Black" w:hAnsi="Arial Black"/>
          <w:caps/>
          <w:sz w:val="15"/>
          <w:szCs w:val="15"/>
        </w:rPr>
        <w:t>8 avril 20</w:t>
      </w:r>
      <w:r w:rsidR="00DE57E6">
        <w:rPr>
          <w:rFonts w:ascii="Arial Black" w:hAnsi="Arial Black"/>
          <w:caps/>
          <w:sz w:val="15"/>
          <w:szCs w:val="15"/>
        </w:rPr>
        <w:t>24</w:t>
      </w:r>
    </w:p>
    <w:bookmarkEnd w:id="2"/>
    <w:p w14:paraId="75343D14" w14:textId="1A9A2653" w:rsidR="00C40E15" w:rsidRPr="00DB0349" w:rsidRDefault="00D55C00" w:rsidP="00E97651">
      <w:pPr>
        <w:spacing w:after="480"/>
        <w:rPr>
          <w:b/>
          <w:sz w:val="28"/>
          <w:szCs w:val="28"/>
        </w:rPr>
      </w:pPr>
      <w:r w:rsidRPr="00D55C00">
        <w:rPr>
          <w:b/>
          <w:sz w:val="28"/>
          <w:szCs w:val="28"/>
        </w:rPr>
        <w:t>Comité permanent du droit d</w:t>
      </w:r>
      <w:r w:rsidR="00375F98">
        <w:rPr>
          <w:b/>
          <w:sz w:val="28"/>
          <w:szCs w:val="28"/>
        </w:rPr>
        <w:t>’</w:t>
      </w:r>
      <w:r w:rsidRPr="00D55C00">
        <w:rPr>
          <w:b/>
          <w:sz w:val="28"/>
          <w:szCs w:val="28"/>
        </w:rPr>
        <w:t>auteur et des droits connexes</w:t>
      </w:r>
    </w:p>
    <w:p w14:paraId="701819DB" w14:textId="72887203" w:rsidR="008B2CC1" w:rsidRPr="003845C1" w:rsidRDefault="00D55C00" w:rsidP="008B2CC1">
      <w:pPr>
        <w:rPr>
          <w:b/>
          <w:sz w:val="24"/>
          <w:szCs w:val="24"/>
        </w:rPr>
      </w:pPr>
      <w:r w:rsidRPr="00D55C00">
        <w:rPr>
          <w:b/>
          <w:sz w:val="24"/>
          <w:szCs w:val="24"/>
        </w:rPr>
        <w:t>Quarante</w:t>
      </w:r>
      <w:r w:rsidR="008223F9">
        <w:rPr>
          <w:b/>
          <w:sz w:val="24"/>
          <w:szCs w:val="24"/>
        </w:rPr>
        <w:noBreakHyphen/>
      </w:r>
      <w:r w:rsidR="0076654B">
        <w:rPr>
          <w:b/>
          <w:sz w:val="24"/>
          <w:szCs w:val="24"/>
        </w:rPr>
        <w:t>cinqu</w:t>
      </w:r>
      <w:r w:rsidR="00375F98">
        <w:rPr>
          <w:b/>
          <w:sz w:val="24"/>
          <w:szCs w:val="24"/>
        </w:rPr>
        <w:t>ième session</w:t>
      </w:r>
    </w:p>
    <w:p w14:paraId="67A4CE7B" w14:textId="03EBDCA7" w:rsidR="008B2CC1" w:rsidRPr="003845C1" w:rsidRDefault="00D55C00" w:rsidP="00DB0349">
      <w:pPr>
        <w:spacing w:after="720"/>
        <w:rPr>
          <w:b/>
          <w:sz w:val="24"/>
          <w:szCs w:val="24"/>
        </w:rPr>
      </w:pPr>
      <w:r w:rsidRPr="00D55C00">
        <w:rPr>
          <w:b/>
          <w:sz w:val="24"/>
          <w:szCs w:val="24"/>
        </w:rPr>
        <w:t xml:space="preserve">Genève, </w:t>
      </w:r>
      <w:r w:rsidR="0076654B">
        <w:rPr>
          <w:b/>
          <w:sz w:val="24"/>
          <w:szCs w:val="24"/>
        </w:rPr>
        <w:t>15</w:t>
      </w:r>
      <w:r w:rsidR="00456117" w:rsidRPr="00456117">
        <w:rPr>
          <w:b/>
          <w:sz w:val="24"/>
          <w:szCs w:val="24"/>
        </w:rPr>
        <w:t xml:space="preserve"> – </w:t>
      </w:r>
      <w:r w:rsidR="0076654B">
        <w:rPr>
          <w:b/>
          <w:sz w:val="24"/>
          <w:szCs w:val="24"/>
        </w:rPr>
        <w:t>19</w:t>
      </w:r>
      <w:r w:rsidR="00DC4A0D" w:rsidRPr="008B7207">
        <w:rPr>
          <w:b/>
          <w:sz w:val="24"/>
          <w:szCs w:val="24"/>
          <w:lang w:val="fr-FR"/>
        </w:rPr>
        <w:t> </w:t>
      </w:r>
      <w:r w:rsidR="00375F98">
        <w:rPr>
          <w:b/>
          <w:sz w:val="24"/>
          <w:szCs w:val="24"/>
        </w:rPr>
        <w:t>avril </w:t>
      </w:r>
      <w:r w:rsidR="00375F98" w:rsidRPr="00456117">
        <w:rPr>
          <w:b/>
          <w:sz w:val="24"/>
          <w:szCs w:val="24"/>
        </w:rPr>
        <w:t>20</w:t>
      </w:r>
      <w:r w:rsidR="00456117" w:rsidRPr="00456117">
        <w:rPr>
          <w:b/>
          <w:sz w:val="24"/>
          <w:szCs w:val="24"/>
        </w:rPr>
        <w:t>2</w:t>
      </w:r>
      <w:r w:rsidR="0076654B">
        <w:rPr>
          <w:b/>
          <w:sz w:val="24"/>
          <w:szCs w:val="24"/>
        </w:rPr>
        <w:t>4</w:t>
      </w:r>
    </w:p>
    <w:p w14:paraId="57FEAFA6" w14:textId="3F7D0C4C" w:rsidR="00DE57E6" w:rsidRPr="00A554F5" w:rsidRDefault="00A554F5" w:rsidP="00DE57E6">
      <w:pPr>
        <w:rPr>
          <w:caps/>
          <w:sz w:val="24"/>
          <w:szCs w:val="24"/>
        </w:rPr>
      </w:pPr>
      <w:bookmarkStart w:id="3" w:name="TitleOfDoc"/>
      <w:r w:rsidRPr="00A554F5">
        <w:rPr>
          <w:caps/>
        </w:rPr>
        <w:t>Projet de plan de mise en œuvre du programme de travail sur les limitations et exceptions et observations préliminaires reçue au</w:t>
      </w:r>
    </w:p>
    <w:p w14:paraId="3892427D" w14:textId="3F7D0C4C" w:rsidR="008B2CC1" w:rsidRPr="00A554F5" w:rsidRDefault="00A554F5" w:rsidP="00DE57E6">
      <w:pPr>
        <w:spacing w:after="360"/>
        <w:rPr>
          <w:caps/>
          <w:sz w:val="24"/>
        </w:rPr>
      </w:pPr>
      <w:r w:rsidRPr="00A554F5">
        <w:rPr>
          <w:caps/>
          <w:sz w:val="24"/>
        </w:rPr>
        <w:t>29 mars 2024</w:t>
      </w:r>
    </w:p>
    <w:p w14:paraId="5E0D8E46" w14:textId="67801134" w:rsidR="00525B63" w:rsidRPr="00DE57E6" w:rsidRDefault="00DE57E6" w:rsidP="00DB0349">
      <w:pPr>
        <w:spacing w:after="960"/>
        <w:rPr>
          <w:i/>
        </w:rPr>
      </w:pPr>
      <w:bookmarkStart w:id="4" w:name="Prepared"/>
      <w:bookmarkEnd w:id="3"/>
      <w:r>
        <w:rPr>
          <w:i/>
        </w:rPr>
        <w:t>Document établi par le Secrétariat</w:t>
      </w:r>
    </w:p>
    <w:bookmarkEnd w:id="4"/>
    <w:p w14:paraId="1BC5A1F8" w14:textId="77777777" w:rsidR="00DE57E6" w:rsidRDefault="00DE57E6" w:rsidP="00DE57E6">
      <w:r>
        <w:br w:type="page"/>
      </w:r>
    </w:p>
    <w:p w14:paraId="6BF607E2" w14:textId="7C9B6635" w:rsidR="00DE57E6" w:rsidRPr="00A554F5" w:rsidRDefault="00A554F5" w:rsidP="00A554F5">
      <w:pPr>
        <w:pStyle w:val="Heading1"/>
        <w:rPr>
          <w:caps/>
        </w:rPr>
      </w:pPr>
      <w:r w:rsidRPr="00A554F5">
        <w:rPr>
          <w:caps/>
        </w:rPr>
        <w:lastRenderedPageBreak/>
        <w:t>Projet de plan de mise en œuvre proposé par le Secrétariat</w:t>
      </w:r>
    </w:p>
    <w:p w14:paraId="0D394BD1" w14:textId="1E1A87FB" w:rsidR="00DE57E6" w:rsidRDefault="00DE57E6" w:rsidP="00B27831">
      <w:pPr>
        <w:pStyle w:val="Heading2"/>
      </w:pPr>
      <w:r w:rsidRPr="00A554F5">
        <w:t>Rappel</w:t>
      </w:r>
    </w:p>
    <w:p w14:paraId="2458AA6E" w14:textId="5C995001" w:rsidR="00DE57E6" w:rsidRDefault="00DE57E6" w:rsidP="003822F7">
      <w:pPr>
        <w:spacing w:after="240"/>
      </w:pPr>
      <w:r>
        <w:t>À la quarante</w:t>
      </w:r>
      <w:r w:rsidR="008223F9">
        <w:noBreakHyphen/>
      </w:r>
      <w:r>
        <w:t>quatr</w:t>
      </w:r>
      <w:r w:rsidR="00375F98">
        <w:t>ième session du SCC</w:t>
      </w:r>
      <w:r>
        <w:t>R, la dernière session en date</w:t>
      </w:r>
      <w:r w:rsidR="00375F98">
        <w:t xml:space="preserve"> du SCC</w:t>
      </w:r>
      <w:r>
        <w:t xml:space="preserve">R tenue en </w:t>
      </w:r>
      <w:r w:rsidR="00375F98">
        <w:t>novembre 20</w:t>
      </w:r>
      <w:r>
        <w:t>23, le Secrétariat de l</w:t>
      </w:r>
      <w:r w:rsidR="00375F98">
        <w:t>’</w:t>
      </w:r>
      <w:r>
        <w:t>OMPI a été chargé d</w:t>
      </w:r>
      <w:r w:rsidR="00375F98">
        <w:t>’</w:t>
      </w:r>
      <w:r>
        <w:t xml:space="preserve">établir un projet de plan de mise en œuvre du programme de travail sur les limitations et exceptions (Proposition du groupe des pays africains concernant un projet de programme de travail sur les exceptions et limitations, adoptée par le comité, figurant dans le </w:t>
      </w:r>
      <w:r w:rsidR="00375F98">
        <w:t>document</w:t>
      </w:r>
      <w:r w:rsidR="003822F7">
        <w:t> </w:t>
      </w:r>
      <w:r w:rsidR="00375F98">
        <w:t>SC</w:t>
      </w:r>
      <w:r>
        <w:t>CR/43/8).  Le Secrétariat devait diffuser ce projet auprès des États membres pour consultation, avant la quarante</w:t>
      </w:r>
      <w:r w:rsidR="008223F9">
        <w:noBreakHyphen/>
      </w:r>
      <w:r>
        <w:t>cinqu</w:t>
      </w:r>
      <w:r w:rsidR="00375F98">
        <w:t>ième session du SCC</w:t>
      </w:r>
      <w:r>
        <w:t xml:space="preserve">R qui se tiendrait en </w:t>
      </w:r>
      <w:r w:rsidR="00375F98">
        <w:t>avril 20</w:t>
      </w:r>
      <w:r>
        <w:t>24.</w:t>
      </w:r>
    </w:p>
    <w:p w14:paraId="1344C7FB" w14:textId="290FCABB" w:rsidR="00DE57E6" w:rsidRDefault="00DE57E6" w:rsidP="003822F7">
      <w:pPr>
        <w:spacing w:after="240"/>
      </w:pPr>
      <w:r>
        <w:t>La version actuelle du projet de plan de mise en œuvre tient compte, comme demandé, des observations formulées par les États membres durant la quarante</w:t>
      </w:r>
      <w:r w:rsidR="008223F9">
        <w:noBreakHyphen/>
      </w:r>
      <w:r>
        <w:t>quatr</w:t>
      </w:r>
      <w:r w:rsidR="00375F98">
        <w:t>ième session du S</w:t>
      </w:r>
      <w:r w:rsidR="008223F9">
        <w:t>CCR.  Le</w:t>
      </w:r>
      <w:r>
        <w:t>s États membres peuvent désormais formuler des observations sur cette version, et les soumettre au Secrétariat, par l</w:t>
      </w:r>
      <w:r w:rsidR="00375F98">
        <w:t>’</w:t>
      </w:r>
      <w:r>
        <w:t>intermédiaire des coordonnateurs de groupe, d</w:t>
      </w:r>
      <w:r w:rsidR="00375F98">
        <w:t>’</w:t>
      </w:r>
      <w:r>
        <w:t>ici le vendredi</w:t>
      </w:r>
      <w:r w:rsidR="003822F7">
        <w:t> </w:t>
      </w:r>
      <w:r>
        <w:t>29 </w:t>
      </w:r>
      <w:r w:rsidR="00375F98">
        <w:t>mars 20</w:t>
      </w:r>
      <w:r>
        <w:t>24.  Cela permettra au Secrétariat d</w:t>
      </w:r>
      <w:r w:rsidR="00375F98">
        <w:t>’</w:t>
      </w:r>
      <w:r>
        <w:t>intégrer les différentes suggestions dans le projet avant le début de la quarante</w:t>
      </w:r>
      <w:r w:rsidR="008223F9">
        <w:noBreakHyphen/>
      </w:r>
      <w:r>
        <w:t>cinqu</w:t>
      </w:r>
      <w:r w:rsidR="00375F98">
        <w:t>ième session du S</w:t>
      </w:r>
      <w:r w:rsidR="008223F9">
        <w:t>CCR.  Ce</w:t>
      </w:r>
      <w:r>
        <w:t xml:space="preserve"> projet </w:t>
      </w:r>
      <w:r>
        <w:rPr>
          <w:color w:val="0D0D0D"/>
          <w:shd w:val="clear" w:color="auto" w:fill="FFFFFF"/>
        </w:rPr>
        <w:t>sera examiné par les États membres durant la plénière.</w:t>
      </w:r>
    </w:p>
    <w:p w14:paraId="3A396EBF" w14:textId="1C81771B" w:rsidR="00DE57E6" w:rsidRPr="00B27831" w:rsidRDefault="00DE57E6" w:rsidP="003822F7">
      <w:pPr>
        <w:pStyle w:val="Heading2"/>
      </w:pPr>
      <w:r w:rsidRPr="00B27831">
        <w:t>Projet de plan de mise en œuvre</w:t>
      </w:r>
    </w:p>
    <w:p w14:paraId="4FEB5B6F" w14:textId="3D2B7FBC" w:rsidR="00DE57E6" w:rsidRPr="00053E98" w:rsidRDefault="00DE57E6" w:rsidP="00053E98">
      <w:pPr>
        <w:pStyle w:val="Heading3"/>
      </w:pPr>
      <w:r w:rsidRPr="00053E98">
        <w:t>I. Questions relatives à la préservation</w:t>
      </w:r>
    </w:p>
    <w:p w14:paraId="3A86EED0" w14:textId="1D80966F" w:rsidR="00DE57E6" w:rsidRDefault="00DE57E6" w:rsidP="00053E98">
      <w:pPr>
        <w:spacing w:after="240"/>
      </w:pPr>
      <w:r>
        <w:t>a) Lancement d</w:t>
      </w:r>
      <w:r w:rsidR="00375F98">
        <w:t>’</w:t>
      </w:r>
      <w:r>
        <w:t>un guide sur la préservation sous une forme hybride avant la quarante</w:t>
      </w:r>
      <w:r w:rsidR="008223F9">
        <w:noBreakHyphen/>
      </w:r>
      <w:r>
        <w:t>six</w:t>
      </w:r>
      <w:r w:rsidR="00375F98">
        <w:t>ième session du SCC</w:t>
      </w:r>
      <w:r>
        <w:t>R.</w:t>
      </w:r>
    </w:p>
    <w:p w14:paraId="1097FE1E" w14:textId="5310E68A" w:rsidR="00DE57E6" w:rsidRPr="00B27831" w:rsidRDefault="00DE57E6" w:rsidP="00DE57E6">
      <w:r>
        <w:t>b) Réalisation durant l</w:t>
      </w:r>
      <w:r w:rsidR="00375F98">
        <w:t>’</w:t>
      </w:r>
      <w:r>
        <w:t>exercice biennal 2024</w:t>
      </w:r>
      <w:r w:rsidR="008223F9">
        <w:noBreakHyphen/>
      </w:r>
      <w:r>
        <w:t>2025 d</w:t>
      </w:r>
      <w:r w:rsidR="00375F98">
        <w:t>’</w:t>
      </w:r>
      <w:r>
        <w:t>une série d</w:t>
      </w:r>
      <w:r w:rsidR="00375F98">
        <w:t>’</w:t>
      </w:r>
      <w:r>
        <w:t>activités fondées sur le contenu du guide pour faciliter la mise en œuvre des politiques et pratiques en matière de préservati</w:t>
      </w:r>
      <w:r w:rsidR="008223F9">
        <w:t>on.  Ce</w:t>
      </w:r>
      <w:r>
        <w:t>s activités impliqueront les décideurs politiques, les professionnels, les institutions et les parties prenantes concernées, et se dérouleront dans plusieurs régions.</w:t>
      </w:r>
    </w:p>
    <w:p w14:paraId="3DF628CC" w14:textId="48D0326D" w:rsidR="00DE57E6" w:rsidRPr="00B27831" w:rsidRDefault="00DE57E6" w:rsidP="00053E98">
      <w:pPr>
        <w:pStyle w:val="Heading3"/>
        <w:rPr>
          <w:iCs/>
        </w:rPr>
      </w:pPr>
      <w:r>
        <w:t>II. Questions relatives à l</w:t>
      </w:r>
      <w:r w:rsidR="00375F98">
        <w:t>’</w:t>
      </w:r>
      <w:r>
        <w:t>accès</w:t>
      </w:r>
    </w:p>
    <w:p w14:paraId="24EBAB5B" w14:textId="2F99AA8D" w:rsidR="00DE57E6" w:rsidRDefault="00DE57E6" w:rsidP="00B27831">
      <w:pPr>
        <w:spacing w:before="240" w:after="240"/>
      </w:pPr>
      <w:r>
        <w:t>a) Achèvement du guide sur l</w:t>
      </w:r>
      <w:r w:rsidR="00375F98">
        <w:t>’</w:t>
      </w:r>
      <w:r>
        <w:t>accès en ce qui concerne les institutions chargées du patrimoine culturel (bibliothèques, services d</w:t>
      </w:r>
      <w:r w:rsidR="00375F98">
        <w:t>’</w:t>
      </w:r>
      <w:r>
        <w:t xml:space="preserve">archives et musées) </w:t>
      </w:r>
      <w:r w:rsidR="00375F98">
        <w:t>en 2025</w:t>
      </w:r>
      <w:r>
        <w:t>.</w:t>
      </w:r>
    </w:p>
    <w:p w14:paraId="71537A2A" w14:textId="5687B188" w:rsidR="00DE57E6" w:rsidRDefault="00DE57E6" w:rsidP="00B27831">
      <w:pPr>
        <w:spacing w:before="240" w:after="240"/>
      </w:pPr>
      <w:r>
        <w:t>b) Lancement du guide sur l</w:t>
      </w:r>
      <w:r w:rsidR="00375F98">
        <w:t>’</w:t>
      </w:r>
      <w:r>
        <w:t>accès concernant les institutions chargées du patrimoine culturel (bibliothèques, services d</w:t>
      </w:r>
      <w:r w:rsidR="00375F98">
        <w:t>’</w:t>
      </w:r>
      <w:r>
        <w:t>archives et musées) sous une forme hybride d</w:t>
      </w:r>
      <w:r w:rsidR="00375F98">
        <w:t>’</w:t>
      </w:r>
      <w:r>
        <w:t xml:space="preserve">ici à la fin </w:t>
      </w:r>
      <w:r w:rsidR="00375F98">
        <w:t>de 2025</w:t>
      </w:r>
      <w:r>
        <w:t>.</w:t>
      </w:r>
    </w:p>
    <w:p w14:paraId="6D9251D6" w14:textId="3D85373B" w:rsidR="00DE57E6" w:rsidRDefault="00DE57E6" w:rsidP="00B27831">
      <w:pPr>
        <w:spacing w:before="240" w:after="240"/>
      </w:pPr>
      <w:r>
        <w:t>c) Réalisation au cours de l</w:t>
      </w:r>
      <w:r w:rsidR="00375F98">
        <w:t>’</w:t>
      </w:r>
      <w:r>
        <w:t>exercice biennal 2024</w:t>
      </w:r>
      <w:r w:rsidR="008223F9">
        <w:noBreakHyphen/>
      </w:r>
      <w:r>
        <w:t>2025 d</w:t>
      </w:r>
      <w:r w:rsidR="00375F98">
        <w:t>’</w:t>
      </w:r>
      <w:r>
        <w:t>une série d</w:t>
      </w:r>
      <w:r w:rsidR="00375F98">
        <w:t>’</w:t>
      </w:r>
      <w:r>
        <w:t>activités fondées sur le contenu du guide pour faciliter la mise en œuvre des politiques et pratiques en matière d</w:t>
      </w:r>
      <w:r w:rsidR="00375F98">
        <w:t>’</w:t>
      </w:r>
      <w:r>
        <w:t>accès concernant les institutions chargées du patrimoine culturel (bibliothèques, services d</w:t>
      </w:r>
      <w:r w:rsidR="00375F98">
        <w:t>’</w:t>
      </w:r>
      <w:r>
        <w:t>archives et musé</w:t>
      </w:r>
      <w:r w:rsidR="008223F9">
        <w:t>es).  Ce</w:t>
      </w:r>
      <w:r>
        <w:t>s activités impliqueront les décideurs politiques, les professionnels, les institutions et les parties prenantes concernées, et se dérouleront dans plusieurs régions.</w:t>
      </w:r>
    </w:p>
    <w:p w14:paraId="219E0524" w14:textId="327630A2" w:rsidR="00DE57E6" w:rsidRDefault="00DE57E6" w:rsidP="00B27831">
      <w:pPr>
        <w:spacing w:before="240" w:after="240"/>
      </w:pPr>
      <w:r>
        <w:t>d) Lancement de la préparation d</w:t>
      </w:r>
      <w:r w:rsidR="00375F98">
        <w:t>’</w:t>
      </w:r>
      <w:r>
        <w:t>un guide sur l</w:t>
      </w:r>
      <w:r w:rsidR="00375F98">
        <w:t>’</w:t>
      </w:r>
      <w:r>
        <w:t>accès concernant les établissements d</w:t>
      </w:r>
      <w:r w:rsidR="00375F98">
        <w:t>’</w:t>
      </w:r>
      <w:r>
        <w:t xml:space="preserve">enseignement et les instituts de recherche </w:t>
      </w:r>
      <w:r w:rsidR="00375F98">
        <w:t>en 2025</w:t>
      </w:r>
      <w:r>
        <w:t>.</w:t>
      </w:r>
    </w:p>
    <w:p w14:paraId="46380AD2" w14:textId="04D3F332" w:rsidR="00DE57E6" w:rsidRPr="00934A62" w:rsidRDefault="008223F9" w:rsidP="00053E98">
      <w:pPr>
        <w:pStyle w:val="Heading3"/>
        <w:rPr>
          <w:iCs/>
        </w:rPr>
      </w:pPr>
      <w:r>
        <w:lastRenderedPageBreak/>
        <w:t>III.  Qu</w:t>
      </w:r>
      <w:r w:rsidR="00DE57E6">
        <w:t>estions relatives aux autres handicaps (autres que celles couvertes par le Traité de Marrakech)</w:t>
      </w:r>
    </w:p>
    <w:p w14:paraId="55FE9FE8" w14:textId="74FD815D" w:rsidR="00375F98" w:rsidRDefault="00DE57E6" w:rsidP="00B27831">
      <w:pPr>
        <w:spacing w:before="240" w:after="240"/>
      </w:pPr>
      <w:r>
        <w:t>a) Mise à jour du document intitulé “Résumé de l</w:t>
      </w:r>
      <w:r w:rsidR="00375F98">
        <w:t>’</w:t>
      </w:r>
      <w:r>
        <w:t>étude exploratoire sur l</w:t>
      </w:r>
      <w:r w:rsidR="00375F98">
        <w:t>’</w:t>
      </w:r>
      <w:r>
        <w:t>accès des personnes handicapées aux œuvres protégées par le droit d</w:t>
      </w:r>
      <w:r w:rsidR="00375F98">
        <w:t>’</w:t>
      </w:r>
      <w:r>
        <w:t>auteur” (</w:t>
      </w:r>
      <w:r w:rsidR="00375F98">
        <w:t>document</w:t>
      </w:r>
      <w:r w:rsidR="003822F7">
        <w:t> </w:t>
      </w:r>
      <w:r w:rsidR="00375F98">
        <w:t>SC</w:t>
      </w:r>
      <w:r>
        <w:t xml:space="preserve">C/38/3), publié </w:t>
      </w:r>
      <w:r w:rsidR="00375F98">
        <w:t>en 2019</w:t>
      </w:r>
      <w:r>
        <w:t>, afin d</w:t>
      </w:r>
      <w:r w:rsidR="00375F98">
        <w:t>’</w:t>
      </w:r>
      <w:r>
        <w:t>évaluer les technologies d</w:t>
      </w:r>
      <w:r w:rsidR="00375F98">
        <w:t>’</w:t>
      </w:r>
      <w:r>
        <w:t>assistance en relation avec les questions de droit d</w:t>
      </w:r>
      <w:r w:rsidR="00375F98">
        <w:t>’</w:t>
      </w:r>
      <w:r>
        <w:t>aute</w:t>
      </w:r>
      <w:r w:rsidR="008223F9">
        <w:t>ur.  Ce</w:t>
      </w:r>
      <w:r>
        <w:t>tte étude sera présentée lors d</w:t>
      </w:r>
      <w:r w:rsidR="00375F98">
        <w:t>’</w:t>
      </w:r>
      <w:r>
        <w:t>une session</w:t>
      </w:r>
      <w:r w:rsidR="00375F98">
        <w:t xml:space="preserve"> du SCC</w:t>
      </w:r>
      <w:r>
        <w:t xml:space="preserve">R </w:t>
      </w:r>
      <w:r w:rsidR="00375F98">
        <w:t>en 2025</w:t>
      </w:r>
      <w:r>
        <w:t>.</w:t>
      </w:r>
    </w:p>
    <w:p w14:paraId="3AAA8555" w14:textId="7549FDC7" w:rsidR="00DE57E6" w:rsidRPr="00B27831" w:rsidRDefault="00DE57E6" w:rsidP="00B27831">
      <w:pPr>
        <w:spacing w:before="240" w:after="240"/>
      </w:pPr>
      <w:r>
        <w:t>b) Organisation d</w:t>
      </w:r>
      <w:r w:rsidR="00375F98">
        <w:t>’</w:t>
      </w:r>
      <w:r>
        <w:t>un exposé sous une forme hybride sur les moyens existants pour répondre aux besoins des personnes souffrant de handicaps auditifs et cognitifs en ce qui concerne l</w:t>
      </w:r>
      <w:r w:rsidR="00375F98">
        <w:t>’</w:t>
      </w:r>
      <w:r>
        <w:t>accès au contenu protégé par le droit d</w:t>
      </w:r>
      <w:r w:rsidR="00375F98">
        <w:t>’</w:t>
      </w:r>
      <w:r>
        <w:t>auteur, lors d</w:t>
      </w:r>
      <w:r w:rsidR="00375F98">
        <w:t>’</w:t>
      </w:r>
      <w:r>
        <w:t>une session</w:t>
      </w:r>
      <w:r w:rsidR="00375F98">
        <w:t xml:space="preserve"> du SCC</w:t>
      </w:r>
      <w:r>
        <w:t xml:space="preserve">R </w:t>
      </w:r>
      <w:r w:rsidR="00375F98">
        <w:t>en 2025</w:t>
      </w:r>
      <w:r>
        <w:t>.</w:t>
      </w:r>
    </w:p>
    <w:p w14:paraId="6F1BCBE4" w14:textId="762B6559" w:rsidR="00DE57E6" w:rsidRPr="00B27831" w:rsidRDefault="00DE57E6" w:rsidP="00053E98">
      <w:pPr>
        <w:pStyle w:val="Heading3"/>
        <w:rPr>
          <w:iCs/>
        </w:rPr>
      </w:pPr>
      <w:r>
        <w:t>IV. Travaux futurs concernant les objectifs et principes touchant aux limitations et exceptions</w:t>
      </w:r>
    </w:p>
    <w:p w14:paraId="20F8559F" w14:textId="5B0D041E" w:rsidR="00DE57E6" w:rsidRDefault="00DE57E6" w:rsidP="00B27831">
      <w:r>
        <w:t>Faciliter les travaux futurs d</w:t>
      </w:r>
      <w:r w:rsidR="00375F98">
        <w:t>’</w:t>
      </w:r>
      <w:r>
        <w:t>une équipe d</w:t>
      </w:r>
      <w:r w:rsidR="00375F98">
        <w:t>’</w:t>
      </w:r>
      <w:r>
        <w:t>experts composée d</w:t>
      </w:r>
      <w:r w:rsidR="00375F98">
        <w:t>’</w:t>
      </w:r>
      <w:r>
        <w:t>États membres sur les objectifs et principes touchant aux limitations et exceptio</w:t>
      </w:r>
      <w:r w:rsidR="008223F9">
        <w:t>ns.  Le</w:t>
      </w:r>
      <w:r>
        <w:t>s modalités et la portée des travaux seront définies lors de la quarante</w:t>
      </w:r>
      <w:r w:rsidR="008223F9">
        <w:noBreakHyphen/>
      </w:r>
      <w:r>
        <w:t>six</w:t>
      </w:r>
      <w:r w:rsidR="00375F98">
        <w:t>ième session du SCC</w:t>
      </w:r>
      <w:r>
        <w:t>R.</w:t>
      </w:r>
    </w:p>
    <w:p w14:paraId="71F97DBD" w14:textId="1E401D5B" w:rsidR="00DE57E6" w:rsidRPr="008223F9" w:rsidRDefault="00DE57E6" w:rsidP="00B27831">
      <w:pPr>
        <w:pStyle w:val="Endofdocument-Annex"/>
        <w:spacing w:before="720" w:after="240"/>
        <w:rPr>
          <w:lang w:val="fr-FR"/>
        </w:rPr>
      </w:pPr>
      <w:r w:rsidRPr="008223F9">
        <w:rPr>
          <w:lang w:val="fr-FR"/>
        </w:rPr>
        <w:t>[L</w:t>
      </w:r>
      <w:r w:rsidR="00375F98" w:rsidRPr="008223F9">
        <w:rPr>
          <w:lang w:val="fr-FR"/>
        </w:rPr>
        <w:t>’</w:t>
      </w:r>
      <w:r w:rsidRPr="008223F9">
        <w:rPr>
          <w:lang w:val="fr-FR"/>
        </w:rPr>
        <w:t>annexe suit]</w:t>
      </w:r>
    </w:p>
    <w:p w14:paraId="0C102478" w14:textId="77777777" w:rsidR="00DE57E6" w:rsidRDefault="00DE57E6" w:rsidP="00B27831">
      <w:pPr>
        <w:sectPr w:rsidR="00DE57E6" w:rsidSect="00817FE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14:paraId="409AD04B" w14:textId="56A3E007" w:rsidR="00DE57E6" w:rsidRPr="006259DD" w:rsidRDefault="006259DD" w:rsidP="00053E98">
      <w:pPr>
        <w:pStyle w:val="Heading1"/>
        <w:rPr>
          <w:bCs/>
          <w:caps/>
          <w:szCs w:val="22"/>
          <w:u w:val="none"/>
        </w:rPr>
      </w:pPr>
      <w:r w:rsidRPr="006259DD">
        <w:rPr>
          <w:caps/>
          <w:u w:val="none"/>
        </w:rPr>
        <w:lastRenderedPageBreak/>
        <w:t>Annexe</w:t>
      </w:r>
      <w:r w:rsidR="00375F98">
        <w:rPr>
          <w:caps/>
          <w:u w:val="none"/>
        </w:rPr>
        <w:t> :</w:t>
      </w:r>
      <w:r w:rsidRPr="006259DD">
        <w:rPr>
          <w:caps/>
          <w:u w:val="none"/>
        </w:rPr>
        <w:t xml:space="preserve"> observations préliminaires reçues au 29 </w:t>
      </w:r>
      <w:r w:rsidR="00375F98" w:rsidRPr="006259DD">
        <w:rPr>
          <w:caps/>
          <w:u w:val="none"/>
        </w:rPr>
        <w:t>mars</w:t>
      </w:r>
      <w:r w:rsidR="00375F98">
        <w:rPr>
          <w:caps/>
          <w:u w:val="none"/>
        </w:rPr>
        <w:t> </w:t>
      </w:r>
      <w:r w:rsidR="00375F98" w:rsidRPr="006259DD">
        <w:rPr>
          <w:caps/>
          <w:u w:val="none"/>
        </w:rPr>
        <w:t>20</w:t>
      </w:r>
      <w:r w:rsidRPr="006259DD">
        <w:rPr>
          <w:caps/>
          <w:u w:val="none"/>
        </w:rPr>
        <w:t>24</w:t>
      </w:r>
    </w:p>
    <w:p w14:paraId="387509E7" w14:textId="79DBFACB" w:rsidR="00DE57E6" w:rsidRPr="006259DD" w:rsidRDefault="00DE57E6" w:rsidP="006259DD">
      <w:pPr>
        <w:pStyle w:val="Heading2"/>
        <w:rPr>
          <w:b/>
          <w:bCs/>
          <w:i/>
          <w:iCs/>
          <w:szCs w:val="22"/>
          <w:u w:val="none"/>
        </w:rPr>
      </w:pPr>
      <w:r w:rsidRPr="006259DD">
        <w:rPr>
          <w:b/>
          <w:bCs/>
          <w:i/>
          <w:iCs/>
          <w:u w:val="none"/>
        </w:rPr>
        <w:t>Observations du groupe</w:t>
      </w:r>
      <w:r w:rsidR="000556EC">
        <w:rPr>
          <w:b/>
          <w:bCs/>
          <w:i/>
          <w:iCs/>
          <w:u w:val="none"/>
        </w:rPr>
        <w:t> </w:t>
      </w:r>
      <w:r w:rsidRPr="006259DD">
        <w:rPr>
          <w:b/>
          <w:bCs/>
          <w:i/>
          <w:iCs/>
          <w:u w:val="none"/>
        </w:rPr>
        <w:t>B</w:t>
      </w:r>
    </w:p>
    <w:p w14:paraId="7D09AD3E" w14:textId="77777777" w:rsidR="00DE57E6" w:rsidRPr="008A35BB" w:rsidRDefault="00DE57E6" w:rsidP="00DE57E6">
      <w:pPr>
        <w:rPr>
          <w:b/>
          <w:bCs/>
        </w:rPr>
      </w:pPr>
      <w:r>
        <w:rPr>
          <w:b/>
        </w:rPr>
        <w:t>Projet de plan de mise en œuvre du programme de travail sur les limitations et exceptions</w:t>
      </w:r>
    </w:p>
    <w:p w14:paraId="6409815C" w14:textId="19C633EB" w:rsidR="00DE57E6" w:rsidRPr="00053E98" w:rsidRDefault="00DE57E6" w:rsidP="00DE57E6">
      <w:pPr>
        <w:rPr>
          <w:b/>
          <w:bCs/>
        </w:rPr>
      </w:pPr>
      <w:r>
        <w:rPr>
          <w:b/>
        </w:rPr>
        <w:t>(Exercice biennal 2024</w:t>
      </w:r>
      <w:r w:rsidR="008223F9">
        <w:rPr>
          <w:b/>
        </w:rPr>
        <w:noBreakHyphen/>
      </w:r>
      <w:r>
        <w:rPr>
          <w:b/>
        </w:rPr>
        <w:t>2025)</w:t>
      </w:r>
    </w:p>
    <w:p w14:paraId="3ABCCD11" w14:textId="66B10E11" w:rsidR="00DE57E6" w:rsidRDefault="00DE57E6" w:rsidP="00053E98">
      <w:pPr>
        <w:pStyle w:val="Heading2"/>
      </w:pPr>
      <w:r>
        <w:t>Rappel</w:t>
      </w:r>
    </w:p>
    <w:p w14:paraId="7594DA05" w14:textId="365DDBF4" w:rsidR="00375F98" w:rsidRDefault="00DE57E6" w:rsidP="006259DD">
      <w:pPr>
        <w:spacing w:after="240"/>
      </w:pPr>
      <w:r>
        <w:t>À la quarante</w:t>
      </w:r>
      <w:r w:rsidR="008223F9">
        <w:noBreakHyphen/>
      </w:r>
      <w:r>
        <w:t>quatr</w:t>
      </w:r>
      <w:r w:rsidR="00375F98">
        <w:t>ième session du SCC</w:t>
      </w:r>
      <w:r>
        <w:t>R, la dernière session en date</w:t>
      </w:r>
      <w:r w:rsidR="00375F98">
        <w:t xml:space="preserve"> du SCC</w:t>
      </w:r>
      <w:r>
        <w:t xml:space="preserve">R tenue en </w:t>
      </w:r>
      <w:r w:rsidR="00375F98">
        <w:t>novembre 20</w:t>
      </w:r>
      <w:r>
        <w:t>23, le Secrétariat de l</w:t>
      </w:r>
      <w:r w:rsidR="00375F98">
        <w:t>’</w:t>
      </w:r>
      <w:r>
        <w:t>OMPI a été chargé d</w:t>
      </w:r>
      <w:r w:rsidR="00375F98">
        <w:t>’</w:t>
      </w:r>
      <w:r>
        <w:t xml:space="preserve">établir un projet de plan de mise en œuvre du programme de travail sur les limitations et exceptions (Proposition du groupe des pays africains concernant un projet de programme de travail sur les exceptions et limitations, adoptée par le comité, figurant dans le </w:t>
      </w:r>
      <w:r w:rsidR="00375F98">
        <w:t>document</w:t>
      </w:r>
      <w:r w:rsidR="003822F7">
        <w:t> </w:t>
      </w:r>
      <w:r w:rsidR="00375F98">
        <w:t>SC</w:t>
      </w:r>
      <w:r>
        <w:t>CR/43/8).  Le Secrétariat devait diffuser ce projet auprès des États membres pour consultation, avant la quarante</w:t>
      </w:r>
      <w:r w:rsidR="008223F9">
        <w:noBreakHyphen/>
      </w:r>
      <w:r>
        <w:t>cinqu</w:t>
      </w:r>
      <w:r w:rsidR="00375F98">
        <w:t>ième session du SCC</w:t>
      </w:r>
      <w:r>
        <w:t xml:space="preserve">R qui se tiendrait en </w:t>
      </w:r>
      <w:r w:rsidR="00375F98">
        <w:t>avril 20</w:t>
      </w:r>
      <w:r>
        <w:t>24.</w:t>
      </w:r>
    </w:p>
    <w:p w14:paraId="442BE0E6" w14:textId="2565DD73" w:rsidR="00DE57E6" w:rsidRPr="00053E98" w:rsidRDefault="00DE57E6" w:rsidP="006259DD">
      <w:pPr>
        <w:spacing w:after="240"/>
        <w:rPr>
          <w:color w:val="0D0D0D"/>
          <w:shd w:val="clear" w:color="auto" w:fill="FFFFFF"/>
        </w:rPr>
      </w:pPr>
      <w:r>
        <w:t>La version actuelle du projet de plan de mise en œuvre tient compte, comme demandé, des observations formulées par les États membres durant la quarante</w:t>
      </w:r>
      <w:r w:rsidR="008223F9">
        <w:noBreakHyphen/>
      </w:r>
      <w:r>
        <w:t>quatr</w:t>
      </w:r>
      <w:r w:rsidR="00375F98">
        <w:t>ième session du S</w:t>
      </w:r>
      <w:r w:rsidR="008223F9">
        <w:t>CCR.  Le</w:t>
      </w:r>
      <w:r>
        <w:t>s États membres peuvent désormais formuler des observations sur cette version, et les soumettre au Secrétariat, par l</w:t>
      </w:r>
      <w:r w:rsidR="00375F98">
        <w:t>’</w:t>
      </w:r>
      <w:r>
        <w:t>intermédiaire des coordonnateurs de groupe, d</w:t>
      </w:r>
      <w:r w:rsidR="00375F98">
        <w:t>’</w:t>
      </w:r>
      <w:r>
        <w:t>ici le vendredi</w:t>
      </w:r>
      <w:r w:rsidR="003822F7">
        <w:t> </w:t>
      </w:r>
      <w:r>
        <w:t>29 </w:t>
      </w:r>
      <w:r w:rsidR="00375F98">
        <w:t>mars 20</w:t>
      </w:r>
      <w:r>
        <w:t>24.  Cela permettra au Secrétariat d</w:t>
      </w:r>
      <w:r w:rsidR="00375F98">
        <w:t>’</w:t>
      </w:r>
      <w:r>
        <w:t>intégrer les différentes suggestions dans le projet avant le début de la quarante</w:t>
      </w:r>
      <w:r w:rsidR="008223F9">
        <w:noBreakHyphen/>
      </w:r>
      <w:r>
        <w:t>cinqu</w:t>
      </w:r>
      <w:r w:rsidR="00375F98">
        <w:t>ième session du S</w:t>
      </w:r>
      <w:r w:rsidR="008223F9">
        <w:t>CCR.  Ce</w:t>
      </w:r>
      <w:r>
        <w:t xml:space="preserve"> projet </w:t>
      </w:r>
      <w:r>
        <w:rPr>
          <w:color w:val="0D0D0D"/>
          <w:shd w:val="clear" w:color="auto" w:fill="FFFFFF"/>
        </w:rPr>
        <w:t>sera examiné par les États membres durant la plénière.</w:t>
      </w:r>
    </w:p>
    <w:p w14:paraId="69339146" w14:textId="634C8AAA" w:rsidR="00DE57E6" w:rsidRPr="00053E98" w:rsidRDefault="00DE57E6" w:rsidP="00053E98">
      <w:pPr>
        <w:pStyle w:val="Heading2"/>
      </w:pPr>
      <w:r>
        <w:t>Projet de plan de mise en œuvre</w:t>
      </w:r>
    </w:p>
    <w:p w14:paraId="48B166F0" w14:textId="07313A81" w:rsidR="00DE57E6" w:rsidRPr="00053E98" w:rsidRDefault="00DE57E6" w:rsidP="00053E98">
      <w:pPr>
        <w:pStyle w:val="Heading3"/>
        <w:rPr>
          <w:iCs/>
        </w:rPr>
      </w:pPr>
      <w:r>
        <w:t>I. Questions relatives à la préservation</w:t>
      </w:r>
    </w:p>
    <w:p w14:paraId="62274D0A" w14:textId="779AA5EF" w:rsidR="00DE57E6" w:rsidRDefault="00DE57E6" w:rsidP="00376F1F">
      <w:pPr>
        <w:spacing w:before="240" w:after="240"/>
      </w:pPr>
      <w:r>
        <w:t>a) Lancement d</w:t>
      </w:r>
      <w:r w:rsidR="00375F98">
        <w:t>’</w:t>
      </w:r>
      <w:r>
        <w:t>un guide sur la préservation sous une forme hybride avant la quarante</w:t>
      </w:r>
      <w:r w:rsidR="008223F9">
        <w:noBreakHyphen/>
      </w:r>
      <w:r>
        <w:t>six</w:t>
      </w:r>
      <w:r w:rsidR="00375F98">
        <w:t>ième session du SCC</w:t>
      </w:r>
      <w:r>
        <w:t>R</w:t>
      </w:r>
      <w:r>
        <w:rPr>
          <w:rStyle w:val="FootnoteReference"/>
        </w:rPr>
        <w:footnoteReference w:id="2"/>
      </w:r>
      <w:r>
        <w:t>.</w:t>
      </w:r>
    </w:p>
    <w:p w14:paraId="5FBC9806" w14:textId="6A629468" w:rsidR="00DE57E6" w:rsidRPr="006259DD" w:rsidRDefault="00DE57E6" w:rsidP="006259DD">
      <w:pPr>
        <w:spacing w:before="240" w:after="240"/>
      </w:pPr>
      <w:r>
        <w:t>b)</w:t>
      </w:r>
      <w:r>
        <w:rPr>
          <w:rStyle w:val="FootnoteReference"/>
        </w:rPr>
        <w:footnoteReference w:id="3"/>
      </w:r>
      <w:r>
        <w:t xml:space="preserve"> Réalisation durant l</w:t>
      </w:r>
      <w:r w:rsidR="00375F98">
        <w:t>’</w:t>
      </w:r>
      <w:r>
        <w:t>exercice biennal 2024</w:t>
      </w:r>
      <w:r w:rsidR="008223F9">
        <w:noBreakHyphen/>
      </w:r>
      <w:r>
        <w:t>2025 d</w:t>
      </w:r>
      <w:r w:rsidR="00375F98">
        <w:t>’</w:t>
      </w:r>
      <w:r>
        <w:t>une série d</w:t>
      </w:r>
      <w:r w:rsidR="00375F98">
        <w:t>’</w:t>
      </w:r>
      <w:r>
        <w:t xml:space="preserve">activités fondées sur le contenu du guide pour faciliter la mise en œuvre des politiques et pratiques en matière de préservation </w:t>
      </w:r>
      <w:r>
        <w:rPr>
          <w:u w:val="single"/>
        </w:rPr>
        <w:t>à l</w:t>
      </w:r>
      <w:r w:rsidR="00375F98">
        <w:rPr>
          <w:u w:val="single"/>
        </w:rPr>
        <w:t>’</w:t>
      </w:r>
      <w:r>
        <w:rPr>
          <w:u w:val="single"/>
        </w:rPr>
        <w:t>échelle nationa</w:t>
      </w:r>
      <w:r w:rsidR="008223F9">
        <w:rPr>
          <w:u w:val="single"/>
        </w:rPr>
        <w:t xml:space="preserve">le.  </w:t>
      </w:r>
      <w:r w:rsidR="008223F9">
        <w:t>Ce</w:t>
      </w:r>
      <w:r>
        <w:t>s activités impliqueront les décideurs politiques, les professionnels, les institutions et les parties prenantes concernées, et se dérouleront dans plusieurs régions.</w:t>
      </w:r>
    </w:p>
    <w:p w14:paraId="5F22FD42" w14:textId="069E2AFA" w:rsidR="00DE57E6" w:rsidRPr="00053E98" w:rsidRDefault="00DE57E6" w:rsidP="00053E98">
      <w:pPr>
        <w:pStyle w:val="Heading3"/>
        <w:rPr>
          <w:iCs/>
        </w:rPr>
      </w:pPr>
      <w:r>
        <w:lastRenderedPageBreak/>
        <w:t>II. Questions relatives à l</w:t>
      </w:r>
      <w:r w:rsidR="00375F98">
        <w:t>’</w:t>
      </w:r>
      <w:r>
        <w:t>accès</w:t>
      </w:r>
    </w:p>
    <w:p w14:paraId="1CB8B1DC" w14:textId="7CE37090" w:rsidR="00DE57E6" w:rsidRDefault="00DE57E6" w:rsidP="006259DD">
      <w:pPr>
        <w:spacing w:before="240" w:after="240"/>
      </w:pPr>
      <w:r>
        <w:t>a) Achèvement du guide</w:t>
      </w:r>
      <w:r>
        <w:rPr>
          <w:rStyle w:val="FootnoteReference"/>
        </w:rPr>
        <w:footnoteReference w:id="4"/>
      </w:r>
      <w:r>
        <w:t xml:space="preserve"> sur l</w:t>
      </w:r>
      <w:r w:rsidR="00375F98">
        <w:t>’</w:t>
      </w:r>
      <w:r>
        <w:t>accès en ce qui concerne les institutions chargées du patrimoine culturel (bibliothèques, services d</w:t>
      </w:r>
      <w:r w:rsidR="00375F98">
        <w:t>’</w:t>
      </w:r>
      <w:r>
        <w:t xml:space="preserve">archives et musées) </w:t>
      </w:r>
      <w:r w:rsidR="00375F98">
        <w:t>en 2025</w:t>
      </w:r>
      <w:r>
        <w:t xml:space="preserve">. </w:t>
      </w:r>
      <w:r w:rsidR="000556EC">
        <w:t xml:space="preserve"> </w:t>
      </w:r>
      <w:r>
        <w:rPr>
          <w:u w:val="single"/>
        </w:rPr>
        <w:t>Une fois le guide publié sur le site</w:t>
      </w:r>
      <w:r w:rsidR="000556EC">
        <w:rPr>
          <w:u w:val="single"/>
        </w:rPr>
        <w:t> </w:t>
      </w:r>
      <w:r>
        <w:rPr>
          <w:u w:val="single"/>
        </w:rPr>
        <w:t>Web</w:t>
      </w:r>
      <w:r w:rsidR="00375F98">
        <w:rPr>
          <w:u w:val="single"/>
        </w:rPr>
        <w:t xml:space="preserve"> du SCC</w:t>
      </w:r>
      <w:r>
        <w:rPr>
          <w:u w:val="single"/>
        </w:rPr>
        <w:t>R, les États membres et les parties prenantes pourront soumettre leurs observations au Secrétariat.</w:t>
      </w:r>
    </w:p>
    <w:p w14:paraId="39F02547" w14:textId="2AEBA43C" w:rsidR="00DE57E6" w:rsidRDefault="00DE57E6" w:rsidP="006259DD">
      <w:pPr>
        <w:spacing w:before="240" w:after="240"/>
      </w:pPr>
      <w:r>
        <w:t>b) Lancement du guide sur l</w:t>
      </w:r>
      <w:r w:rsidR="00375F98">
        <w:t>’</w:t>
      </w:r>
      <w:r>
        <w:t>accès concernant les institutions chargées du patrimoine culturel (bibliothèques, services d</w:t>
      </w:r>
      <w:r w:rsidR="00375F98">
        <w:t>’</w:t>
      </w:r>
      <w:r>
        <w:t>archives et musées) sous une forme hybride d</w:t>
      </w:r>
      <w:r w:rsidR="00375F98">
        <w:t>’</w:t>
      </w:r>
      <w:r>
        <w:t xml:space="preserve">ici à la fin </w:t>
      </w:r>
      <w:r w:rsidR="00375F98">
        <w:t>de 2025</w:t>
      </w:r>
      <w:r>
        <w:rPr>
          <w:rStyle w:val="FootnoteReference"/>
        </w:rPr>
        <w:footnoteReference w:id="5"/>
      </w:r>
      <w:r>
        <w:t>.</w:t>
      </w:r>
    </w:p>
    <w:p w14:paraId="52111A6C" w14:textId="6D0F64B6" w:rsidR="00DE57E6" w:rsidRDefault="00DE57E6" w:rsidP="006259DD">
      <w:pPr>
        <w:spacing w:before="240" w:after="240"/>
      </w:pPr>
      <w:r>
        <w:t>c) Réalisation au cours de l</w:t>
      </w:r>
      <w:r w:rsidR="00375F98">
        <w:t>’</w:t>
      </w:r>
      <w:r>
        <w:t>exercice biennal 2024</w:t>
      </w:r>
      <w:r w:rsidR="008223F9">
        <w:noBreakHyphen/>
      </w:r>
      <w:r>
        <w:t>2025</w:t>
      </w:r>
      <w:r>
        <w:rPr>
          <w:rStyle w:val="FootnoteReference"/>
        </w:rPr>
        <w:footnoteReference w:id="6"/>
      </w:r>
      <w:r>
        <w:t xml:space="preserve"> d</w:t>
      </w:r>
      <w:r w:rsidR="00375F98">
        <w:t>’</w:t>
      </w:r>
      <w:r>
        <w:t>une série d</w:t>
      </w:r>
      <w:r w:rsidR="00375F98">
        <w:t>’</w:t>
      </w:r>
      <w:r>
        <w:t>activités</w:t>
      </w:r>
      <w:r>
        <w:rPr>
          <w:rStyle w:val="FootnoteReference"/>
        </w:rPr>
        <w:footnoteReference w:id="7"/>
      </w:r>
      <w:r>
        <w:t xml:space="preserve"> fondées sur le contenu du guide pour faciliter la mise en œuvre des politiques et pratiques en matière d</w:t>
      </w:r>
      <w:r w:rsidR="00375F98">
        <w:t>’</w:t>
      </w:r>
      <w:r>
        <w:t>accès,</w:t>
      </w:r>
      <w:r>
        <w:rPr>
          <w:u w:val="single"/>
        </w:rPr>
        <w:t xml:space="preserve"> </w:t>
      </w:r>
      <w:r w:rsidR="00375F98">
        <w:rPr>
          <w:u w:val="single"/>
        </w:rPr>
        <w:t>y compris</w:t>
      </w:r>
      <w:r>
        <w:rPr>
          <w:u w:val="single"/>
        </w:rPr>
        <w:t xml:space="preserve"> par l</w:t>
      </w:r>
      <w:r w:rsidR="00375F98">
        <w:rPr>
          <w:u w:val="single"/>
        </w:rPr>
        <w:t>’</w:t>
      </w:r>
      <w:r>
        <w:rPr>
          <w:u w:val="single"/>
        </w:rPr>
        <w:t>intermédiaire de systèmes de licences,</w:t>
      </w:r>
      <w:r>
        <w:t xml:space="preserve"> concernant les institutions chargées du patrimoine culturel (bibliothèques, services d</w:t>
      </w:r>
      <w:r w:rsidR="00375F98">
        <w:t>’</w:t>
      </w:r>
      <w:r>
        <w:t xml:space="preserve">archives et musées) </w:t>
      </w:r>
      <w:r>
        <w:rPr>
          <w:u w:val="single"/>
        </w:rPr>
        <w:t>à l</w:t>
      </w:r>
      <w:r w:rsidR="00375F98">
        <w:rPr>
          <w:u w:val="single"/>
        </w:rPr>
        <w:t>’</w:t>
      </w:r>
      <w:r>
        <w:rPr>
          <w:u w:val="single"/>
        </w:rPr>
        <w:t>échelle nationa</w:t>
      </w:r>
      <w:r w:rsidR="008223F9">
        <w:rPr>
          <w:u w:val="single"/>
        </w:rPr>
        <w:t xml:space="preserve">le.  </w:t>
      </w:r>
      <w:r w:rsidR="008223F9">
        <w:t>Ce</w:t>
      </w:r>
      <w:r>
        <w:t>s activités impliqueront les décideurs politiques, les professionnels, les institutions et les parties prenantes concernées, et se dérouleront dans plusieurs régions.</w:t>
      </w:r>
    </w:p>
    <w:p w14:paraId="29FEE902" w14:textId="16F837AC" w:rsidR="00DE57E6" w:rsidRDefault="00DE57E6" w:rsidP="006259DD">
      <w:pPr>
        <w:spacing w:before="240" w:after="240"/>
      </w:pPr>
      <w:r>
        <w:t>d) Lancement de la préparation d</w:t>
      </w:r>
      <w:r w:rsidR="00375F98">
        <w:t>’</w:t>
      </w:r>
      <w:r>
        <w:t>un guide sur l</w:t>
      </w:r>
      <w:r w:rsidR="00375F98">
        <w:t>’</w:t>
      </w:r>
      <w:r>
        <w:t>accès concernant les établissements d</w:t>
      </w:r>
      <w:r w:rsidR="00375F98">
        <w:t>’</w:t>
      </w:r>
      <w:r>
        <w:t xml:space="preserve">enseignement et les instituts de recherche </w:t>
      </w:r>
      <w:r w:rsidR="00375F98">
        <w:t>en 2025</w:t>
      </w:r>
      <w:r>
        <w:t>.</w:t>
      </w:r>
    </w:p>
    <w:p w14:paraId="6504E7DB" w14:textId="71083485" w:rsidR="00DE57E6" w:rsidRPr="00376F1F" w:rsidRDefault="008223F9" w:rsidP="00376F1F">
      <w:pPr>
        <w:pStyle w:val="Heading3"/>
        <w:rPr>
          <w:iCs/>
        </w:rPr>
      </w:pPr>
      <w:r>
        <w:t>III.  Qu</w:t>
      </w:r>
      <w:r w:rsidR="00DE57E6">
        <w:t>estions relatives aux autres handicaps (autres que celles couvertes par le Traité de Marrakech)</w:t>
      </w:r>
    </w:p>
    <w:p w14:paraId="0AFAF2E9" w14:textId="31E98CF3" w:rsidR="00DE57E6" w:rsidRDefault="00DE57E6" w:rsidP="00DE57E6">
      <w:r>
        <w:t>a) Mise à jour du document intitulé “Résumé de l</w:t>
      </w:r>
      <w:r w:rsidR="00375F98">
        <w:t>’</w:t>
      </w:r>
      <w:r>
        <w:t>étude exploratoire sur l</w:t>
      </w:r>
      <w:r w:rsidR="00375F98">
        <w:t>’</w:t>
      </w:r>
      <w:r>
        <w:t>accès des personnes handicapées aux œuvres protégées par le droit d</w:t>
      </w:r>
      <w:r w:rsidR="00375F98">
        <w:t>’</w:t>
      </w:r>
      <w:r>
        <w:t>auteur” (</w:t>
      </w:r>
      <w:r w:rsidR="00375F98">
        <w:t>document</w:t>
      </w:r>
      <w:r w:rsidR="003822F7">
        <w:t> </w:t>
      </w:r>
      <w:r w:rsidR="00375F98">
        <w:t>SC</w:t>
      </w:r>
      <w:r>
        <w:t xml:space="preserve">C/38/3), publié </w:t>
      </w:r>
      <w:r w:rsidR="00375F98">
        <w:t>en 2019</w:t>
      </w:r>
      <w:r>
        <w:t>, afin d</w:t>
      </w:r>
      <w:r w:rsidR="00375F98">
        <w:t>’</w:t>
      </w:r>
      <w:r>
        <w:t>évaluer les technologies d</w:t>
      </w:r>
      <w:r w:rsidR="00375F98">
        <w:t>’</w:t>
      </w:r>
      <w:r>
        <w:t>assistance en relation avec les questions de droit d</w:t>
      </w:r>
      <w:r w:rsidR="00375F98">
        <w:t>’</w:t>
      </w:r>
      <w:r>
        <w:t>aute</w:t>
      </w:r>
      <w:r w:rsidR="008223F9">
        <w:t>ur.  Ce</w:t>
      </w:r>
      <w:r>
        <w:t>tte étude sera présentée lors d</w:t>
      </w:r>
      <w:r w:rsidR="00375F98">
        <w:t>’</w:t>
      </w:r>
      <w:r>
        <w:t>une session</w:t>
      </w:r>
      <w:r w:rsidR="00375F98">
        <w:t xml:space="preserve"> du SCC</w:t>
      </w:r>
      <w:r>
        <w:t xml:space="preserve">R </w:t>
      </w:r>
      <w:r w:rsidR="00375F98">
        <w:t>en 2025</w:t>
      </w:r>
      <w:r>
        <w:rPr>
          <w:rStyle w:val="FootnoteReference"/>
        </w:rPr>
        <w:footnoteReference w:id="8"/>
      </w:r>
      <w:r>
        <w:t xml:space="preserve">. </w:t>
      </w:r>
      <w:r w:rsidR="000556EC">
        <w:t xml:space="preserve"> </w:t>
      </w:r>
      <w:r>
        <w:rPr>
          <w:u w:val="single"/>
        </w:rPr>
        <w:t>Une fois l</w:t>
      </w:r>
      <w:r w:rsidR="00375F98">
        <w:rPr>
          <w:u w:val="single"/>
        </w:rPr>
        <w:t>’</w:t>
      </w:r>
      <w:r>
        <w:rPr>
          <w:u w:val="single"/>
        </w:rPr>
        <w:t>étude présentée, les États membres et les parties prenantes pourront soumettre leurs observations.</w:t>
      </w:r>
    </w:p>
    <w:p w14:paraId="351171F3" w14:textId="7BB85B3A" w:rsidR="00DE57E6" w:rsidRPr="00376F1F" w:rsidRDefault="00DE57E6" w:rsidP="00DE57E6">
      <w:r>
        <w:t>b) Organisation d</w:t>
      </w:r>
      <w:r w:rsidR="00375F98">
        <w:t>’</w:t>
      </w:r>
      <w:r>
        <w:t>un exposé</w:t>
      </w:r>
      <w:r>
        <w:rPr>
          <w:rStyle w:val="FootnoteReference"/>
        </w:rPr>
        <w:footnoteReference w:id="9"/>
      </w:r>
      <w:r>
        <w:t xml:space="preserve"> sous une forme hybride sur les moyens existants pour répondre aux besoins des personnes souffrant de handicaps auditifs et cognitifs en ce qui concerne l</w:t>
      </w:r>
      <w:r w:rsidR="00375F98">
        <w:t>’</w:t>
      </w:r>
      <w:r>
        <w:t>accès au contenu protégé par le droit d</w:t>
      </w:r>
      <w:r w:rsidR="00375F98">
        <w:t>’</w:t>
      </w:r>
      <w:r>
        <w:t>auteur, lors d</w:t>
      </w:r>
      <w:r w:rsidR="00375F98">
        <w:t>’</w:t>
      </w:r>
      <w:r>
        <w:t>une session</w:t>
      </w:r>
      <w:r w:rsidR="00375F98">
        <w:t xml:space="preserve"> du SCC</w:t>
      </w:r>
      <w:r>
        <w:t xml:space="preserve">R </w:t>
      </w:r>
      <w:r w:rsidR="00375F98">
        <w:t>en 2025</w:t>
      </w:r>
      <w:r>
        <w:t>.</w:t>
      </w:r>
    </w:p>
    <w:p w14:paraId="794D4D5E" w14:textId="3C6249E9" w:rsidR="00DE57E6" w:rsidRPr="00B01E91" w:rsidRDefault="00DE57E6" w:rsidP="00376F1F">
      <w:pPr>
        <w:pStyle w:val="Heading3"/>
        <w:rPr>
          <w:iCs/>
        </w:rPr>
      </w:pPr>
      <w:r>
        <w:t>IV. Travaux futurs concernant les objectifs et principes touchant aux limitations et exceptions</w:t>
      </w:r>
    </w:p>
    <w:p w14:paraId="259E040A" w14:textId="5CD2902E" w:rsidR="00F126B1" w:rsidRDefault="00DE57E6" w:rsidP="00DE57E6">
      <w:pPr>
        <w:rPr>
          <w:u w:val="single"/>
        </w:rPr>
      </w:pPr>
      <w:r>
        <w:t xml:space="preserve">Faciliter les travaux futurs </w:t>
      </w:r>
      <w:r>
        <w:rPr>
          <w:strike/>
        </w:rPr>
        <w:t>d</w:t>
      </w:r>
      <w:r w:rsidR="00375F98">
        <w:rPr>
          <w:strike/>
        </w:rPr>
        <w:t>’</w:t>
      </w:r>
      <w:r>
        <w:rPr>
          <w:strike/>
        </w:rPr>
        <w:t>une équipe d</w:t>
      </w:r>
      <w:r w:rsidR="00375F98">
        <w:rPr>
          <w:strike/>
        </w:rPr>
        <w:t>’</w:t>
      </w:r>
      <w:r>
        <w:rPr>
          <w:strike/>
        </w:rPr>
        <w:t>experts composée d</w:t>
      </w:r>
      <w:r w:rsidR="00375F98">
        <w:rPr>
          <w:strike/>
        </w:rPr>
        <w:t>’</w:t>
      </w:r>
      <w:r w:rsidR="006259DD" w:rsidRPr="006259DD">
        <w:rPr>
          <w:u w:val="single"/>
        </w:rPr>
        <w:t xml:space="preserve">des </w:t>
      </w:r>
      <w:r w:rsidRPr="006259DD">
        <w:t xml:space="preserve">États </w:t>
      </w:r>
      <w:r>
        <w:t xml:space="preserve">membres sur les objectifs et principes touchant aux limitations et exceptions </w:t>
      </w:r>
      <w:r>
        <w:rPr>
          <w:u w:val="single"/>
        </w:rPr>
        <w:t>en commençant à la quarante</w:t>
      </w:r>
      <w:r w:rsidR="008223F9">
        <w:rPr>
          <w:u w:val="single"/>
        </w:rPr>
        <w:noBreakHyphen/>
      </w:r>
      <w:r>
        <w:rPr>
          <w:u w:val="single"/>
        </w:rPr>
        <w:t>cinqu</w:t>
      </w:r>
      <w:r w:rsidR="00375F98">
        <w:rPr>
          <w:u w:val="single"/>
        </w:rPr>
        <w:t>ième session du SCC</w:t>
      </w:r>
      <w:r>
        <w:rPr>
          <w:u w:val="single"/>
        </w:rPr>
        <w:t>R par un débat sur la version mise a jour du document intitul</w:t>
      </w:r>
      <w:r w:rsidR="003822F7">
        <w:rPr>
          <w:u w:val="single"/>
        </w:rPr>
        <w:t>é</w:t>
      </w:r>
      <w:r>
        <w:rPr>
          <w:u w:val="single"/>
        </w:rPr>
        <w:t xml:space="preserve"> “objectifs et principes concernant les exceptions et limitations en faveur des bibliothèques et des services d</w:t>
      </w:r>
      <w:r w:rsidR="00375F98">
        <w:rPr>
          <w:u w:val="single"/>
        </w:rPr>
        <w:t>’</w:t>
      </w:r>
      <w:r>
        <w:rPr>
          <w:u w:val="single"/>
        </w:rPr>
        <w:t>archives” (document</w:t>
      </w:r>
      <w:r w:rsidR="003822F7">
        <w:rPr>
          <w:u w:val="single"/>
        </w:rPr>
        <w:t> </w:t>
      </w:r>
      <w:r>
        <w:rPr>
          <w:u w:val="single"/>
        </w:rPr>
        <w:t>SCCR/44/5), en vue de son adoption en tant que document</w:t>
      </w:r>
      <w:r w:rsidR="00375F98">
        <w:rPr>
          <w:u w:val="single"/>
        </w:rPr>
        <w:t xml:space="preserve"> du S</w:t>
      </w:r>
      <w:r w:rsidR="008223F9">
        <w:rPr>
          <w:u w:val="single"/>
        </w:rPr>
        <w:t xml:space="preserve">CCR.  </w:t>
      </w:r>
      <w:r w:rsidR="008223F9">
        <w:t>Le</w:t>
      </w:r>
      <w:r>
        <w:t xml:space="preserve">s modalités et la portée des travaux </w:t>
      </w:r>
      <w:r>
        <w:rPr>
          <w:u w:val="single"/>
        </w:rPr>
        <w:t>sur le point IV</w:t>
      </w:r>
      <w:r>
        <w:t xml:space="preserve"> seront </w:t>
      </w:r>
      <w:r>
        <w:rPr>
          <w:u w:val="single"/>
        </w:rPr>
        <w:lastRenderedPageBreak/>
        <w:t>examinées plus avant par les États membres et</w:t>
      </w:r>
      <w:r>
        <w:t xml:space="preserve"> définies lors </w:t>
      </w:r>
      <w:r>
        <w:rPr>
          <w:strike/>
        </w:rPr>
        <w:t>de la quarante</w:t>
      </w:r>
      <w:r w:rsidR="008223F9">
        <w:rPr>
          <w:strike/>
        </w:rPr>
        <w:noBreakHyphen/>
      </w:r>
      <w:r>
        <w:rPr>
          <w:strike/>
        </w:rPr>
        <w:t>sixième</w:t>
      </w:r>
      <w:r>
        <w:t xml:space="preserve"> </w:t>
      </w:r>
      <w:r>
        <w:rPr>
          <w:u w:val="single"/>
        </w:rPr>
        <w:t>d</w:t>
      </w:r>
      <w:r w:rsidR="00375F98">
        <w:rPr>
          <w:u w:val="single"/>
        </w:rPr>
        <w:t>’</w:t>
      </w:r>
      <w:r>
        <w:rPr>
          <w:u w:val="single"/>
        </w:rPr>
        <w:t>une</w:t>
      </w:r>
      <w:r>
        <w:t xml:space="preserve"> session</w:t>
      </w:r>
      <w:r w:rsidR="00375F98">
        <w:t xml:space="preserve"> du SCC</w:t>
      </w:r>
      <w:r>
        <w:t xml:space="preserve">R </w:t>
      </w:r>
      <w:r>
        <w:rPr>
          <w:u w:val="single"/>
        </w:rPr>
        <w:t>après l</w:t>
      </w:r>
      <w:r w:rsidR="00375F98">
        <w:rPr>
          <w:u w:val="single"/>
        </w:rPr>
        <w:t>’</w:t>
      </w:r>
      <w:r>
        <w:rPr>
          <w:u w:val="single"/>
        </w:rPr>
        <w:t>achèvement des points 1 à 3 du programme de travail.</w:t>
      </w:r>
    </w:p>
    <w:p w14:paraId="32AEB7D3" w14:textId="77777777" w:rsidR="00F126B1" w:rsidRDefault="00F126B1">
      <w:pPr>
        <w:rPr>
          <w:u w:val="single"/>
        </w:rPr>
      </w:pPr>
      <w:r>
        <w:rPr>
          <w:u w:val="single"/>
        </w:rPr>
        <w:br w:type="page"/>
      </w:r>
    </w:p>
    <w:p w14:paraId="50E4D08E" w14:textId="7E519645" w:rsidR="00DE57E6" w:rsidRPr="006259DD" w:rsidRDefault="00DE57E6" w:rsidP="006259DD">
      <w:pPr>
        <w:pStyle w:val="Heading2"/>
        <w:rPr>
          <w:b/>
          <w:bCs/>
          <w:i/>
          <w:iCs/>
          <w:u w:val="none"/>
        </w:rPr>
      </w:pPr>
      <w:r w:rsidRPr="006259DD">
        <w:rPr>
          <w:b/>
          <w:bCs/>
          <w:i/>
          <w:iCs/>
          <w:u w:val="none"/>
        </w:rPr>
        <w:lastRenderedPageBreak/>
        <w:t>Observations du groupe des pays d</w:t>
      </w:r>
      <w:r w:rsidR="00375F98">
        <w:rPr>
          <w:b/>
          <w:bCs/>
          <w:i/>
          <w:iCs/>
          <w:u w:val="none"/>
        </w:rPr>
        <w:t>’</w:t>
      </w:r>
      <w:r w:rsidRPr="006259DD">
        <w:rPr>
          <w:b/>
          <w:bCs/>
          <w:i/>
          <w:iCs/>
          <w:u w:val="none"/>
        </w:rPr>
        <w:t>Amérique latine et des Caraïbes (GRULAC)</w:t>
      </w:r>
    </w:p>
    <w:p w14:paraId="7521A7D5" w14:textId="10B7017A" w:rsidR="00DE57E6" w:rsidRDefault="00DE57E6" w:rsidP="00DE57E6">
      <w:pPr>
        <w:rPr>
          <w:szCs w:val="22"/>
        </w:rPr>
      </w:pPr>
      <w:r>
        <w:t>En ce qui concerne le plan de mise en œuvre,</w:t>
      </w:r>
      <w:r w:rsidR="00375F98">
        <w:t xml:space="preserve"> le GRU</w:t>
      </w:r>
      <w:r>
        <w:t>LAC observe d</w:t>
      </w:r>
      <w:r w:rsidR="00375F98">
        <w:t>’</w:t>
      </w:r>
      <w:r>
        <w:t>abord qu</w:t>
      </w:r>
      <w:r w:rsidR="00375F98">
        <w:t>’</w:t>
      </w:r>
      <w:r>
        <w:t>il ne contient pas d</w:t>
      </w:r>
      <w:r w:rsidR="00375F98">
        <w:t>’</w:t>
      </w:r>
      <w:r>
        <w:t>actions concrètes et détaillées pour mettre en œuvre le point 2.b), c</w:t>
      </w:r>
      <w:r w:rsidR="00375F98">
        <w:t>’</w:t>
      </w:r>
      <w:r>
        <w:t>est</w:t>
      </w:r>
      <w:r w:rsidR="008223F9">
        <w:noBreakHyphen/>
      </w:r>
      <w:r>
        <w:t>à</w:t>
      </w:r>
      <w:r w:rsidR="008223F9">
        <w:noBreakHyphen/>
      </w:r>
      <w:r>
        <w:t>dire “promouvoir l</w:t>
      </w:r>
      <w:r w:rsidR="00375F98">
        <w:t>’</w:t>
      </w:r>
      <w:r>
        <w:t>adaptation des exceptions et des limitations à l</w:t>
      </w:r>
      <w:r w:rsidR="00375F98">
        <w:t>’</w:t>
      </w:r>
      <w:r>
        <w:t>environnement en ligne, par exemple en favorisant l</w:t>
      </w:r>
      <w:r w:rsidR="00375F98">
        <w:t>’</w:t>
      </w:r>
      <w:r>
        <w:t>enseignement, l</w:t>
      </w:r>
      <w:r w:rsidR="00375F98">
        <w:t>’</w:t>
      </w:r>
      <w:r>
        <w:t>apprentissage et la recherche au moyen d</w:t>
      </w:r>
      <w:r w:rsidR="00375F98">
        <w:t>’</w:t>
      </w:r>
      <w:r>
        <w:t>outils numériques et en ligne”, ce qui est une priorité pour les États membres</w:t>
      </w:r>
      <w:r w:rsidR="00375F98">
        <w:t xml:space="preserve"> du GRU</w:t>
      </w:r>
      <w:r>
        <w:t>LAC en raison de sa relation avec l</w:t>
      </w:r>
      <w:r w:rsidR="00375F98">
        <w:t>’</w:t>
      </w:r>
      <w:r>
        <w:t>exploration de données.</w:t>
      </w:r>
    </w:p>
    <w:p w14:paraId="08D439C3" w14:textId="77777777" w:rsidR="00F126B1" w:rsidRDefault="00F126B1">
      <w:pPr>
        <w:rPr>
          <w:b/>
          <w:bCs/>
          <w:i/>
          <w:iCs/>
        </w:rPr>
      </w:pPr>
      <w:r>
        <w:rPr>
          <w:b/>
          <w:bCs/>
          <w:i/>
          <w:iCs/>
        </w:rPr>
        <w:br w:type="page"/>
      </w:r>
    </w:p>
    <w:p w14:paraId="777A283C" w14:textId="21BA4464" w:rsidR="00DE57E6" w:rsidRPr="006259DD" w:rsidRDefault="00DE57E6" w:rsidP="006259DD">
      <w:pPr>
        <w:pStyle w:val="Heading2"/>
        <w:rPr>
          <w:b/>
          <w:bCs/>
          <w:i/>
          <w:iCs/>
          <w:u w:val="none"/>
        </w:rPr>
      </w:pPr>
      <w:r w:rsidRPr="006259DD">
        <w:rPr>
          <w:b/>
          <w:bCs/>
          <w:i/>
          <w:iCs/>
          <w:u w:val="none"/>
        </w:rPr>
        <w:lastRenderedPageBreak/>
        <w:t>Observations de l</w:t>
      </w:r>
      <w:r w:rsidR="00375F98">
        <w:rPr>
          <w:b/>
          <w:bCs/>
          <w:i/>
          <w:iCs/>
          <w:u w:val="none"/>
        </w:rPr>
        <w:t>’</w:t>
      </w:r>
      <w:r w:rsidRPr="006259DD">
        <w:rPr>
          <w:b/>
          <w:bCs/>
          <w:i/>
          <w:iCs/>
          <w:u w:val="none"/>
        </w:rPr>
        <w:t>Iran</w:t>
      </w:r>
    </w:p>
    <w:p w14:paraId="752F0006" w14:textId="28F93CCC" w:rsidR="00375F98" w:rsidRDefault="00DE57E6" w:rsidP="006259DD">
      <w:pPr>
        <w:spacing w:before="240" w:after="240"/>
      </w:pPr>
      <w:r>
        <w:t>Au cours de la quarante</w:t>
      </w:r>
      <w:r w:rsidR="008223F9">
        <w:noBreakHyphen/>
      </w:r>
      <w:r>
        <w:t>quatr</w:t>
      </w:r>
      <w:r w:rsidR="00375F98">
        <w:t>ième session du SCC</w:t>
      </w:r>
      <w:r>
        <w:t>R, le groupe des pays africains a présenté un projet de proposition pour la mise en œuvre du programme de travail sur les exceptions et limitations (</w:t>
      </w:r>
      <w:r w:rsidR="00375F98">
        <w:t>document</w:t>
      </w:r>
      <w:r w:rsidR="003822F7">
        <w:t> </w:t>
      </w:r>
      <w:r w:rsidR="00375F98">
        <w:t>SC</w:t>
      </w:r>
      <w:r>
        <w:t xml:space="preserve">CR/44/6). </w:t>
      </w:r>
      <w:r w:rsidR="000556EC">
        <w:t xml:space="preserve"> </w:t>
      </w:r>
      <w:r>
        <w:t>Cette proposition visait à établir un processus spécifique pour l</w:t>
      </w:r>
      <w:r w:rsidR="00375F98">
        <w:t>’</w:t>
      </w:r>
      <w:r>
        <w:t>élaboration d</w:t>
      </w:r>
      <w:r w:rsidR="00375F98">
        <w:t>’</w:t>
      </w:r>
      <w:r>
        <w:t>un instrument international qui traiterait des exceptions et limitations relatives aux lois sur le droit d</w:t>
      </w:r>
      <w:r w:rsidR="00375F98">
        <w:t>’</w:t>
      </w:r>
      <w:r>
        <w:t>aute</w:t>
      </w:r>
      <w:r w:rsidR="008223F9">
        <w:t>ur.  Se</w:t>
      </w:r>
      <w:r>
        <w:t>lon le résumé présenté par le président au terme de la quarante</w:t>
      </w:r>
      <w:r w:rsidR="008223F9">
        <w:noBreakHyphen/>
      </w:r>
      <w:r>
        <w:t>quatr</w:t>
      </w:r>
      <w:r w:rsidR="00375F98">
        <w:t>ième session</w:t>
      </w:r>
      <w:r>
        <w:t>, le Secrétariat devrait présenter à la prochaine session</w:t>
      </w:r>
      <w:r w:rsidR="00375F98">
        <w:t xml:space="preserve"> du SCC</w:t>
      </w:r>
      <w:r>
        <w:t>R un “plan de mise en œuvre complet” “du programme de travail sur les exceptions et les limitations”, en tenant compte des “observations formulées par les États membres à la présente session</w:t>
      </w:r>
      <w:r w:rsidR="00375F98">
        <w:t xml:space="preserve"> du SCC</w:t>
      </w:r>
      <w:r>
        <w:t>R”.</w:t>
      </w:r>
    </w:p>
    <w:p w14:paraId="2F8AEC2A" w14:textId="527B02C1" w:rsidR="00DE57E6" w:rsidRPr="004D3C41" w:rsidRDefault="00DE57E6" w:rsidP="006259DD">
      <w:pPr>
        <w:spacing w:before="240" w:after="240"/>
        <w:rPr>
          <w:szCs w:val="22"/>
        </w:rPr>
      </w:pPr>
      <w:r>
        <w:t>Les commentaires suivants sont présentés comme contribution aux travaux</w:t>
      </w:r>
      <w:r w:rsidR="00375F98">
        <w:t xml:space="preserve"> du SCC</w:t>
      </w:r>
      <w:r>
        <w:t>R dans le cadre de la mise en œuvre du programme de travail sur les exceptions et limitations.</w:t>
      </w:r>
    </w:p>
    <w:p w14:paraId="3DA4D25B" w14:textId="2532F882" w:rsidR="00DE57E6" w:rsidRPr="004D3C41" w:rsidRDefault="00DE57E6" w:rsidP="006259DD">
      <w:pPr>
        <w:spacing w:before="240" w:after="240"/>
        <w:rPr>
          <w:szCs w:val="22"/>
        </w:rPr>
      </w:pPr>
      <w:r>
        <w:t xml:space="preserve">Ma délégation soutient pleinement le “projet de proposition pour la mise en œuvre du programme de travail sur les exceptions et limitations” qui figure dans le </w:t>
      </w:r>
      <w:r w:rsidR="00375F98">
        <w:t>document</w:t>
      </w:r>
      <w:r w:rsidR="003822F7">
        <w:t> </w:t>
      </w:r>
      <w:r w:rsidR="00375F98">
        <w:t>SC</w:t>
      </w:r>
      <w:r>
        <w:t xml:space="preserve">CR/44/6. </w:t>
      </w:r>
      <w:r w:rsidR="000556EC">
        <w:t xml:space="preserve"> </w:t>
      </w:r>
      <w:r>
        <w:t>Nous pensons que la proposition peut servir de base appropriée pour la mise en œuvre du programme de travail sur les exceptions et limitations qui a été adopté dans son intégralité par</w:t>
      </w:r>
      <w:r w:rsidR="00375F98">
        <w:t xml:space="preserve"> le SCC</w:t>
      </w:r>
      <w:r>
        <w:t>R lors de sa quarante</w:t>
      </w:r>
      <w:r w:rsidR="008223F9">
        <w:noBreakHyphen/>
      </w:r>
      <w:r>
        <w:t>quatr</w:t>
      </w:r>
      <w:r w:rsidR="00375F98">
        <w:t>ième sessi</w:t>
      </w:r>
      <w:r w:rsidR="008223F9">
        <w:t>on.  La</w:t>
      </w:r>
      <w:r>
        <w:t xml:space="preserve"> proposition met en évidence trois</w:t>
      </w:r>
      <w:r w:rsidR="000556EC">
        <w:t> </w:t>
      </w:r>
      <w:r>
        <w:t>questions prioritaires retenues par le comi</w:t>
      </w:r>
      <w:r w:rsidR="008223F9">
        <w:t>té.  La</w:t>
      </w:r>
      <w:r>
        <w:t xml:space="preserve"> proposition a fourni un cadre global pour les discussions sur la manière de faire avancer le programme de travail sur les exceptions et limitations au sein</w:t>
      </w:r>
      <w:r w:rsidR="00375F98">
        <w:t xml:space="preserve"> du S</w:t>
      </w:r>
      <w:r w:rsidR="008223F9">
        <w:t>CCR.  El</w:t>
      </w:r>
      <w:r>
        <w:t>le suggère une approche par étapes pour l</w:t>
      </w:r>
      <w:r w:rsidR="00375F98">
        <w:t>’</w:t>
      </w:r>
      <w:r>
        <w:t>élaboration de l</w:t>
      </w:r>
      <w:r w:rsidR="00375F98">
        <w:t>’</w:t>
      </w:r>
      <w:r>
        <w:t>instrument, commençant par un accord sur les objectifs et les principes avant de passer à l</w:t>
      </w:r>
      <w:r w:rsidR="00375F98">
        <w:t>’</w:t>
      </w:r>
      <w:r>
        <w:t>examen des options spécifiques à inclure dans l</w:t>
      </w:r>
      <w:r w:rsidR="00375F98">
        <w:t>’</w:t>
      </w:r>
      <w:r>
        <w:t>instrume</w:t>
      </w:r>
      <w:r w:rsidR="008223F9">
        <w:t>nt.  Se</w:t>
      </w:r>
      <w:r>
        <w:t>lon le projet de proposition pour la mise en œuvre du programme de travail sur les exceptions et limitations, “les projets d</w:t>
      </w:r>
      <w:r w:rsidR="00375F98">
        <w:t>’</w:t>
      </w:r>
      <w:r>
        <w:t>objectifs, de principes et d</w:t>
      </w:r>
      <w:r w:rsidR="00375F98">
        <w:t>’</w:t>
      </w:r>
      <w:r>
        <w:t>options (de mise en œuvre) devraient être présentés à la quarante</w:t>
      </w:r>
      <w:r w:rsidR="008223F9">
        <w:noBreakHyphen/>
      </w:r>
      <w:r>
        <w:t>cinqu</w:t>
      </w:r>
      <w:r w:rsidR="00375F98">
        <w:t>ième session du SCC</w:t>
      </w:r>
      <w:r>
        <w:t xml:space="preserve">R pour examen par le comité” (voir le </w:t>
      </w:r>
      <w:r w:rsidR="00375F98">
        <w:t>document</w:t>
      </w:r>
      <w:r w:rsidR="003822F7">
        <w:t> </w:t>
      </w:r>
      <w:r w:rsidR="00375F98">
        <w:t>SC</w:t>
      </w:r>
      <w:r>
        <w:t>CR/44/6).</w:t>
      </w:r>
    </w:p>
    <w:p w14:paraId="22285F94" w14:textId="3A46B9BD" w:rsidR="00DE57E6" w:rsidRPr="004D3C41" w:rsidRDefault="00DE57E6" w:rsidP="006259DD">
      <w:pPr>
        <w:spacing w:before="240" w:after="240"/>
        <w:rPr>
          <w:szCs w:val="22"/>
        </w:rPr>
      </w:pPr>
      <w:r>
        <w:t>Nous pensons que ce programme de travail complet (fondé sur la proposition du groupe des pays africains) pourrait servir de base à de nouvelles délibérations lors de la quarante</w:t>
      </w:r>
      <w:r w:rsidR="008223F9">
        <w:noBreakHyphen/>
      </w:r>
      <w:r>
        <w:t>cinqu</w:t>
      </w:r>
      <w:r w:rsidR="00375F98">
        <w:t>ième session du SCC</w:t>
      </w:r>
      <w:r>
        <w:t>R, au cours desquelles les États membres pourraient examiner et affiner le processus proposé pour l</w:t>
      </w:r>
      <w:r w:rsidR="00375F98">
        <w:t>’</w:t>
      </w:r>
      <w:r>
        <w:t>élaboration de l</w:t>
      </w:r>
      <w:r w:rsidR="00375F98">
        <w:t>’</w:t>
      </w:r>
      <w:r>
        <w:t>instrument international sur les exceptions et limitatio</w:t>
      </w:r>
      <w:r w:rsidR="008223F9">
        <w:t>ns.  En</w:t>
      </w:r>
      <w:r>
        <w:t xml:space="preserve"> outre, la création d</w:t>
      </w:r>
      <w:r w:rsidR="00375F98">
        <w:t>’</w:t>
      </w:r>
      <w:r>
        <w:t>un groupe de travail au cours de la quarante</w:t>
      </w:r>
      <w:r w:rsidR="008223F9">
        <w:noBreakHyphen/>
      </w:r>
      <w:r>
        <w:t>cinqu</w:t>
      </w:r>
      <w:r w:rsidR="00375F98">
        <w:t>ième session du SCC</w:t>
      </w:r>
      <w:r>
        <w:t>R pourrait contribuer à faire avancer les travaux dans ce domaine entre les sessions, ce qui pourrait déboucher sur des résultats concrets susceptibles d</w:t>
      </w:r>
      <w:r w:rsidR="00375F98">
        <w:t>’</w:t>
      </w:r>
      <w:r>
        <w:t>être présentés et examinés à la quarante</w:t>
      </w:r>
      <w:r w:rsidR="008223F9">
        <w:noBreakHyphen/>
      </w:r>
      <w:r>
        <w:t>six</w:t>
      </w:r>
      <w:r w:rsidR="00375F98">
        <w:t>ième session du S</w:t>
      </w:r>
      <w:r w:rsidR="008223F9">
        <w:t>CCR.  En</w:t>
      </w:r>
      <w:r>
        <w:t xml:space="preserve"> s</w:t>
      </w:r>
      <w:r w:rsidR="00375F98">
        <w:t>’</w:t>
      </w:r>
      <w:r>
        <w:t>appuyant sur la proposition faite à la quarante</w:t>
      </w:r>
      <w:r w:rsidR="008223F9">
        <w:noBreakHyphen/>
      </w:r>
      <w:r>
        <w:t>quatr</w:t>
      </w:r>
      <w:r w:rsidR="00375F98">
        <w:t>ième session du SCC</w:t>
      </w:r>
      <w:r>
        <w:t>R et en engageant des discussions de fond lors de la quarante</w:t>
      </w:r>
      <w:r w:rsidR="008223F9">
        <w:noBreakHyphen/>
      </w:r>
      <w:r>
        <w:t>cinqu</w:t>
      </w:r>
      <w:r w:rsidR="00375F98">
        <w:t>ième session du SCC</w:t>
      </w:r>
      <w:r>
        <w:t>R, le comité pourrait faire des progrès significatifs dans la réalisation de son objectif d</w:t>
      </w:r>
      <w:r w:rsidR="00375F98">
        <w:t>’</w:t>
      </w:r>
      <w:r>
        <w:t>amélioration de l</w:t>
      </w:r>
      <w:r w:rsidR="00375F98">
        <w:t>’</w:t>
      </w:r>
      <w:r>
        <w:t>accès au savoir et de promotion de la transparence grâce à des cadres équilibrés en matière de droit d</w:t>
      </w:r>
      <w:r w:rsidR="00375F98">
        <w:t>’</w:t>
      </w:r>
      <w:r>
        <w:t>auteur.</w:t>
      </w:r>
    </w:p>
    <w:p w14:paraId="01E777BA" w14:textId="40EF1454" w:rsidR="00DE57E6" w:rsidRDefault="00DE57E6" w:rsidP="006259DD">
      <w:pPr>
        <w:spacing w:before="240" w:after="240"/>
        <w:rPr>
          <w:szCs w:val="22"/>
        </w:rPr>
      </w:pPr>
      <w:r>
        <w:t>Les limitations et les exceptions constituent le seul point du projet de plan de mise en œuvre qui nécessite un examen approfon</w:t>
      </w:r>
      <w:r w:rsidR="008223F9">
        <w:t>di.  Co</w:t>
      </w:r>
      <w:r>
        <w:t>mpte tenu du fait que le programme de la quarante</w:t>
      </w:r>
      <w:r w:rsidR="008223F9">
        <w:noBreakHyphen/>
      </w:r>
      <w:r>
        <w:t>six</w:t>
      </w:r>
      <w:r w:rsidR="00375F98">
        <w:t>ième session du SCC</w:t>
      </w:r>
      <w:r>
        <w:t>R risque de devoir être reporté jusqu</w:t>
      </w:r>
      <w:r w:rsidR="00375F98">
        <w:t>’</w:t>
      </w:r>
      <w:r>
        <w:t>au printemps 2025, au plus tôt, ma délégation suggère que la portée et les modalités soient examinées à la quarante</w:t>
      </w:r>
      <w:r w:rsidR="008223F9">
        <w:noBreakHyphen/>
      </w:r>
      <w:r>
        <w:t>cinqu</w:t>
      </w:r>
      <w:r w:rsidR="00375F98">
        <w:t>ième session du SCC</w:t>
      </w:r>
      <w:r>
        <w:t>R et qu</w:t>
      </w:r>
      <w:r w:rsidR="00375F98">
        <w:t>’</w:t>
      </w:r>
      <w:r>
        <w:t>un groupe de travail soit également constitué à cette sessi</w:t>
      </w:r>
      <w:r w:rsidR="008223F9">
        <w:t>on.  Ce</w:t>
      </w:r>
      <w:r>
        <w:t>tte solution permettrait au groupe de travail de poursuivre ses travaux entre les sessions et de présenter ses résultats à la quarante</w:t>
      </w:r>
      <w:r w:rsidR="008223F9">
        <w:noBreakHyphen/>
      </w:r>
      <w:r>
        <w:t>six</w:t>
      </w:r>
      <w:r w:rsidR="00375F98">
        <w:t>ième session du S</w:t>
      </w:r>
      <w:r w:rsidR="008223F9">
        <w:t>CCR.  En</w:t>
      </w:r>
      <w:r>
        <w:t xml:space="preserve"> outre, nous pensons que le projet de plan de mise en œuvre du programme de travail sur les limitations et exceptions qui a été établi par le Secrétariat devrait être examiné plus avant par le comité à la prochaine session</w:t>
      </w:r>
      <w:r w:rsidR="00375F98">
        <w:t xml:space="preserve"> du SCC</w:t>
      </w:r>
      <w:r>
        <w:t>R (quarante</w:t>
      </w:r>
      <w:r w:rsidR="008223F9">
        <w:noBreakHyphen/>
      </w:r>
      <w:r>
        <w:t>cinqu</w:t>
      </w:r>
      <w:r w:rsidR="00375F98">
        <w:t>ième session</w:t>
      </w:r>
      <w:r>
        <w:t>).</w:t>
      </w:r>
    </w:p>
    <w:p w14:paraId="27E8CE93" w14:textId="77777777" w:rsidR="00DE57E6" w:rsidRDefault="00DE57E6" w:rsidP="00DE57E6">
      <w:pPr>
        <w:rPr>
          <w:szCs w:val="22"/>
        </w:rPr>
      </w:pPr>
      <w:r>
        <w:br w:type="page"/>
      </w:r>
    </w:p>
    <w:p w14:paraId="7D1F4B8C" w14:textId="50B897E0" w:rsidR="00DE57E6" w:rsidRPr="006259DD" w:rsidRDefault="00DE57E6" w:rsidP="00F126B1">
      <w:pPr>
        <w:pStyle w:val="Heading2"/>
        <w:tabs>
          <w:tab w:val="right" w:pos="9355"/>
        </w:tabs>
        <w:rPr>
          <w:b/>
          <w:bCs/>
          <w:i/>
          <w:iCs/>
          <w:u w:val="none"/>
        </w:rPr>
      </w:pPr>
      <w:r w:rsidRPr="006259DD">
        <w:rPr>
          <w:b/>
          <w:bCs/>
          <w:i/>
          <w:iCs/>
          <w:u w:val="none"/>
        </w:rPr>
        <w:lastRenderedPageBreak/>
        <w:t>Observations de la Fédération de Russie</w:t>
      </w:r>
      <w:r w:rsidR="00F126B1">
        <w:rPr>
          <w:b/>
          <w:bCs/>
          <w:i/>
          <w:iCs/>
          <w:u w:val="none"/>
        </w:rPr>
        <w:tab/>
      </w:r>
    </w:p>
    <w:p w14:paraId="3421D020" w14:textId="1EF688F5" w:rsidR="00375F98" w:rsidRDefault="00DE57E6" w:rsidP="006259DD">
      <w:pPr>
        <w:spacing w:after="240"/>
      </w:pPr>
      <w:r>
        <w:t xml:space="preserve">Nous nous demandons quelle sera la corrélation potentielle entre le guide proposé sur la préservation, indiqué au </w:t>
      </w:r>
      <w:r w:rsidR="00375F98">
        <w:rPr>
          <w:i/>
          <w:iCs/>
        </w:rPr>
        <w:t>paragraphe I</w:t>
      </w:r>
      <w:r>
        <w:rPr>
          <w:i/>
          <w:iCs/>
        </w:rPr>
        <w:t>.</w:t>
      </w:r>
      <w:r w:rsidR="000556EC">
        <w:rPr>
          <w:i/>
          <w:iCs/>
        </w:rPr>
        <w:t> </w:t>
      </w:r>
      <w:r>
        <w:rPr>
          <w:i/>
          <w:iCs/>
        </w:rPr>
        <w:t>Questions relatives à la préservation</w:t>
      </w:r>
      <w:r>
        <w:t>, et le guide sur la sauvegarde du patrimoine, établi par Rina Elster Pantalony, Kenneth D.</w:t>
      </w:r>
      <w:r w:rsidR="000556EC">
        <w:t> </w:t>
      </w:r>
      <w:r>
        <w:t>Crews et David Sutton pour la quarante</w:t>
      </w:r>
      <w:r w:rsidR="008223F9">
        <w:noBreakHyphen/>
      </w:r>
      <w:r>
        <w:t>trois</w:t>
      </w:r>
      <w:r w:rsidR="00375F98">
        <w:t>ième session du SCC</w:t>
      </w:r>
      <w:r>
        <w:t>R (</w:t>
      </w:r>
      <w:r w:rsidR="00375F98">
        <w:t>document</w:t>
      </w:r>
      <w:r w:rsidR="003822F7">
        <w:t> </w:t>
      </w:r>
      <w:r w:rsidR="00375F98">
        <w:t>SC</w:t>
      </w:r>
      <w:r>
        <w:t>CR/43/4).</w:t>
      </w:r>
    </w:p>
    <w:p w14:paraId="2310D431" w14:textId="2AFCBEAB" w:rsidR="00375F98" w:rsidRDefault="00DE57E6" w:rsidP="006259DD">
      <w:pPr>
        <w:spacing w:after="240"/>
      </w:pPr>
      <w:r>
        <w:t>Par ailleurs, à la quarante</w:t>
      </w:r>
      <w:r w:rsidR="008223F9">
        <w:noBreakHyphen/>
      </w:r>
      <w:r>
        <w:t>trois</w:t>
      </w:r>
      <w:r w:rsidR="00375F98">
        <w:t>ième session du SCC</w:t>
      </w:r>
      <w:r>
        <w:t>R, le Secrétariat a indiqué que des guides seraient établis sur l</w:t>
      </w:r>
      <w:r w:rsidR="00375F98">
        <w:t>’</w:t>
      </w:r>
      <w:r>
        <w:t>accès des bibliothèques, des musées et des services d</w:t>
      </w:r>
      <w:r w:rsidR="00375F98">
        <w:t>’</w:t>
      </w:r>
      <w:r>
        <w:t>archives, ainsi que sur l</w:t>
      </w:r>
      <w:r w:rsidR="00375F98">
        <w:t>’</w:t>
      </w:r>
      <w:r>
        <w:t>accès des établissements d</w:t>
      </w:r>
      <w:r w:rsidR="00375F98">
        <w:t>’</w:t>
      </w:r>
      <w:r>
        <w:t>enseignement et des instituts de recherc</w:t>
      </w:r>
      <w:r w:rsidR="008223F9">
        <w:t>he.  Pa</w:t>
      </w:r>
      <w:r>
        <w:t>r conséquent, nous sommes curieux de savoir si l</w:t>
      </w:r>
      <w:r w:rsidR="00375F98">
        <w:t>’</w:t>
      </w:r>
      <w:r>
        <w:t>achèvement du guide sur l</w:t>
      </w:r>
      <w:r w:rsidR="00375F98">
        <w:t>’</w:t>
      </w:r>
      <w:r>
        <w:t>accès concernant les institutions chargées du patrimoine culturel (bibliothèques, services d</w:t>
      </w:r>
      <w:r w:rsidR="00375F98">
        <w:t>’</w:t>
      </w:r>
      <w:r>
        <w:t>archives et musées) et le lancement du guide sur l</w:t>
      </w:r>
      <w:r w:rsidR="00375F98">
        <w:t>’</w:t>
      </w:r>
      <w:r>
        <w:t xml:space="preserve">accès concernant les établissements de recherche et les instituts de recherche, indiqué au </w:t>
      </w:r>
      <w:r>
        <w:rPr>
          <w:i/>
          <w:iCs/>
        </w:rPr>
        <w:t>paragraphe II.</w:t>
      </w:r>
      <w:r>
        <w:rPr>
          <w:i/>
        </w:rPr>
        <w:t xml:space="preserve">  Questions relatives à l</w:t>
      </w:r>
      <w:r w:rsidR="00375F98">
        <w:rPr>
          <w:i/>
        </w:rPr>
        <w:t>’</w:t>
      </w:r>
      <w:r>
        <w:rPr>
          <w:i/>
        </w:rPr>
        <w:t>accès</w:t>
      </w:r>
      <w:r>
        <w:t xml:space="preserve"> du plan, impliquent la poursuite de ces travaux ou autre chose.</w:t>
      </w:r>
    </w:p>
    <w:p w14:paraId="4917FD9A" w14:textId="276EDECD" w:rsidR="000F5E56" w:rsidRPr="008223F9" w:rsidRDefault="00DE57E6" w:rsidP="006259DD">
      <w:pPr>
        <w:pStyle w:val="Endofdocument-Annex"/>
        <w:spacing w:before="720" w:after="240"/>
        <w:rPr>
          <w:lang w:val="fr-FR"/>
        </w:rPr>
      </w:pPr>
      <w:r w:rsidRPr="008223F9">
        <w:rPr>
          <w:lang w:val="fr-FR"/>
        </w:rPr>
        <w:t>[Fin de l</w:t>
      </w:r>
      <w:r w:rsidR="00375F98" w:rsidRPr="008223F9">
        <w:rPr>
          <w:lang w:val="fr-FR"/>
        </w:rPr>
        <w:t>’</w:t>
      </w:r>
      <w:r w:rsidRPr="008223F9">
        <w:rPr>
          <w:lang w:val="fr-FR"/>
        </w:rPr>
        <w:t>annexe et du document]</w:t>
      </w:r>
    </w:p>
    <w:sectPr w:rsidR="000F5E56" w:rsidRPr="008223F9" w:rsidSect="00F126B1">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EEE52" w14:textId="77777777" w:rsidR="00DE57E6" w:rsidRDefault="00DE57E6">
      <w:r>
        <w:separator/>
      </w:r>
    </w:p>
    <w:p w14:paraId="066F33CE" w14:textId="77777777" w:rsidR="00055BB1" w:rsidRDefault="00055BB1"/>
  </w:endnote>
  <w:endnote w:type="continuationSeparator" w:id="0">
    <w:p w14:paraId="183F1936" w14:textId="77777777" w:rsidR="00DE57E6" w:rsidRPr="009D30E6" w:rsidRDefault="00DE57E6" w:rsidP="00D45252">
      <w:pPr>
        <w:rPr>
          <w:sz w:val="17"/>
          <w:szCs w:val="17"/>
        </w:rPr>
      </w:pPr>
      <w:r w:rsidRPr="009D30E6">
        <w:rPr>
          <w:sz w:val="17"/>
          <w:szCs w:val="17"/>
        </w:rPr>
        <w:separator/>
      </w:r>
    </w:p>
    <w:p w14:paraId="47B6F599" w14:textId="77777777" w:rsidR="00DE57E6" w:rsidRPr="009D30E6" w:rsidRDefault="00DE57E6" w:rsidP="00D45252">
      <w:pPr>
        <w:spacing w:after="60"/>
        <w:rPr>
          <w:sz w:val="17"/>
          <w:szCs w:val="17"/>
        </w:rPr>
      </w:pPr>
      <w:r w:rsidRPr="009D30E6">
        <w:rPr>
          <w:sz w:val="17"/>
          <w:szCs w:val="17"/>
        </w:rPr>
        <w:t>[Suite de la note de la page précédente]</w:t>
      </w:r>
    </w:p>
    <w:p w14:paraId="6E3B3483" w14:textId="77777777" w:rsidR="00055BB1" w:rsidRDefault="00055BB1"/>
  </w:endnote>
  <w:endnote w:type="continuationNotice" w:id="1">
    <w:p w14:paraId="72B4EE56" w14:textId="77777777" w:rsidR="00DE57E6" w:rsidRPr="009D30E6" w:rsidRDefault="00DE57E6" w:rsidP="009D30E6">
      <w:pPr>
        <w:spacing w:before="60"/>
        <w:jc w:val="right"/>
        <w:rPr>
          <w:sz w:val="17"/>
          <w:szCs w:val="17"/>
        </w:rPr>
      </w:pPr>
      <w:r w:rsidRPr="009D30E6">
        <w:rPr>
          <w:sz w:val="17"/>
          <w:szCs w:val="17"/>
        </w:rPr>
        <w:t>[Suite de la note page suivante]</w:t>
      </w:r>
    </w:p>
    <w:p w14:paraId="2B127ACA" w14:textId="77777777" w:rsidR="00055BB1" w:rsidRDefault="00055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7A11" w14:textId="77777777" w:rsidR="00CA3358" w:rsidRDefault="00CA3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D675" w14:textId="77777777" w:rsidR="00CA3358" w:rsidRDefault="00CA33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C3BB" w14:textId="77777777" w:rsidR="00CA3358" w:rsidRDefault="00CA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C4AE" w14:textId="77777777" w:rsidR="00DE57E6" w:rsidRDefault="00DE57E6">
      <w:r>
        <w:separator/>
      </w:r>
    </w:p>
    <w:p w14:paraId="084E9F44" w14:textId="77777777" w:rsidR="00055BB1" w:rsidRDefault="00055BB1"/>
  </w:footnote>
  <w:footnote w:type="continuationSeparator" w:id="0">
    <w:p w14:paraId="56542A1D" w14:textId="77777777" w:rsidR="00DE57E6" w:rsidRDefault="00DE57E6" w:rsidP="007461F1">
      <w:r>
        <w:separator/>
      </w:r>
    </w:p>
    <w:p w14:paraId="75E08D66" w14:textId="77777777" w:rsidR="00DE57E6" w:rsidRPr="009D30E6" w:rsidRDefault="00DE57E6" w:rsidP="007461F1">
      <w:pPr>
        <w:spacing w:after="60"/>
        <w:rPr>
          <w:sz w:val="17"/>
          <w:szCs w:val="17"/>
        </w:rPr>
      </w:pPr>
      <w:r w:rsidRPr="009D30E6">
        <w:rPr>
          <w:sz w:val="17"/>
          <w:szCs w:val="17"/>
        </w:rPr>
        <w:t>[Suite de la note de la page précédente]</w:t>
      </w:r>
    </w:p>
    <w:p w14:paraId="19906601" w14:textId="77777777" w:rsidR="00055BB1" w:rsidRDefault="00055BB1"/>
  </w:footnote>
  <w:footnote w:type="continuationNotice" w:id="1">
    <w:p w14:paraId="2C78F3BB" w14:textId="77777777" w:rsidR="00DE57E6" w:rsidRPr="009D30E6" w:rsidRDefault="00DE57E6" w:rsidP="007461F1">
      <w:pPr>
        <w:spacing w:before="60"/>
        <w:jc w:val="right"/>
        <w:rPr>
          <w:sz w:val="17"/>
          <w:szCs w:val="17"/>
        </w:rPr>
      </w:pPr>
      <w:r w:rsidRPr="009D30E6">
        <w:rPr>
          <w:sz w:val="17"/>
          <w:szCs w:val="17"/>
        </w:rPr>
        <w:t>[Suite de la note page suivante]</w:t>
      </w:r>
    </w:p>
    <w:p w14:paraId="77053778" w14:textId="77777777" w:rsidR="00055BB1" w:rsidRDefault="00055BB1"/>
  </w:footnote>
  <w:footnote w:id="2">
    <w:p w14:paraId="3E01DF24" w14:textId="2DC4D42F" w:rsidR="00DE57E6" w:rsidRPr="008223F9" w:rsidRDefault="00DE57E6" w:rsidP="00DE57E6">
      <w:pPr>
        <w:pStyle w:val="pf0"/>
        <w:spacing w:before="0" w:beforeAutospacing="0" w:after="0" w:afterAutospacing="0"/>
        <w:rPr>
          <w:rFonts w:ascii="Arial" w:hAnsi="Arial" w:cs="Segoe UI"/>
          <w:sz w:val="18"/>
          <w:szCs w:val="18"/>
        </w:rPr>
      </w:pPr>
      <w:r>
        <w:rPr>
          <w:rStyle w:val="FootnoteReference"/>
          <w:rFonts w:ascii="Arial" w:hAnsi="Arial" w:cs="Arial"/>
          <w:sz w:val="18"/>
          <w:szCs w:val="18"/>
        </w:rPr>
        <w:footnoteRef/>
      </w:r>
      <w:r>
        <w:rPr>
          <w:rFonts w:ascii="Arial" w:hAnsi="Arial"/>
          <w:sz w:val="18"/>
        </w:rPr>
        <w:t xml:space="preserve"> </w:t>
      </w:r>
      <w:r w:rsidR="006259DD">
        <w:rPr>
          <w:rFonts w:ascii="Arial" w:hAnsi="Arial"/>
          <w:sz w:val="18"/>
        </w:rPr>
        <w:tab/>
      </w:r>
      <w:r>
        <w:rPr>
          <w:rStyle w:val="cf01"/>
          <w:rFonts w:ascii="Arial" w:hAnsi="Arial"/>
        </w:rPr>
        <w:t>Nous suggérons que le lancement du guide ait lieu lors d</w:t>
      </w:r>
      <w:r w:rsidR="00055BB1">
        <w:rPr>
          <w:rStyle w:val="cf01"/>
          <w:rFonts w:ascii="Arial" w:hAnsi="Arial"/>
        </w:rPr>
        <w:t>’</w:t>
      </w:r>
      <w:r>
        <w:rPr>
          <w:rStyle w:val="cf01"/>
          <w:rFonts w:ascii="Arial" w:hAnsi="Arial"/>
        </w:rPr>
        <w:t>une réunion</w:t>
      </w:r>
      <w:r w:rsidR="00055BB1">
        <w:rPr>
          <w:rStyle w:val="cf01"/>
          <w:rFonts w:ascii="Arial" w:hAnsi="Arial"/>
        </w:rPr>
        <w:t xml:space="preserve"> du SCC</w:t>
      </w:r>
      <w:r>
        <w:rPr>
          <w:rStyle w:val="cf01"/>
          <w:rFonts w:ascii="Arial" w:hAnsi="Arial"/>
        </w:rPr>
        <w:t>R afin d</w:t>
      </w:r>
      <w:r w:rsidR="00055BB1">
        <w:rPr>
          <w:rStyle w:val="cf01"/>
          <w:rFonts w:ascii="Arial" w:hAnsi="Arial"/>
        </w:rPr>
        <w:t>’</w:t>
      </w:r>
      <w:r>
        <w:rPr>
          <w:rStyle w:val="cf01"/>
          <w:rFonts w:ascii="Arial" w:hAnsi="Arial"/>
        </w:rPr>
        <w:t>assurer une plus grande participation des États membres et des parties prenantes/observateurs, et de mettre en évidence le travail réalisé dans le cadre de ce projet.</w:t>
      </w:r>
    </w:p>
  </w:footnote>
  <w:footnote w:id="3">
    <w:p w14:paraId="68DA2DE9" w14:textId="7B63F911" w:rsidR="00DE57E6" w:rsidRPr="00C83461" w:rsidRDefault="00DE57E6" w:rsidP="00DE57E6">
      <w:pPr>
        <w:pStyle w:val="pf0"/>
        <w:spacing w:before="0" w:beforeAutospacing="0" w:after="0" w:afterAutospacing="0"/>
        <w:rPr>
          <w:rFonts w:ascii="Arial" w:hAnsi="Arial" w:cs="Arial"/>
          <w:sz w:val="18"/>
          <w:szCs w:val="18"/>
        </w:rPr>
      </w:pPr>
      <w:r>
        <w:rPr>
          <w:rStyle w:val="FootnoteReference"/>
          <w:rFonts w:ascii="Arial" w:hAnsi="Arial" w:cs="Arial"/>
          <w:sz w:val="18"/>
          <w:szCs w:val="18"/>
        </w:rPr>
        <w:footnoteRef/>
      </w:r>
      <w:r>
        <w:rPr>
          <w:rFonts w:ascii="Arial" w:hAnsi="Arial"/>
          <w:sz w:val="18"/>
        </w:rPr>
        <w:t xml:space="preserve"> </w:t>
      </w:r>
      <w:r w:rsidR="006259DD">
        <w:rPr>
          <w:rFonts w:ascii="Arial" w:hAnsi="Arial"/>
          <w:sz w:val="18"/>
        </w:rPr>
        <w:tab/>
      </w:r>
      <w:r>
        <w:rPr>
          <w:rStyle w:val="cf01"/>
          <w:rFonts w:ascii="Arial" w:hAnsi="Arial"/>
        </w:rPr>
        <w:t>Nous souhaiterions obtenir des éclaircissements sur les points suivants</w:t>
      </w:r>
      <w:r w:rsidR="00055BB1">
        <w:rPr>
          <w:rStyle w:val="cf01"/>
          <w:rFonts w:ascii="Arial" w:hAnsi="Arial"/>
        </w:rPr>
        <w:t> :</w:t>
      </w:r>
    </w:p>
    <w:p w14:paraId="15202893" w14:textId="129912CA" w:rsidR="00DE57E6" w:rsidRPr="00C83461" w:rsidRDefault="00DE57E6" w:rsidP="006259DD">
      <w:pPr>
        <w:pStyle w:val="pf1"/>
        <w:numPr>
          <w:ilvl w:val="0"/>
          <w:numId w:val="7"/>
        </w:numPr>
        <w:tabs>
          <w:tab w:val="clear" w:pos="720"/>
        </w:tabs>
        <w:spacing w:before="0" w:beforeAutospacing="0" w:after="0" w:afterAutospacing="0"/>
        <w:ind w:left="1134" w:hanging="567"/>
        <w:rPr>
          <w:rFonts w:ascii="Arial" w:hAnsi="Arial" w:cs="Arial"/>
          <w:sz w:val="18"/>
          <w:szCs w:val="18"/>
        </w:rPr>
      </w:pPr>
      <w:r>
        <w:rPr>
          <w:rStyle w:val="cf01"/>
          <w:rFonts w:ascii="Arial" w:hAnsi="Arial"/>
        </w:rPr>
        <w:t xml:space="preserve">Quel est le type ou la nature de ces activités? </w:t>
      </w:r>
      <w:r w:rsidR="000556EC">
        <w:rPr>
          <w:rStyle w:val="cf01"/>
          <w:rFonts w:ascii="Arial" w:hAnsi="Arial"/>
        </w:rPr>
        <w:t xml:space="preserve"> </w:t>
      </w:r>
      <w:r>
        <w:rPr>
          <w:rStyle w:val="cf01"/>
          <w:rFonts w:ascii="Arial" w:hAnsi="Arial"/>
        </w:rPr>
        <w:t>(exposé, débat d</w:t>
      </w:r>
      <w:r w:rsidR="00055BB1">
        <w:rPr>
          <w:rStyle w:val="cf01"/>
          <w:rFonts w:ascii="Arial" w:hAnsi="Arial"/>
        </w:rPr>
        <w:t>’</w:t>
      </w:r>
      <w:r>
        <w:rPr>
          <w:rStyle w:val="cf01"/>
          <w:rFonts w:ascii="Arial" w:hAnsi="Arial"/>
        </w:rPr>
        <w:t>experts, etc.)</w:t>
      </w:r>
    </w:p>
    <w:p w14:paraId="0D313D24" w14:textId="77777777" w:rsidR="00055BB1" w:rsidRDefault="00DE57E6" w:rsidP="006259DD">
      <w:pPr>
        <w:pStyle w:val="pf1"/>
        <w:numPr>
          <w:ilvl w:val="0"/>
          <w:numId w:val="7"/>
        </w:numPr>
        <w:tabs>
          <w:tab w:val="clear" w:pos="720"/>
        </w:tabs>
        <w:spacing w:before="0" w:beforeAutospacing="0" w:after="0" w:afterAutospacing="0"/>
        <w:ind w:left="1134" w:hanging="567"/>
        <w:rPr>
          <w:rStyle w:val="cf01"/>
          <w:rFonts w:ascii="Arial" w:hAnsi="Arial"/>
        </w:rPr>
      </w:pPr>
      <w:r>
        <w:rPr>
          <w:rStyle w:val="cf01"/>
          <w:rFonts w:ascii="Arial" w:hAnsi="Arial"/>
        </w:rPr>
        <w:t>Ces activités seront</w:t>
      </w:r>
      <w:r w:rsidR="00055BB1">
        <w:rPr>
          <w:rStyle w:val="cf01"/>
          <w:rFonts w:ascii="Arial" w:hAnsi="Arial"/>
        </w:rPr>
        <w:t>-</w:t>
      </w:r>
      <w:r>
        <w:rPr>
          <w:rStyle w:val="cf01"/>
          <w:rFonts w:ascii="Arial" w:hAnsi="Arial"/>
        </w:rPr>
        <w:t>elles disponibles sous une forme hybride?</w:t>
      </w:r>
    </w:p>
    <w:p w14:paraId="4E09770D" w14:textId="1D45EA5F" w:rsidR="00DE57E6" w:rsidRPr="00C83461" w:rsidRDefault="00DE57E6" w:rsidP="006259DD">
      <w:pPr>
        <w:pStyle w:val="pf1"/>
        <w:numPr>
          <w:ilvl w:val="0"/>
          <w:numId w:val="7"/>
        </w:numPr>
        <w:tabs>
          <w:tab w:val="clear" w:pos="720"/>
        </w:tabs>
        <w:spacing w:before="0" w:beforeAutospacing="0" w:after="0" w:afterAutospacing="0"/>
        <w:ind w:left="1134" w:hanging="567"/>
        <w:rPr>
          <w:rFonts w:ascii="Arial" w:hAnsi="Arial" w:cs="Arial"/>
          <w:sz w:val="18"/>
          <w:szCs w:val="18"/>
        </w:rPr>
      </w:pPr>
      <w:r>
        <w:rPr>
          <w:rStyle w:val="cf01"/>
          <w:rFonts w:ascii="Arial" w:hAnsi="Arial"/>
        </w:rPr>
        <w:t>Combien d</w:t>
      </w:r>
      <w:r w:rsidR="00055BB1">
        <w:rPr>
          <w:rStyle w:val="cf01"/>
          <w:rFonts w:ascii="Arial" w:hAnsi="Arial"/>
        </w:rPr>
        <w:t>’</w:t>
      </w:r>
      <w:r>
        <w:rPr>
          <w:rStyle w:val="cf01"/>
          <w:rFonts w:ascii="Arial" w:hAnsi="Arial"/>
        </w:rPr>
        <w:t>activités le Secrétariat prévoit</w:t>
      </w:r>
      <w:r w:rsidR="00055BB1">
        <w:rPr>
          <w:rStyle w:val="cf01"/>
          <w:rFonts w:ascii="Arial" w:hAnsi="Arial"/>
        </w:rPr>
        <w:t>-</w:t>
      </w:r>
      <w:r>
        <w:rPr>
          <w:rStyle w:val="cf01"/>
          <w:rFonts w:ascii="Arial" w:hAnsi="Arial"/>
        </w:rPr>
        <w:t>il pour la période 2024</w:t>
      </w:r>
      <w:r w:rsidR="00055BB1">
        <w:rPr>
          <w:rStyle w:val="cf01"/>
          <w:rFonts w:ascii="Arial" w:hAnsi="Arial"/>
        </w:rPr>
        <w:t>-</w:t>
      </w:r>
      <w:r>
        <w:rPr>
          <w:rStyle w:val="cf01"/>
          <w:rFonts w:ascii="Arial" w:hAnsi="Arial"/>
        </w:rPr>
        <w:t>2025, et dans quelles régions?</w:t>
      </w:r>
    </w:p>
    <w:p w14:paraId="5C290D08" w14:textId="142D0E9B" w:rsidR="00DE57E6" w:rsidRPr="00C83461" w:rsidRDefault="00DE57E6" w:rsidP="006259DD">
      <w:pPr>
        <w:pStyle w:val="pf1"/>
        <w:numPr>
          <w:ilvl w:val="0"/>
          <w:numId w:val="7"/>
        </w:numPr>
        <w:tabs>
          <w:tab w:val="clear" w:pos="720"/>
        </w:tabs>
        <w:spacing w:before="0" w:beforeAutospacing="0" w:after="0" w:afterAutospacing="0"/>
        <w:ind w:left="1134" w:hanging="567"/>
        <w:rPr>
          <w:rFonts w:ascii="Arial" w:hAnsi="Arial" w:cs="Arial"/>
          <w:sz w:val="18"/>
          <w:szCs w:val="18"/>
        </w:rPr>
      </w:pPr>
      <w:r>
        <w:rPr>
          <w:rStyle w:val="cf01"/>
          <w:rFonts w:ascii="Arial" w:hAnsi="Arial"/>
        </w:rPr>
        <w:t>Le Secrétariat décidera</w:t>
      </w:r>
      <w:r w:rsidR="00055BB1">
        <w:rPr>
          <w:rStyle w:val="cf01"/>
          <w:rFonts w:ascii="Arial" w:hAnsi="Arial"/>
        </w:rPr>
        <w:t>-</w:t>
      </w:r>
      <w:r>
        <w:rPr>
          <w:rStyle w:val="cf01"/>
          <w:rFonts w:ascii="Arial" w:hAnsi="Arial"/>
        </w:rPr>
        <w:t>t</w:t>
      </w:r>
      <w:r w:rsidR="00055BB1">
        <w:rPr>
          <w:rStyle w:val="cf01"/>
          <w:rFonts w:ascii="Arial" w:hAnsi="Arial"/>
        </w:rPr>
        <w:t>-</w:t>
      </w:r>
      <w:r>
        <w:rPr>
          <w:rStyle w:val="cf01"/>
          <w:rFonts w:ascii="Arial" w:hAnsi="Arial"/>
        </w:rPr>
        <w:t>il des régions à couvrir ou cela se fera</w:t>
      </w:r>
      <w:r w:rsidR="00055BB1">
        <w:rPr>
          <w:rStyle w:val="cf01"/>
          <w:rFonts w:ascii="Arial" w:hAnsi="Arial"/>
        </w:rPr>
        <w:t>-</w:t>
      </w:r>
      <w:r>
        <w:rPr>
          <w:rStyle w:val="cf01"/>
          <w:rFonts w:ascii="Arial" w:hAnsi="Arial"/>
        </w:rPr>
        <w:t>t</w:t>
      </w:r>
      <w:r w:rsidR="00055BB1">
        <w:rPr>
          <w:rStyle w:val="cf01"/>
          <w:rFonts w:ascii="Arial" w:hAnsi="Arial"/>
        </w:rPr>
        <w:t>-</w:t>
      </w:r>
      <w:r>
        <w:rPr>
          <w:rStyle w:val="cf01"/>
          <w:rFonts w:ascii="Arial" w:hAnsi="Arial"/>
        </w:rPr>
        <w:t>il à la demande des États membres de la région?</w:t>
      </w:r>
    </w:p>
    <w:p w14:paraId="6324FEF4" w14:textId="5CD37CE2" w:rsidR="00DE57E6" w:rsidRPr="006259DD" w:rsidRDefault="00DE57E6" w:rsidP="006259DD">
      <w:pPr>
        <w:pStyle w:val="pf1"/>
        <w:numPr>
          <w:ilvl w:val="0"/>
          <w:numId w:val="7"/>
        </w:numPr>
        <w:tabs>
          <w:tab w:val="clear" w:pos="720"/>
        </w:tabs>
        <w:spacing w:before="0" w:beforeAutospacing="0" w:after="0" w:afterAutospacing="0"/>
        <w:ind w:left="1134" w:hanging="567"/>
        <w:rPr>
          <w:rFonts w:ascii="Arial" w:hAnsi="Arial" w:cs="Arial"/>
          <w:sz w:val="18"/>
          <w:szCs w:val="18"/>
        </w:rPr>
      </w:pPr>
      <w:r>
        <w:rPr>
          <w:rStyle w:val="cf01"/>
          <w:rFonts w:ascii="Arial" w:hAnsi="Arial"/>
        </w:rPr>
        <w:t>Les États membres seront</w:t>
      </w:r>
      <w:r w:rsidR="00055BB1">
        <w:rPr>
          <w:rStyle w:val="cf01"/>
          <w:rFonts w:ascii="Arial" w:hAnsi="Arial"/>
        </w:rPr>
        <w:t>-</w:t>
      </w:r>
      <w:r>
        <w:rPr>
          <w:rStyle w:val="cf01"/>
          <w:rFonts w:ascii="Arial" w:hAnsi="Arial"/>
        </w:rPr>
        <w:t>ils tous invités à participer à ces activités dans chaque région?</w:t>
      </w:r>
    </w:p>
  </w:footnote>
  <w:footnote w:id="4">
    <w:p w14:paraId="1D55C038" w14:textId="52FDD3F5" w:rsidR="00DE57E6" w:rsidRPr="008223F9" w:rsidRDefault="00DE57E6" w:rsidP="00DE57E6">
      <w:pPr>
        <w:pStyle w:val="pf0"/>
        <w:spacing w:before="0" w:beforeAutospacing="0" w:after="0" w:afterAutospacing="0"/>
        <w:rPr>
          <w:rFonts w:ascii="Arial" w:hAnsi="Arial" w:cs="Arial"/>
          <w:sz w:val="18"/>
          <w:szCs w:val="18"/>
        </w:rPr>
      </w:pPr>
      <w:r>
        <w:rPr>
          <w:rStyle w:val="FootnoteReference"/>
          <w:rFonts w:ascii="Arial" w:hAnsi="Arial" w:cs="Arial"/>
          <w:sz w:val="18"/>
          <w:szCs w:val="18"/>
        </w:rPr>
        <w:footnoteRef/>
      </w:r>
      <w:r>
        <w:rPr>
          <w:rFonts w:ascii="Arial" w:hAnsi="Arial"/>
          <w:sz w:val="18"/>
        </w:rPr>
        <w:t xml:space="preserve"> </w:t>
      </w:r>
      <w:r w:rsidR="006259DD">
        <w:rPr>
          <w:rFonts w:ascii="Arial" w:hAnsi="Arial"/>
          <w:sz w:val="18"/>
        </w:rPr>
        <w:tab/>
      </w:r>
      <w:r w:rsidRPr="008223F9">
        <w:rPr>
          <w:rStyle w:val="cf01"/>
          <w:rFonts w:ascii="Arial" w:hAnsi="Arial" w:cs="Arial"/>
        </w:rPr>
        <w:t>De même que pour le guide sur la préservation (SCCR/43/4), nous apprécierions que le Secrétariat donne la possibilité aux États membres et aux parties prenantes de formuler des observations sur ce guide également.</w:t>
      </w:r>
    </w:p>
  </w:footnote>
  <w:footnote w:id="5">
    <w:p w14:paraId="7DBBD532" w14:textId="103EF4C1" w:rsidR="00DE57E6" w:rsidRPr="008223F9" w:rsidRDefault="00DE57E6" w:rsidP="00DE57E6">
      <w:pPr>
        <w:pStyle w:val="FootnoteText"/>
        <w:rPr>
          <w:szCs w:val="18"/>
        </w:rPr>
      </w:pPr>
      <w:r w:rsidRPr="008223F9">
        <w:rPr>
          <w:rStyle w:val="FootnoteReference"/>
          <w:szCs w:val="18"/>
        </w:rPr>
        <w:footnoteRef/>
      </w:r>
      <w:r w:rsidRPr="008223F9">
        <w:t xml:space="preserve"> </w:t>
      </w:r>
      <w:r w:rsidR="006259DD" w:rsidRPr="008223F9">
        <w:tab/>
      </w:r>
      <w:r w:rsidRPr="008223F9">
        <w:rPr>
          <w:rStyle w:val="cf01"/>
          <w:rFonts w:ascii="Arial" w:hAnsi="Arial" w:cs="Arial"/>
        </w:rPr>
        <w:t xml:space="preserve">Même suggestion que pour le </w:t>
      </w:r>
      <w:r w:rsidR="00055BB1" w:rsidRPr="008223F9">
        <w:rPr>
          <w:rStyle w:val="cf01"/>
          <w:rFonts w:ascii="Arial" w:hAnsi="Arial" w:cs="Arial"/>
        </w:rPr>
        <w:t>point I</w:t>
      </w:r>
      <w:r w:rsidRPr="008223F9">
        <w:rPr>
          <w:rStyle w:val="cf01"/>
          <w:rFonts w:ascii="Arial" w:hAnsi="Arial" w:cs="Arial"/>
        </w:rPr>
        <w:t>.a) ci</w:t>
      </w:r>
      <w:r w:rsidR="00055BB1" w:rsidRPr="008223F9">
        <w:rPr>
          <w:rStyle w:val="cf01"/>
          <w:rFonts w:ascii="Arial" w:hAnsi="Arial" w:cs="Arial"/>
        </w:rPr>
        <w:t>-</w:t>
      </w:r>
      <w:r w:rsidRPr="008223F9">
        <w:rPr>
          <w:rStyle w:val="cf01"/>
          <w:rFonts w:ascii="Arial" w:hAnsi="Arial" w:cs="Arial"/>
        </w:rPr>
        <w:t>dessus</w:t>
      </w:r>
      <w:r w:rsidR="00055BB1" w:rsidRPr="008223F9">
        <w:rPr>
          <w:rStyle w:val="cf01"/>
          <w:rFonts w:ascii="Arial" w:hAnsi="Arial" w:cs="Arial"/>
        </w:rPr>
        <w:t> :</w:t>
      </w:r>
      <w:r w:rsidRPr="008223F9">
        <w:rPr>
          <w:rStyle w:val="cf01"/>
          <w:rFonts w:ascii="Arial" w:hAnsi="Arial" w:cs="Arial"/>
        </w:rPr>
        <w:t xml:space="preserve"> prévoir un lancement du guide durant une réunion</w:t>
      </w:r>
      <w:r w:rsidR="00055BB1" w:rsidRPr="008223F9">
        <w:rPr>
          <w:rStyle w:val="cf01"/>
          <w:rFonts w:ascii="Arial" w:hAnsi="Arial" w:cs="Arial"/>
        </w:rPr>
        <w:t xml:space="preserve"> du SCC</w:t>
      </w:r>
      <w:r w:rsidRPr="008223F9">
        <w:rPr>
          <w:rStyle w:val="cf01"/>
          <w:rFonts w:ascii="Arial" w:hAnsi="Arial" w:cs="Arial"/>
        </w:rPr>
        <w:t>R.</w:t>
      </w:r>
    </w:p>
  </w:footnote>
  <w:footnote w:id="6">
    <w:p w14:paraId="29EEC97D" w14:textId="2FA10E0C" w:rsidR="00DE57E6" w:rsidRPr="008223F9" w:rsidRDefault="00DE57E6" w:rsidP="00DE57E6">
      <w:pPr>
        <w:pStyle w:val="FootnoteText"/>
        <w:rPr>
          <w:szCs w:val="18"/>
        </w:rPr>
      </w:pPr>
      <w:r w:rsidRPr="008223F9">
        <w:rPr>
          <w:rStyle w:val="FootnoteReference"/>
          <w:szCs w:val="18"/>
        </w:rPr>
        <w:footnoteRef/>
      </w:r>
      <w:r w:rsidRPr="008223F9">
        <w:t xml:space="preserve"> </w:t>
      </w:r>
      <w:r w:rsidR="006259DD" w:rsidRPr="008223F9">
        <w:tab/>
      </w:r>
      <w:r w:rsidRPr="008223F9">
        <w:rPr>
          <w:rStyle w:val="cf01"/>
          <w:rFonts w:ascii="Arial" w:hAnsi="Arial" w:cs="Arial"/>
        </w:rPr>
        <w:t xml:space="preserve">Même observation que pour le </w:t>
      </w:r>
      <w:r w:rsidR="00055BB1" w:rsidRPr="008223F9">
        <w:rPr>
          <w:rStyle w:val="cf01"/>
          <w:rFonts w:ascii="Arial" w:hAnsi="Arial" w:cs="Arial"/>
        </w:rPr>
        <w:t>point I</w:t>
      </w:r>
      <w:r w:rsidRPr="008223F9">
        <w:rPr>
          <w:rStyle w:val="cf01"/>
          <w:rFonts w:ascii="Arial" w:hAnsi="Arial" w:cs="Arial"/>
        </w:rPr>
        <w:t>.b) ci</w:t>
      </w:r>
      <w:r w:rsidR="00055BB1" w:rsidRPr="008223F9">
        <w:rPr>
          <w:rStyle w:val="cf01"/>
          <w:rFonts w:ascii="Arial" w:hAnsi="Arial" w:cs="Arial"/>
        </w:rPr>
        <w:t>-</w:t>
      </w:r>
      <w:r w:rsidRPr="008223F9">
        <w:rPr>
          <w:rStyle w:val="cf01"/>
          <w:rFonts w:ascii="Arial" w:hAnsi="Arial" w:cs="Arial"/>
        </w:rPr>
        <w:t>dessus.</w:t>
      </w:r>
    </w:p>
  </w:footnote>
  <w:footnote w:id="7">
    <w:p w14:paraId="48B490A8" w14:textId="266F224E" w:rsidR="00DE57E6" w:rsidRPr="008223F9" w:rsidRDefault="00DE57E6" w:rsidP="00DE57E6">
      <w:pPr>
        <w:pStyle w:val="FootnoteText"/>
        <w:rPr>
          <w:szCs w:val="18"/>
        </w:rPr>
      </w:pPr>
      <w:r w:rsidRPr="008223F9">
        <w:rPr>
          <w:rStyle w:val="FootnoteReference"/>
          <w:szCs w:val="18"/>
        </w:rPr>
        <w:footnoteRef/>
      </w:r>
      <w:r w:rsidRPr="008223F9">
        <w:t xml:space="preserve"> </w:t>
      </w:r>
      <w:r w:rsidR="006259DD" w:rsidRPr="008223F9">
        <w:tab/>
      </w:r>
      <w:r w:rsidRPr="008223F9">
        <w:t xml:space="preserve">Nous aimerions savoir comment le Secrétariat prévoit de mener ces activités </w:t>
      </w:r>
      <w:r w:rsidR="00055BB1" w:rsidRPr="008223F9">
        <w:t>en 2024</w:t>
      </w:r>
      <w:r w:rsidRPr="008223F9">
        <w:t xml:space="preserve"> sur un guide qui devrait être achevé </w:t>
      </w:r>
      <w:r w:rsidR="00055BB1" w:rsidRPr="008223F9">
        <w:t>en 2025</w:t>
      </w:r>
      <w:r w:rsidRPr="008223F9">
        <w:t xml:space="preserve"> et lancé à la fin de l</w:t>
      </w:r>
      <w:r w:rsidR="00055BB1" w:rsidRPr="008223F9">
        <w:t>’</w:t>
      </w:r>
      <w:r w:rsidRPr="008223F9">
        <w:t>année 2025?</w:t>
      </w:r>
    </w:p>
  </w:footnote>
  <w:footnote w:id="8">
    <w:p w14:paraId="521E6B7A" w14:textId="6B66A313" w:rsidR="00DE57E6" w:rsidRPr="008223F9" w:rsidRDefault="00DE57E6" w:rsidP="00DE57E6">
      <w:pPr>
        <w:pStyle w:val="FootnoteText"/>
        <w:rPr>
          <w:szCs w:val="18"/>
        </w:rPr>
      </w:pPr>
      <w:r w:rsidRPr="008223F9">
        <w:rPr>
          <w:rStyle w:val="FootnoteReference"/>
          <w:szCs w:val="18"/>
        </w:rPr>
        <w:footnoteRef/>
      </w:r>
      <w:r w:rsidRPr="008223F9">
        <w:t xml:space="preserve"> </w:t>
      </w:r>
      <w:r w:rsidR="006259DD" w:rsidRPr="008223F9">
        <w:tab/>
      </w:r>
      <w:r w:rsidRPr="008223F9">
        <w:rPr>
          <w:rStyle w:val="cf01"/>
          <w:rFonts w:ascii="Arial" w:hAnsi="Arial" w:cs="Arial"/>
        </w:rPr>
        <w:t>De même que pour la récente étude exploratoire (SCCR/44/4), nous apprécierions que le Secrétariat donne la possibilité aux États membres et aux parties prenantes de formuler des observations sur cette étude.</w:t>
      </w:r>
    </w:p>
  </w:footnote>
  <w:footnote w:id="9">
    <w:p w14:paraId="740DF71E" w14:textId="75897A9B" w:rsidR="00DE57E6" w:rsidRPr="008223F9" w:rsidRDefault="00DE57E6" w:rsidP="00DE57E6">
      <w:pPr>
        <w:pStyle w:val="FootnoteText"/>
        <w:rPr>
          <w:szCs w:val="18"/>
        </w:rPr>
      </w:pPr>
      <w:r w:rsidRPr="008223F9">
        <w:rPr>
          <w:rStyle w:val="FootnoteReference"/>
          <w:szCs w:val="18"/>
        </w:rPr>
        <w:footnoteRef/>
      </w:r>
      <w:r w:rsidRPr="008223F9">
        <w:t xml:space="preserve"> </w:t>
      </w:r>
      <w:r w:rsidR="006259DD" w:rsidRPr="008223F9">
        <w:tab/>
      </w:r>
      <w:r w:rsidRPr="008223F9">
        <w:t>Nous souhaiterions obtenir des éclaircissements sur les points suivants</w:t>
      </w:r>
      <w:r w:rsidR="00055BB1" w:rsidRPr="008223F9">
        <w:t> :</w:t>
      </w:r>
    </w:p>
    <w:p w14:paraId="56CE24E5" w14:textId="3646B91A" w:rsidR="00DE57E6" w:rsidRPr="008223F9" w:rsidRDefault="00DE57E6" w:rsidP="006259DD">
      <w:pPr>
        <w:pStyle w:val="FootnoteText"/>
        <w:ind w:left="1701" w:hanging="567"/>
        <w:rPr>
          <w:szCs w:val="18"/>
        </w:rPr>
      </w:pPr>
      <w:r w:rsidRPr="008223F9">
        <w:rPr>
          <w:rFonts w:ascii="Cambria Math" w:hAnsi="Cambria Math" w:cs="Cambria Math"/>
        </w:rPr>
        <w:t>⦁</w:t>
      </w:r>
      <w:r w:rsidR="008223F9">
        <w:tab/>
      </w:r>
      <w:r w:rsidRPr="008223F9">
        <w:t>Qui présentera cet exposé?</w:t>
      </w:r>
    </w:p>
    <w:p w14:paraId="3D6A4DB8" w14:textId="457B7F06" w:rsidR="00DE57E6" w:rsidRPr="00C83461" w:rsidRDefault="00DE57E6" w:rsidP="006259DD">
      <w:pPr>
        <w:pStyle w:val="FootnoteText"/>
        <w:ind w:left="1701" w:hanging="567"/>
        <w:rPr>
          <w:szCs w:val="18"/>
        </w:rPr>
      </w:pPr>
      <w:r w:rsidRPr="008223F9">
        <w:rPr>
          <w:rFonts w:ascii="Cambria Math" w:hAnsi="Cambria Math" w:cs="Cambria Math"/>
        </w:rPr>
        <w:t>⦁</w:t>
      </w:r>
      <w:r w:rsidR="008223F9">
        <w:tab/>
      </w:r>
      <w:r w:rsidRPr="008223F9">
        <w:t xml:space="preserve">Quel est le type ou la nature de ces “moyens existants”? </w:t>
      </w:r>
      <w:r w:rsidR="000556EC" w:rsidRPr="008223F9">
        <w:t xml:space="preserve"> </w:t>
      </w:r>
      <w:r w:rsidRPr="008223F9">
        <w:t>(exposé, débat d</w:t>
      </w:r>
      <w:r w:rsidR="00055BB1" w:rsidRPr="008223F9">
        <w:t>’</w:t>
      </w:r>
      <w:r w:rsidRPr="008223F9">
        <w:t>experts,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31F8" w14:textId="77777777" w:rsidR="00CA3358" w:rsidRDefault="00CA3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93CC" w14:textId="77777777" w:rsidR="00DE57E6" w:rsidRDefault="00DE57E6">
    <w:pPr>
      <w:pStyle w:val="Header"/>
      <w:jc w:val="right"/>
    </w:pPr>
    <w:r>
      <w:t>SCCR/45/6</w:t>
    </w:r>
  </w:p>
  <w:p w14:paraId="46C72292" w14:textId="2D18ECA1" w:rsidR="00DE57E6" w:rsidRDefault="00DE57E6" w:rsidP="00B27831">
    <w:pPr>
      <w:pStyle w:val="Header"/>
      <w:spacing w:after="480"/>
      <w:jc w:val="right"/>
    </w:pPr>
    <w:r>
      <w:t>page </w:t>
    </w:r>
    <w:r>
      <w:fldChar w:fldCharType="begin"/>
    </w:r>
    <w:r>
      <w:instrText xml:space="preserve"> PAGE   \* MERGEFORMAT </w:instrText>
    </w:r>
    <w:r>
      <w:fldChar w:fldCharType="separate"/>
    </w:r>
    <w: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75D6" w14:textId="4619DCF3" w:rsidR="00F126B1" w:rsidRPr="00F239D1" w:rsidRDefault="00F126B1" w:rsidP="00F239D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5D44" w14:textId="77777777" w:rsidR="00F16975" w:rsidRDefault="00DE57E6" w:rsidP="00477D6B">
    <w:pPr>
      <w:jc w:val="right"/>
    </w:pPr>
    <w:bookmarkStart w:id="5" w:name="Code2"/>
    <w:bookmarkEnd w:id="5"/>
    <w:r>
      <w:t>SCCR/45/6</w:t>
    </w:r>
  </w:p>
  <w:p w14:paraId="66E69955" w14:textId="6E7DDA3C" w:rsidR="00055BB1" w:rsidRDefault="00F126B1" w:rsidP="006259DD">
    <w:pPr>
      <w:spacing w:after="480"/>
      <w:jc w:val="right"/>
    </w:pPr>
    <w:r>
      <w:t xml:space="preserve">Annexe, </w:t>
    </w:r>
    <w:r w:rsidR="00F16975">
      <w:t>page</w:t>
    </w:r>
    <w:r w:rsidR="006259DD">
      <w:t> </w:t>
    </w:r>
    <w:r>
      <w:fldChar w:fldCharType="begin"/>
    </w:r>
    <w:r>
      <w:instrText>PAGE   \* MERGEFORMAT</w:instrText>
    </w:r>
    <w:r>
      <w:fldChar w:fldCharType="separate"/>
    </w:r>
    <w:r>
      <w:rPr>
        <w:lang w:val="fr-FR"/>
      </w:rPr>
      <w:t>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65DE" w14:textId="77777777" w:rsidR="00F239D1" w:rsidRDefault="00F239D1" w:rsidP="00F239D1">
    <w:pPr>
      <w:jc w:val="right"/>
    </w:pPr>
    <w:r>
      <w:t>SCCR/45/6</w:t>
    </w:r>
  </w:p>
  <w:p w14:paraId="73944D17" w14:textId="562C0355" w:rsidR="00F239D1" w:rsidRPr="00F239D1" w:rsidRDefault="00F239D1" w:rsidP="00F239D1">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BF29B4"/>
    <w:multiLevelType w:val="multilevel"/>
    <w:tmpl w:val="34BA0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185916">
    <w:abstractNumId w:val="2"/>
  </w:num>
  <w:num w:numId="2" w16cid:durableId="1922137027">
    <w:abstractNumId w:val="4"/>
  </w:num>
  <w:num w:numId="3" w16cid:durableId="1708218136">
    <w:abstractNumId w:val="0"/>
  </w:num>
  <w:num w:numId="4" w16cid:durableId="329069435">
    <w:abstractNumId w:val="5"/>
  </w:num>
  <w:num w:numId="5" w16cid:durableId="49499015">
    <w:abstractNumId w:val="1"/>
  </w:num>
  <w:num w:numId="6" w16cid:durableId="2136636949">
    <w:abstractNumId w:val="3"/>
  </w:num>
  <w:num w:numId="7" w16cid:durableId="1163819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E6"/>
    <w:rsid w:val="00011B7D"/>
    <w:rsid w:val="00053E98"/>
    <w:rsid w:val="000556EC"/>
    <w:rsid w:val="00055BB1"/>
    <w:rsid w:val="00075432"/>
    <w:rsid w:val="000F5E56"/>
    <w:rsid w:val="001362EE"/>
    <w:rsid w:val="001832A6"/>
    <w:rsid w:val="00195C6E"/>
    <w:rsid w:val="001B266A"/>
    <w:rsid w:val="001D3D56"/>
    <w:rsid w:val="00240654"/>
    <w:rsid w:val="002634C4"/>
    <w:rsid w:val="002D4918"/>
    <w:rsid w:val="002E4D1A"/>
    <w:rsid w:val="002F16BC"/>
    <w:rsid w:val="002F4E68"/>
    <w:rsid w:val="00315FCA"/>
    <w:rsid w:val="00375F98"/>
    <w:rsid w:val="00376F1F"/>
    <w:rsid w:val="003822F7"/>
    <w:rsid w:val="003845C1"/>
    <w:rsid w:val="003A1BCD"/>
    <w:rsid w:val="004008A2"/>
    <w:rsid w:val="004025DF"/>
    <w:rsid w:val="00423E3E"/>
    <w:rsid w:val="00427AF4"/>
    <w:rsid w:val="00456117"/>
    <w:rsid w:val="004647DA"/>
    <w:rsid w:val="00477D6B"/>
    <w:rsid w:val="004D6471"/>
    <w:rsid w:val="004F4E31"/>
    <w:rsid w:val="00525B63"/>
    <w:rsid w:val="00547476"/>
    <w:rsid w:val="00561DB8"/>
    <w:rsid w:val="00567A4C"/>
    <w:rsid w:val="005E6516"/>
    <w:rsid w:val="00605827"/>
    <w:rsid w:val="006259DD"/>
    <w:rsid w:val="00676936"/>
    <w:rsid w:val="0068487B"/>
    <w:rsid w:val="006B0DB5"/>
    <w:rsid w:val="006E4243"/>
    <w:rsid w:val="007461F1"/>
    <w:rsid w:val="0076654B"/>
    <w:rsid w:val="007D6961"/>
    <w:rsid w:val="007F07CB"/>
    <w:rsid w:val="00810CEF"/>
    <w:rsid w:val="0081208D"/>
    <w:rsid w:val="008223F9"/>
    <w:rsid w:val="00842A13"/>
    <w:rsid w:val="008B2CC1"/>
    <w:rsid w:val="008E7930"/>
    <w:rsid w:val="0090731E"/>
    <w:rsid w:val="009463E5"/>
    <w:rsid w:val="00966A22"/>
    <w:rsid w:val="00974CD6"/>
    <w:rsid w:val="00975481"/>
    <w:rsid w:val="009D30E6"/>
    <w:rsid w:val="009E3F6F"/>
    <w:rsid w:val="009F4602"/>
    <w:rsid w:val="009F499F"/>
    <w:rsid w:val="00A02BD3"/>
    <w:rsid w:val="00A554F5"/>
    <w:rsid w:val="00AC0AE4"/>
    <w:rsid w:val="00AD61DB"/>
    <w:rsid w:val="00B27831"/>
    <w:rsid w:val="00B87BCF"/>
    <w:rsid w:val="00BA62D4"/>
    <w:rsid w:val="00BC5F87"/>
    <w:rsid w:val="00C40E15"/>
    <w:rsid w:val="00C664C8"/>
    <w:rsid w:val="00C76A79"/>
    <w:rsid w:val="00CA15F5"/>
    <w:rsid w:val="00CA3358"/>
    <w:rsid w:val="00CF0460"/>
    <w:rsid w:val="00D45252"/>
    <w:rsid w:val="00D55C00"/>
    <w:rsid w:val="00D71B4D"/>
    <w:rsid w:val="00D75C1E"/>
    <w:rsid w:val="00D93D55"/>
    <w:rsid w:val="00DB0349"/>
    <w:rsid w:val="00DC4A0D"/>
    <w:rsid w:val="00DD6A16"/>
    <w:rsid w:val="00DE57E6"/>
    <w:rsid w:val="00E0091A"/>
    <w:rsid w:val="00E203AA"/>
    <w:rsid w:val="00E527A5"/>
    <w:rsid w:val="00E76456"/>
    <w:rsid w:val="00E97651"/>
    <w:rsid w:val="00EE71CB"/>
    <w:rsid w:val="00F126B1"/>
    <w:rsid w:val="00F16975"/>
    <w:rsid w:val="00F239D1"/>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59F10"/>
  <w15:docId w15:val="{99912BFA-F1F8-453B-B0C9-522EC3BC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A554F5"/>
    <w:pPr>
      <w:spacing w:after="480"/>
      <w:outlineLvl w:val="0"/>
    </w:pPr>
    <w:rPr>
      <w:b/>
      <w:u w:val="single"/>
    </w:rPr>
  </w:style>
  <w:style w:type="paragraph" w:styleId="Heading2">
    <w:name w:val="heading 2"/>
    <w:basedOn w:val="Normal"/>
    <w:next w:val="Normal"/>
    <w:qFormat/>
    <w:rsid w:val="00B27831"/>
    <w:pPr>
      <w:spacing w:before="480" w:after="240"/>
      <w:outlineLvl w:val="1"/>
    </w:pPr>
    <w:rPr>
      <w:u w:val="single"/>
    </w:rPr>
  </w:style>
  <w:style w:type="paragraph" w:styleId="Heading3">
    <w:name w:val="heading 3"/>
    <w:basedOn w:val="Heading4"/>
    <w:next w:val="Normal"/>
    <w:qFormat/>
    <w:rsid w:val="00053E98"/>
    <w:pPr>
      <w:outlineLvl w:val="2"/>
    </w:pPr>
  </w:style>
  <w:style w:type="paragraph" w:styleId="Heading4">
    <w:name w:val="heading 4"/>
    <w:basedOn w:val="Normal"/>
    <w:next w:val="Normal"/>
    <w:qFormat/>
    <w:rsid w:val="00B27831"/>
    <w:pPr>
      <w:spacing w:before="480" w:after="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link w:val="FootnoteTextChar"/>
    <w:uiPriority w:val="99"/>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erChar">
    <w:name w:val="Header Char"/>
    <w:basedOn w:val="DefaultParagraphFont"/>
    <w:link w:val="Header"/>
    <w:uiPriority w:val="99"/>
    <w:rsid w:val="00DE57E6"/>
    <w:rPr>
      <w:rFonts w:ascii="Arial" w:eastAsia="SimSun" w:hAnsi="Arial" w:cs="Arial"/>
      <w:sz w:val="22"/>
      <w:lang w:eastAsia="zh-CN"/>
    </w:rPr>
  </w:style>
  <w:style w:type="character" w:customStyle="1" w:styleId="FooterChar">
    <w:name w:val="Footer Char"/>
    <w:basedOn w:val="DefaultParagraphFont"/>
    <w:link w:val="Footer"/>
    <w:uiPriority w:val="99"/>
    <w:rsid w:val="00DE57E6"/>
    <w:rPr>
      <w:rFonts w:ascii="Arial" w:eastAsia="SimSun" w:hAnsi="Arial" w:cs="Arial"/>
      <w:sz w:val="22"/>
      <w:lang w:eastAsia="zh-CN"/>
    </w:rPr>
  </w:style>
  <w:style w:type="character" w:customStyle="1" w:styleId="FootnoteTextChar">
    <w:name w:val="Footnote Text Char"/>
    <w:basedOn w:val="DefaultParagraphFont"/>
    <w:link w:val="FootnoteText"/>
    <w:uiPriority w:val="99"/>
    <w:rsid w:val="00DE57E6"/>
    <w:rPr>
      <w:rFonts w:ascii="Arial" w:eastAsia="SimSun" w:hAnsi="Arial" w:cs="Arial"/>
      <w:sz w:val="18"/>
      <w:lang w:eastAsia="zh-CN"/>
    </w:rPr>
  </w:style>
  <w:style w:type="character" w:styleId="FootnoteReference">
    <w:name w:val="footnote reference"/>
    <w:basedOn w:val="DefaultParagraphFont"/>
    <w:uiPriority w:val="99"/>
    <w:semiHidden/>
    <w:unhideWhenUsed/>
    <w:rsid w:val="00DE57E6"/>
    <w:rPr>
      <w:vertAlign w:val="superscript"/>
    </w:rPr>
  </w:style>
  <w:style w:type="paragraph" w:customStyle="1" w:styleId="pf0">
    <w:name w:val="pf0"/>
    <w:basedOn w:val="Normal"/>
    <w:rsid w:val="00DE57E6"/>
    <w:pPr>
      <w:spacing w:before="100" w:beforeAutospacing="1" w:after="100" w:afterAutospacing="1"/>
    </w:pPr>
    <w:rPr>
      <w:rFonts w:ascii="Times New Roman" w:eastAsia="Times New Roman" w:hAnsi="Times New Roman" w:cs="Times New Roman"/>
      <w:sz w:val="24"/>
      <w:szCs w:val="24"/>
      <w:lang w:val="fr-FR" w:eastAsia="en-US"/>
    </w:rPr>
  </w:style>
  <w:style w:type="character" w:customStyle="1" w:styleId="cf01">
    <w:name w:val="cf01"/>
    <w:basedOn w:val="DefaultParagraphFont"/>
    <w:rsid w:val="00DE57E6"/>
    <w:rPr>
      <w:rFonts w:ascii="Segoe UI" w:hAnsi="Segoe UI" w:cs="Segoe UI" w:hint="default"/>
      <w:sz w:val="18"/>
      <w:szCs w:val="18"/>
    </w:rPr>
  </w:style>
  <w:style w:type="paragraph" w:customStyle="1" w:styleId="pf1">
    <w:name w:val="pf1"/>
    <w:basedOn w:val="Normal"/>
    <w:rsid w:val="00DE57E6"/>
    <w:pPr>
      <w:spacing w:before="100" w:beforeAutospacing="1" w:after="100" w:afterAutospacing="1"/>
    </w:pPr>
    <w:rPr>
      <w:rFonts w:ascii="Times New Roman" w:eastAsia="Times New Roman" w:hAnsi="Times New Roman" w:cs="Times New Roman"/>
      <w:sz w:val="24"/>
      <w:szCs w:val="24"/>
      <w:lang w:val="fr-FR" w:eastAsia="en-US"/>
    </w:rPr>
  </w:style>
  <w:style w:type="character" w:styleId="Hyperlink">
    <w:name w:val="Hyperlink"/>
    <w:basedOn w:val="DefaultParagraphFont"/>
    <w:semiHidden/>
    <w:unhideWhenUsed/>
    <w:rsid w:val="008223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5%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SCCR_45 (F)</Template>
  <TotalTime>1</TotalTime>
  <Pages>9</Pages>
  <Words>2241</Words>
  <Characters>12530</Characters>
  <Application>Microsoft Office Word</Application>
  <DocSecurity>0</DocSecurity>
  <Lines>278</Lines>
  <Paragraphs>76</Paragraphs>
  <ScaleCrop>false</ScaleCrop>
  <HeadingPairs>
    <vt:vector size="2" baseType="variant">
      <vt:variant>
        <vt:lpstr>Title</vt:lpstr>
      </vt:variant>
      <vt:variant>
        <vt:i4>1</vt:i4>
      </vt:variant>
    </vt:vector>
  </HeadingPairs>
  <TitlesOfParts>
    <vt:vector size="1" baseType="lpstr">
      <vt:lpstr>SCCR/45/6</vt:lpstr>
    </vt:vector>
  </TitlesOfParts>
  <Company>WIPO</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SCCR/45/6</dc:title>
  <dc:creator>LE GUEN Haude</dc:creator>
  <cp:keywords>FOR OFFICIAL USE ONLY</cp:keywords>
  <cp:lastModifiedBy>HAIZEL Francesca</cp:lastModifiedBy>
  <cp:revision>2</cp:revision>
  <cp:lastPrinted>2011-05-19T12:37:00Z</cp:lastPrinted>
  <dcterms:created xsi:type="dcterms:W3CDTF">2024-04-16T15:54:00Z</dcterms:created>
  <dcterms:modified xsi:type="dcterms:W3CDTF">2024-04-16T15:54:00Z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