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356B" w14:textId="77777777" w:rsidR="008B2CC1" w:rsidRPr="007E4B92" w:rsidRDefault="00DB0349" w:rsidP="007603F2">
      <w:pPr>
        <w:spacing w:after="120"/>
        <w:jc w:val="right"/>
        <w:rPr>
          <w:lang w:val="fr-FR"/>
        </w:rPr>
      </w:pPr>
      <w:r w:rsidRPr="007E4B92">
        <w:rPr>
          <w:noProof/>
          <w:lang w:val="fr-FR" w:eastAsia="en-US"/>
        </w:rPr>
        <w:drawing>
          <wp:inline distT="0" distB="0" distL="0" distR="0" wp14:anchorId="77A768F4" wp14:editId="6C7240DD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7E4B92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762F5199" wp14:editId="105A496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E05B6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A9A1D7D" w14:textId="489DCBD7" w:rsidR="008B2CC1" w:rsidRPr="007E4B92" w:rsidRDefault="00456117" w:rsidP="007603F2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7E4B92">
        <w:rPr>
          <w:rFonts w:ascii="Arial Black" w:hAnsi="Arial Black"/>
          <w:caps/>
          <w:sz w:val="15"/>
          <w:szCs w:val="15"/>
          <w:lang w:val="fr-FR"/>
        </w:rPr>
        <w:t>SCCR/4</w:t>
      </w:r>
      <w:r w:rsidR="001F091D" w:rsidRPr="007E4B92">
        <w:rPr>
          <w:rFonts w:ascii="Arial Black" w:hAnsi="Arial Black"/>
          <w:caps/>
          <w:sz w:val="15"/>
          <w:szCs w:val="15"/>
          <w:lang w:val="fr-FR"/>
        </w:rPr>
        <w:t>6</w:t>
      </w:r>
      <w:r w:rsidR="00D55C00" w:rsidRPr="007E4B92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bookmarkEnd w:id="0"/>
      <w:r w:rsidR="0082763B" w:rsidRPr="007E4B92">
        <w:rPr>
          <w:rFonts w:ascii="Arial Black" w:hAnsi="Arial Black"/>
          <w:caps/>
          <w:sz w:val="15"/>
          <w:szCs w:val="15"/>
          <w:lang w:val="fr-FR"/>
        </w:rPr>
        <w:t>5</w:t>
      </w:r>
    </w:p>
    <w:p w14:paraId="356A3986" w14:textId="3DE2EAA7" w:rsidR="008B2CC1" w:rsidRPr="007E4B92" w:rsidRDefault="00DB0349" w:rsidP="007603F2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7E4B92">
        <w:rPr>
          <w:rFonts w:ascii="Arial Black" w:hAnsi="Arial Black"/>
          <w:caps/>
          <w:sz w:val="15"/>
          <w:szCs w:val="15"/>
          <w:lang w:val="fr-FR"/>
        </w:rPr>
        <w:t>Original</w:t>
      </w:r>
      <w:r w:rsidR="00CD0792" w:rsidRPr="007E4B92">
        <w:rPr>
          <w:rFonts w:ascii="Arial Black" w:hAnsi="Arial Black"/>
          <w:caps/>
          <w:sz w:val="15"/>
          <w:szCs w:val="15"/>
          <w:lang w:val="fr-FR"/>
        </w:rPr>
        <w:t> :</w:t>
      </w:r>
      <w:r w:rsidRPr="007E4B92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82763B" w:rsidRPr="007E4B92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472D9FD9" w14:textId="7F30E7D0" w:rsidR="008B2CC1" w:rsidRPr="007E4B92" w:rsidRDefault="00DB0349" w:rsidP="007603F2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7E4B92">
        <w:rPr>
          <w:rFonts w:ascii="Arial Black" w:hAnsi="Arial Black"/>
          <w:caps/>
          <w:sz w:val="15"/>
          <w:szCs w:val="15"/>
          <w:lang w:val="fr-FR"/>
        </w:rPr>
        <w:t>date</w:t>
      </w:r>
      <w:r w:rsidR="00CD0792" w:rsidRPr="007E4B92">
        <w:rPr>
          <w:rFonts w:ascii="Arial Black" w:hAnsi="Arial Black"/>
          <w:caps/>
          <w:sz w:val="15"/>
          <w:szCs w:val="15"/>
          <w:lang w:val="fr-FR"/>
        </w:rPr>
        <w:t> :</w:t>
      </w:r>
      <w:r w:rsidRPr="007E4B92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D26A5F">
        <w:rPr>
          <w:rFonts w:ascii="Arial Black" w:hAnsi="Arial Black"/>
          <w:caps/>
          <w:sz w:val="15"/>
          <w:szCs w:val="15"/>
          <w:lang w:val="fr-FR"/>
        </w:rPr>
        <w:t>10</w:t>
      </w:r>
      <w:r w:rsidR="0082763B" w:rsidRPr="007E4B92">
        <w:rPr>
          <w:rFonts w:ascii="Arial Black" w:hAnsi="Arial Black"/>
          <w:caps/>
          <w:sz w:val="15"/>
          <w:szCs w:val="15"/>
          <w:lang w:val="fr-FR"/>
        </w:rPr>
        <w:t> </w:t>
      </w:r>
      <w:r w:rsidR="004C5C7F">
        <w:rPr>
          <w:rFonts w:ascii="Arial Black" w:hAnsi="Arial Black"/>
          <w:caps/>
          <w:sz w:val="15"/>
          <w:szCs w:val="15"/>
          <w:lang w:val="fr-FR"/>
        </w:rPr>
        <w:t>avril</w:t>
      </w:r>
      <w:r w:rsidR="0082763B" w:rsidRPr="007E4B92">
        <w:rPr>
          <w:rFonts w:ascii="Arial Black" w:hAnsi="Arial Black"/>
          <w:caps/>
          <w:sz w:val="15"/>
          <w:szCs w:val="15"/>
          <w:lang w:val="fr-FR"/>
        </w:rPr>
        <w:t> 2025</w:t>
      </w:r>
    </w:p>
    <w:bookmarkEnd w:id="2"/>
    <w:p w14:paraId="3C5A1D53" w14:textId="1218CE62" w:rsidR="00C40E15" w:rsidRPr="007E4B92" w:rsidRDefault="00D55C00" w:rsidP="007603F2">
      <w:pPr>
        <w:spacing w:after="480"/>
        <w:rPr>
          <w:b/>
          <w:sz w:val="28"/>
          <w:szCs w:val="28"/>
          <w:lang w:val="fr-FR"/>
        </w:rPr>
      </w:pPr>
      <w:r w:rsidRPr="007E4B92">
        <w:rPr>
          <w:b/>
          <w:sz w:val="28"/>
          <w:szCs w:val="28"/>
          <w:lang w:val="fr-FR"/>
        </w:rPr>
        <w:t>Comité permanent du droit d</w:t>
      </w:r>
      <w:r w:rsidR="00CD0792" w:rsidRPr="007E4B92">
        <w:rPr>
          <w:b/>
          <w:sz w:val="28"/>
          <w:szCs w:val="28"/>
          <w:lang w:val="fr-FR"/>
        </w:rPr>
        <w:t>’</w:t>
      </w:r>
      <w:r w:rsidRPr="007E4B92">
        <w:rPr>
          <w:b/>
          <w:sz w:val="28"/>
          <w:szCs w:val="28"/>
          <w:lang w:val="fr-FR"/>
        </w:rPr>
        <w:t>auteur et des droits connexes</w:t>
      </w:r>
    </w:p>
    <w:p w14:paraId="6823DCA8" w14:textId="4042D7D2" w:rsidR="008B2CC1" w:rsidRPr="007E4B92" w:rsidRDefault="00D55C00" w:rsidP="007603F2">
      <w:pPr>
        <w:rPr>
          <w:b/>
          <w:sz w:val="24"/>
          <w:szCs w:val="24"/>
          <w:lang w:val="fr-FR"/>
        </w:rPr>
      </w:pPr>
      <w:r w:rsidRPr="007E4B92">
        <w:rPr>
          <w:b/>
          <w:sz w:val="24"/>
          <w:szCs w:val="24"/>
          <w:lang w:val="fr-FR"/>
        </w:rPr>
        <w:t>Quarante</w:t>
      </w:r>
      <w:r w:rsidR="0028210F">
        <w:rPr>
          <w:b/>
          <w:sz w:val="24"/>
          <w:szCs w:val="24"/>
          <w:lang w:val="fr-FR"/>
        </w:rPr>
        <w:noBreakHyphen/>
      </w:r>
      <w:r w:rsidR="001F091D" w:rsidRPr="007E4B92">
        <w:rPr>
          <w:b/>
          <w:sz w:val="24"/>
          <w:szCs w:val="24"/>
          <w:lang w:val="fr-FR"/>
        </w:rPr>
        <w:t>six</w:t>
      </w:r>
      <w:r w:rsidR="00CD0792" w:rsidRPr="007E4B92">
        <w:rPr>
          <w:b/>
          <w:sz w:val="24"/>
          <w:szCs w:val="24"/>
          <w:lang w:val="fr-FR"/>
        </w:rPr>
        <w:t>ième session</w:t>
      </w:r>
    </w:p>
    <w:p w14:paraId="42D4FB43" w14:textId="0891A0C6" w:rsidR="008B2CC1" w:rsidRPr="007E4B92" w:rsidRDefault="00D55C00" w:rsidP="007603F2">
      <w:pPr>
        <w:spacing w:after="720"/>
        <w:rPr>
          <w:b/>
          <w:sz w:val="24"/>
          <w:szCs w:val="24"/>
          <w:lang w:val="fr-FR"/>
        </w:rPr>
      </w:pPr>
      <w:r w:rsidRPr="007E4B92">
        <w:rPr>
          <w:b/>
          <w:sz w:val="24"/>
          <w:szCs w:val="24"/>
          <w:lang w:val="fr-FR"/>
        </w:rPr>
        <w:t xml:space="preserve">Genève, </w:t>
      </w:r>
      <w:r w:rsidR="001F091D" w:rsidRPr="007E4B92">
        <w:rPr>
          <w:b/>
          <w:sz w:val="24"/>
          <w:szCs w:val="24"/>
          <w:lang w:val="fr-FR"/>
        </w:rPr>
        <w:t>7</w:t>
      </w:r>
      <w:r w:rsidR="00456117" w:rsidRPr="007E4B92">
        <w:rPr>
          <w:b/>
          <w:sz w:val="24"/>
          <w:szCs w:val="24"/>
          <w:lang w:val="fr-FR"/>
        </w:rPr>
        <w:t xml:space="preserve"> – </w:t>
      </w:r>
      <w:r w:rsidR="0076654B" w:rsidRPr="007E4B92">
        <w:rPr>
          <w:b/>
          <w:sz w:val="24"/>
          <w:szCs w:val="24"/>
          <w:lang w:val="fr-FR"/>
        </w:rPr>
        <w:t>1</w:t>
      </w:r>
      <w:r w:rsidR="001F091D" w:rsidRPr="007E4B92">
        <w:rPr>
          <w:b/>
          <w:sz w:val="24"/>
          <w:szCs w:val="24"/>
          <w:lang w:val="fr-FR"/>
        </w:rPr>
        <w:t>1</w:t>
      </w:r>
      <w:r w:rsidR="00DC4A0D" w:rsidRPr="007E4B92">
        <w:rPr>
          <w:b/>
          <w:sz w:val="24"/>
          <w:szCs w:val="24"/>
          <w:lang w:val="fr-FR"/>
        </w:rPr>
        <w:t> </w:t>
      </w:r>
      <w:r w:rsidR="00CD0792" w:rsidRPr="007E4B92">
        <w:rPr>
          <w:b/>
          <w:sz w:val="24"/>
          <w:szCs w:val="24"/>
          <w:lang w:val="fr-FR"/>
        </w:rPr>
        <w:t>avril 20</w:t>
      </w:r>
      <w:r w:rsidR="00456117" w:rsidRPr="007E4B92">
        <w:rPr>
          <w:b/>
          <w:sz w:val="24"/>
          <w:szCs w:val="24"/>
          <w:lang w:val="fr-FR"/>
        </w:rPr>
        <w:t>2</w:t>
      </w:r>
      <w:r w:rsidR="001F091D" w:rsidRPr="007E4B92">
        <w:rPr>
          <w:b/>
          <w:sz w:val="24"/>
          <w:szCs w:val="24"/>
          <w:lang w:val="fr-FR"/>
        </w:rPr>
        <w:t>5</w:t>
      </w:r>
    </w:p>
    <w:p w14:paraId="6E7056E4" w14:textId="3E33CDAB" w:rsidR="0082763B" w:rsidRPr="007E4B92" w:rsidRDefault="002F51C6" w:rsidP="007603F2">
      <w:pPr>
        <w:spacing w:after="360"/>
        <w:rPr>
          <w:caps/>
          <w:sz w:val="24"/>
          <w:lang w:val="fr-FR"/>
        </w:rPr>
      </w:pPr>
      <w:bookmarkStart w:id="3" w:name="TitleOfDoc"/>
      <w:r w:rsidRPr="007E4B92">
        <w:rPr>
          <w:caps/>
          <w:sz w:val="24"/>
          <w:lang w:val="fr-FR"/>
        </w:rPr>
        <w:t>Séance d</w:t>
      </w:r>
      <w:r w:rsidR="00CD0792" w:rsidRPr="007E4B92">
        <w:rPr>
          <w:caps/>
          <w:sz w:val="24"/>
          <w:lang w:val="fr-FR"/>
        </w:rPr>
        <w:t>’</w:t>
      </w:r>
      <w:r w:rsidRPr="007E4B92">
        <w:rPr>
          <w:caps/>
          <w:sz w:val="24"/>
          <w:lang w:val="fr-FR"/>
        </w:rPr>
        <w:t>information sur le droit d</w:t>
      </w:r>
      <w:r w:rsidR="00CD0792" w:rsidRPr="007E4B92">
        <w:rPr>
          <w:caps/>
          <w:sz w:val="24"/>
          <w:lang w:val="fr-FR"/>
        </w:rPr>
        <w:t>’</w:t>
      </w:r>
      <w:r w:rsidRPr="007E4B92">
        <w:rPr>
          <w:caps/>
          <w:sz w:val="24"/>
          <w:lang w:val="fr-FR"/>
        </w:rPr>
        <w:t>auteur et l</w:t>
      </w:r>
      <w:r w:rsidR="00CD0792" w:rsidRPr="007E4B92">
        <w:rPr>
          <w:caps/>
          <w:sz w:val="24"/>
          <w:lang w:val="fr-FR"/>
        </w:rPr>
        <w:t>’</w:t>
      </w:r>
      <w:r w:rsidRPr="007E4B92">
        <w:rPr>
          <w:caps/>
          <w:sz w:val="24"/>
          <w:lang w:val="fr-FR"/>
        </w:rPr>
        <w:t>intelligence artificielle générative – programme provisoire</w:t>
      </w:r>
    </w:p>
    <w:p w14:paraId="66C267D4" w14:textId="77777777" w:rsidR="0082763B" w:rsidRPr="007E4B92" w:rsidRDefault="0082763B" w:rsidP="007603F2">
      <w:pPr>
        <w:spacing w:after="960"/>
        <w:rPr>
          <w:i/>
          <w:lang w:val="fr-FR"/>
        </w:rPr>
      </w:pPr>
      <w:bookmarkStart w:id="4" w:name="Prepared"/>
      <w:bookmarkEnd w:id="3"/>
      <w:r w:rsidRPr="007E4B92">
        <w:rPr>
          <w:i/>
          <w:lang w:val="fr-FR"/>
        </w:rPr>
        <w:t>Document établi par le Secrétariat</w:t>
      </w:r>
    </w:p>
    <w:bookmarkEnd w:id="4"/>
    <w:p w14:paraId="4B162BB9" w14:textId="77777777" w:rsidR="0082763B" w:rsidRPr="007E4B92" w:rsidRDefault="0082763B" w:rsidP="007603F2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1701"/>
          <w:tab w:val="left" w:pos="3402"/>
          <w:tab w:val="left" w:pos="5103"/>
        </w:tabs>
        <w:spacing w:after="60"/>
        <w:ind w:left="357" w:hanging="357"/>
        <w:contextualSpacing w:val="0"/>
        <w:rPr>
          <w:i/>
          <w:iCs/>
        </w:rPr>
      </w:pPr>
      <w:r w:rsidRPr="007E4B92">
        <w:br w:type="page"/>
      </w:r>
    </w:p>
    <w:p w14:paraId="2C982DC7" w14:textId="09E43D01" w:rsidR="0082763B" w:rsidRPr="007E4B92" w:rsidRDefault="0082763B" w:rsidP="003C75A1">
      <w:pPr>
        <w:pStyle w:val="Heading2"/>
        <w:keepNext w:val="0"/>
        <w:tabs>
          <w:tab w:val="left" w:pos="1701"/>
          <w:tab w:val="left" w:pos="3402"/>
          <w:tab w:val="left" w:pos="5103"/>
        </w:tabs>
        <w:spacing w:before="0" w:after="240"/>
        <w:rPr>
          <w:caps w:val="0"/>
          <w:sz w:val="24"/>
          <w:szCs w:val="24"/>
          <w:u w:val="single"/>
          <w:lang w:val="fr-FR"/>
        </w:rPr>
      </w:pPr>
      <w:r w:rsidRPr="007E4B92">
        <w:rPr>
          <w:caps w:val="0"/>
          <w:sz w:val="24"/>
          <w:u w:val="single"/>
          <w:lang w:val="fr-FR"/>
        </w:rPr>
        <w:lastRenderedPageBreak/>
        <w:t>Jeudi 10 </w:t>
      </w:r>
      <w:r w:rsidR="00CD0792" w:rsidRPr="007E4B92">
        <w:rPr>
          <w:caps w:val="0"/>
          <w:sz w:val="24"/>
          <w:u w:val="single"/>
          <w:lang w:val="fr-FR"/>
        </w:rPr>
        <w:t>avril 20</w:t>
      </w:r>
      <w:r w:rsidRPr="007E4B92">
        <w:rPr>
          <w:caps w:val="0"/>
          <w:sz w:val="24"/>
          <w:u w:val="single"/>
          <w:lang w:val="fr-FR"/>
        </w:rPr>
        <w:t>25</w:t>
      </w:r>
    </w:p>
    <w:p w14:paraId="6520EF67" w14:textId="65E2696A" w:rsidR="0082763B" w:rsidRPr="007E4B92" w:rsidRDefault="0082763B" w:rsidP="004C5C7F">
      <w:pPr>
        <w:pStyle w:val="Heading3"/>
        <w:keepNext w:val="0"/>
        <w:tabs>
          <w:tab w:val="left" w:pos="2268"/>
        </w:tabs>
        <w:spacing w:before="360" w:after="240"/>
        <w:rPr>
          <w:bCs w:val="0"/>
          <w:szCs w:val="20"/>
          <w:u w:val="none"/>
          <w:lang w:val="fr-FR"/>
        </w:rPr>
      </w:pPr>
      <w:r w:rsidRPr="007E4B92">
        <w:rPr>
          <w:u w:val="none"/>
          <w:lang w:val="fr-FR"/>
        </w:rPr>
        <w:t>14</w:t>
      </w:r>
      <w:r w:rsidR="0028210F">
        <w:rPr>
          <w:u w:val="none"/>
          <w:lang w:val="fr-FR"/>
        </w:rPr>
        <w:t> </w:t>
      </w:r>
      <w:r w:rsidRPr="007E4B92">
        <w:rPr>
          <w:u w:val="none"/>
          <w:lang w:val="fr-FR"/>
        </w:rPr>
        <w:t>h 30 –</w:t>
      </w:r>
      <w:r w:rsidR="0028210F">
        <w:rPr>
          <w:u w:val="none"/>
          <w:lang w:val="fr-FR"/>
        </w:rPr>
        <w:t xml:space="preserve"> </w:t>
      </w:r>
      <w:r w:rsidRPr="007E4B92">
        <w:rPr>
          <w:u w:val="none"/>
          <w:lang w:val="fr-FR"/>
        </w:rPr>
        <w:t>14 h 35</w:t>
      </w:r>
      <w:r w:rsidRPr="007E4B92">
        <w:rPr>
          <w:u w:val="none"/>
          <w:lang w:val="fr-FR"/>
        </w:rPr>
        <w:tab/>
        <w:t>Ouverture</w:t>
      </w:r>
    </w:p>
    <w:p w14:paraId="3B8D2087" w14:textId="32B6485D" w:rsidR="0082763B" w:rsidRPr="007E4B92" w:rsidRDefault="0082763B" w:rsidP="004C5C7F">
      <w:pPr>
        <w:spacing w:after="240"/>
        <w:ind w:left="2268"/>
        <w:rPr>
          <w:lang w:val="fr-FR"/>
        </w:rPr>
      </w:pPr>
      <w:r w:rsidRPr="007E4B92">
        <w:rPr>
          <w:lang w:val="fr-FR"/>
        </w:rPr>
        <w:t>Allocution de bienvenue prononcée par</w:t>
      </w:r>
      <w:r w:rsidR="00CD0792" w:rsidRPr="007E4B92">
        <w:rPr>
          <w:lang w:val="fr-FR"/>
        </w:rPr>
        <w:t> :</w:t>
      </w:r>
    </w:p>
    <w:p w14:paraId="3025BA47" w14:textId="4268555D" w:rsidR="0082763B" w:rsidRPr="007E4B92" w:rsidRDefault="0082763B" w:rsidP="007603F2">
      <w:pPr>
        <w:spacing w:after="253"/>
        <w:ind w:left="2268"/>
        <w:rPr>
          <w:lang w:val="fr-FR"/>
        </w:rPr>
      </w:pPr>
      <w:r w:rsidRPr="007E4B92">
        <w:rPr>
          <w:lang w:val="fr-FR"/>
        </w:rPr>
        <w:t>Mme</w:t>
      </w:r>
      <w:r w:rsidR="005726EB" w:rsidRPr="007E4B92">
        <w:rPr>
          <w:lang w:val="fr-FR"/>
        </w:rPr>
        <w:t> </w:t>
      </w:r>
      <w:r w:rsidRPr="007E4B92">
        <w:rPr>
          <w:lang w:val="fr-FR"/>
        </w:rPr>
        <w:t>Sylvie</w:t>
      </w:r>
      <w:r w:rsidR="0028210F">
        <w:rPr>
          <w:lang w:val="fr-FR"/>
        </w:rPr>
        <w:t> </w:t>
      </w:r>
      <w:r w:rsidRPr="007E4B92">
        <w:rPr>
          <w:lang w:val="fr-FR"/>
        </w:rPr>
        <w:t>Forbin, vice</w:t>
      </w:r>
      <w:r w:rsidR="0028210F">
        <w:rPr>
          <w:lang w:val="fr-FR"/>
        </w:rPr>
        <w:noBreakHyphen/>
      </w:r>
      <w:r w:rsidRPr="007E4B92">
        <w:rPr>
          <w:lang w:val="fr-FR"/>
        </w:rPr>
        <w:t>directrice générale chargée du Secteur du droit d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>auteur et des industries de la création, Organisation Mondiale de la Propriété Intellectuelle (OMPI), Genève</w:t>
      </w:r>
    </w:p>
    <w:p w14:paraId="78F4E52B" w14:textId="6E229A31" w:rsidR="00CD0792" w:rsidRPr="007E4B92" w:rsidRDefault="0082763B" w:rsidP="003C75A1">
      <w:pPr>
        <w:pStyle w:val="Heading3"/>
        <w:keepNext w:val="0"/>
        <w:spacing w:before="360" w:after="240"/>
        <w:ind w:left="2268" w:hanging="2268"/>
        <w:rPr>
          <w:b/>
          <w:u w:val="none"/>
          <w:lang w:val="fr-FR"/>
        </w:rPr>
      </w:pPr>
      <w:r w:rsidRPr="007E4B92">
        <w:rPr>
          <w:u w:val="none"/>
          <w:lang w:val="fr-FR"/>
        </w:rPr>
        <w:t>14 h 35 – 16 h 3</w:t>
      </w:r>
      <w:r w:rsidR="00ED5920">
        <w:rPr>
          <w:u w:val="none"/>
          <w:lang w:val="fr-FR"/>
        </w:rPr>
        <w:t>0</w:t>
      </w:r>
      <w:r w:rsidRPr="007E4B92">
        <w:rPr>
          <w:u w:val="none"/>
          <w:lang w:val="fr-FR"/>
        </w:rPr>
        <w:tab/>
      </w:r>
      <w:r w:rsidRPr="007E4B92">
        <w:rPr>
          <w:b/>
          <w:u w:val="none"/>
          <w:lang w:val="fr-FR"/>
        </w:rPr>
        <w:t>Débat n° 1</w:t>
      </w:r>
      <w:r w:rsidR="00CD0792" w:rsidRPr="007E4B92">
        <w:rPr>
          <w:b/>
          <w:u w:val="none"/>
          <w:lang w:val="fr-FR"/>
        </w:rPr>
        <w:t> :</w:t>
      </w:r>
      <w:r w:rsidRPr="007E4B92">
        <w:rPr>
          <w:b/>
          <w:u w:val="none"/>
          <w:lang w:val="fr-FR"/>
        </w:rPr>
        <w:t xml:space="preserve"> Droit d</w:t>
      </w:r>
      <w:r w:rsidR="00CD0792" w:rsidRPr="007E4B92">
        <w:rPr>
          <w:b/>
          <w:u w:val="none"/>
          <w:lang w:val="fr-FR"/>
        </w:rPr>
        <w:t>’</w:t>
      </w:r>
      <w:r w:rsidRPr="007E4B92">
        <w:rPr>
          <w:b/>
          <w:u w:val="none"/>
          <w:lang w:val="fr-FR"/>
        </w:rPr>
        <w:t>auteur et entraînement de l</w:t>
      </w:r>
      <w:r w:rsidR="00CD0792" w:rsidRPr="007E4B92">
        <w:rPr>
          <w:b/>
          <w:u w:val="none"/>
          <w:lang w:val="fr-FR"/>
        </w:rPr>
        <w:t>’</w:t>
      </w:r>
      <w:r w:rsidRPr="007E4B92">
        <w:rPr>
          <w:b/>
          <w:u w:val="none"/>
          <w:lang w:val="fr-FR"/>
        </w:rPr>
        <w:t>IA</w:t>
      </w:r>
    </w:p>
    <w:p w14:paraId="5C663472" w14:textId="075EE9EC" w:rsidR="0082763B" w:rsidRPr="007E4B92" w:rsidRDefault="0082763B" w:rsidP="007603F2">
      <w:pPr>
        <w:shd w:val="clear" w:color="auto" w:fill="D9D9D9" w:themeFill="background1" w:themeFillShade="D9"/>
        <w:tabs>
          <w:tab w:val="left" w:pos="2835"/>
        </w:tabs>
        <w:spacing w:before="380" w:after="120"/>
        <w:ind w:left="2835" w:hanging="567"/>
        <w:rPr>
          <w:i/>
          <w:iCs/>
          <w:lang w:val="fr-FR"/>
        </w:rPr>
      </w:pPr>
      <w:r w:rsidRPr="007E4B92">
        <w:rPr>
          <w:i/>
          <w:u w:val="single"/>
          <w:lang w:val="fr-FR"/>
        </w:rPr>
        <w:t>Exemples de questions à examiner</w:t>
      </w:r>
      <w:r w:rsidR="00CD0792" w:rsidRPr="007E4B92">
        <w:rPr>
          <w:i/>
          <w:lang w:val="fr-FR"/>
        </w:rPr>
        <w:t> :</w:t>
      </w:r>
    </w:p>
    <w:p w14:paraId="57F6E29D" w14:textId="008A4E85" w:rsidR="0082763B" w:rsidRPr="007E4B92" w:rsidRDefault="0082763B" w:rsidP="007603F2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2835"/>
        </w:tabs>
        <w:spacing w:after="60"/>
        <w:ind w:left="2835" w:hanging="567"/>
        <w:contextualSpacing w:val="0"/>
        <w:rPr>
          <w:i/>
          <w:iCs/>
        </w:rPr>
      </w:pPr>
      <w:r w:rsidRPr="007E4B92">
        <w:rPr>
          <w:i/>
        </w:rPr>
        <w:t>Comment les différents ressorts juridiques appréhendent</w:t>
      </w:r>
      <w:r w:rsidR="0028210F">
        <w:rPr>
          <w:i/>
        </w:rPr>
        <w:noBreakHyphen/>
      </w:r>
      <w:r w:rsidRPr="007E4B92">
        <w:rPr>
          <w:i/>
        </w:rPr>
        <w:t>ils la mise en balance des divers intérêts susceptibles d</w:t>
      </w:r>
      <w:r w:rsidR="00CD0792" w:rsidRPr="007E4B92">
        <w:rPr>
          <w:i/>
        </w:rPr>
        <w:t>’</w:t>
      </w:r>
      <w:r w:rsidRPr="007E4B92">
        <w:rPr>
          <w:i/>
        </w:rPr>
        <w:t xml:space="preserve">être touchés par le développement de </w:t>
      </w:r>
      <w:proofErr w:type="gramStart"/>
      <w:r w:rsidRPr="007E4B92">
        <w:rPr>
          <w:i/>
        </w:rPr>
        <w:t>l</w:t>
      </w:r>
      <w:r w:rsidR="00CD0792" w:rsidRPr="007E4B92">
        <w:rPr>
          <w:i/>
        </w:rPr>
        <w:t>’</w:t>
      </w:r>
      <w:r w:rsidRPr="007E4B92">
        <w:rPr>
          <w:i/>
        </w:rPr>
        <w:t>IA?</w:t>
      </w:r>
      <w:proofErr w:type="gramEnd"/>
    </w:p>
    <w:p w14:paraId="35607BC6" w14:textId="3D9920FC" w:rsidR="0082763B" w:rsidRPr="007E4B92" w:rsidRDefault="0082763B" w:rsidP="007603F2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2835"/>
        </w:tabs>
        <w:spacing w:after="60"/>
        <w:ind w:left="2835" w:hanging="567"/>
        <w:contextualSpacing w:val="0"/>
        <w:rPr>
          <w:i/>
          <w:iCs/>
        </w:rPr>
      </w:pPr>
      <w:r w:rsidRPr="007E4B92">
        <w:rPr>
          <w:i/>
        </w:rPr>
        <w:t>Quels sont les droits concernés lorsque des modèles d</w:t>
      </w:r>
      <w:r w:rsidR="00CD0792" w:rsidRPr="007E4B92">
        <w:rPr>
          <w:i/>
        </w:rPr>
        <w:t>’</w:t>
      </w:r>
      <w:r w:rsidRPr="007E4B92">
        <w:rPr>
          <w:i/>
        </w:rPr>
        <w:t>IA sont entraînés à partir d</w:t>
      </w:r>
      <w:r w:rsidR="00CD0792" w:rsidRPr="007E4B92">
        <w:rPr>
          <w:i/>
        </w:rPr>
        <w:t>’</w:t>
      </w:r>
      <w:r w:rsidRPr="007E4B92">
        <w:rPr>
          <w:i/>
        </w:rPr>
        <w:t xml:space="preserve">ensembles de données contenant des éléments protégés par le droit </w:t>
      </w:r>
      <w:proofErr w:type="gramStart"/>
      <w:r w:rsidRPr="007E4B92">
        <w:rPr>
          <w:i/>
        </w:rPr>
        <w:t>d</w:t>
      </w:r>
      <w:r w:rsidR="00CD0792" w:rsidRPr="007E4B92">
        <w:rPr>
          <w:i/>
        </w:rPr>
        <w:t>’</w:t>
      </w:r>
      <w:r w:rsidRPr="007E4B92">
        <w:rPr>
          <w:i/>
        </w:rPr>
        <w:t>auteur?</w:t>
      </w:r>
      <w:proofErr w:type="gramEnd"/>
    </w:p>
    <w:p w14:paraId="5179337F" w14:textId="090D4D6E" w:rsidR="0082763B" w:rsidRPr="007E4B92" w:rsidRDefault="0082763B" w:rsidP="007603F2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2835"/>
        </w:tabs>
        <w:spacing w:after="60"/>
        <w:ind w:left="2835" w:hanging="567"/>
        <w:contextualSpacing w:val="0"/>
        <w:rPr>
          <w:i/>
          <w:iCs/>
        </w:rPr>
      </w:pPr>
      <w:r w:rsidRPr="007E4B92">
        <w:rPr>
          <w:i/>
        </w:rPr>
        <w:t>Comment les ressorts juridiques envisagent</w:t>
      </w:r>
      <w:r w:rsidR="0028210F">
        <w:rPr>
          <w:i/>
        </w:rPr>
        <w:noBreakHyphen/>
      </w:r>
      <w:r w:rsidRPr="007E4B92">
        <w:rPr>
          <w:i/>
        </w:rPr>
        <w:t>ils la question de savoir si des autorisations doivent être demandées pour ces droits ou si l</w:t>
      </w:r>
      <w:r w:rsidR="00CD0792" w:rsidRPr="007E4B92">
        <w:rPr>
          <w:i/>
        </w:rPr>
        <w:t>’</w:t>
      </w:r>
      <w:r w:rsidRPr="007E4B92">
        <w:rPr>
          <w:i/>
        </w:rPr>
        <w:t>entraînement de modèles d</w:t>
      </w:r>
      <w:r w:rsidR="00CD0792" w:rsidRPr="007E4B92">
        <w:rPr>
          <w:i/>
        </w:rPr>
        <w:t>’</w:t>
      </w:r>
      <w:r w:rsidRPr="007E4B92">
        <w:rPr>
          <w:i/>
        </w:rPr>
        <w:t xml:space="preserve">IA à partir de tels ensembles de données pourrait être couvert par une limitation ou une exception existante ou nouvelle relative au droit </w:t>
      </w:r>
      <w:proofErr w:type="gramStart"/>
      <w:r w:rsidRPr="007E4B92">
        <w:rPr>
          <w:i/>
        </w:rPr>
        <w:t>d</w:t>
      </w:r>
      <w:r w:rsidR="00CD0792" w:rsidRPr="007E4B92">
        <w:rPr>
          <w:i/>
        </w:rPr>
        <w:t>’</w:t>
      </w:r>
      <w:r w:rsidRPr="007E4B92">
        <w:rPr>
          <w:i/>
        </w:rPr>
        <w:t>auteur?</w:t>
      </w:r>
      <w:proofErr w:type="gramEnd"/>
    </w:p>
    <w:p w14:paraId="31B95D70" w14:textId="2AE21804" w:rsidR="0082763B" w:rsidRPr="007E4B92" w:rsidRDefault="0082763B" w:rsidP="007603F2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2835"/>
        </w:tabs>
        <w:spacing w:after="60"/>
        <w:ind w:left="2835" w:hanging="567"/>
        <w:contextualSpacing w:val="0"/>
        <w:rPr>
          <w:i/>
          <w:iCs/>
        </w:rPr>
      </w:pPr>
      <w:r w:rsidRPr="007E4B92">
        <w:rPr>
          <w:i/>
        </w:rPr>
        <w:t>Si les ressorts juridiques considèrent que l</w:t>
      </w:r>
      <w:r w:rsidR="00CD0792" w:rsidRPr="007E4B92">
        <w:rPr>
          <w:i/>
        </w:rPr>
        <w:t>’</w:t>
      </w:r>
      <w:r w:rsidRPr="007E4B92">
        <w:rPr>
          <w:i/>
        </w:rPr>
        <w:t>entraînement de modèles d</w:t>
      </w:r>
      <w:r w:rsidR="00CD0792" w:rsidRPr="007E4B92">
        <w:rPr>
          <w:i/>
        </w:rPr>
        <w:t>’</w:t>
      </w:r>
      <w:r w:rsidRPr="007E4B92">
        <w:rPr>
          <w:i/>
        </w:rPr>
        <w:t>IA à partir de tels ensembles de données pourrait être couvert par une exception ou une limitation relative au droit d</w:t>
      </w:r>
      <w:r w:rsidR="00CD0792" w:rsidRPr="007E4B92">
        <w:rPr>
          <w:i/>
        </w:rPr>
        <w:t>’</w:t>
      </w:r>
      <w:r w:rsidRPr="007E4B92">
        <w:rPr>
          <w:i/>
        </w:rPr>
        <w:t>auteur, imposent</w:t>
      </w:r>
      <w:r w:rsidR="0028210F">
        <w:rPr>
          <w:i/>
        </w:rPr>
        <w:noBreakHyphen/>
      </w:r>
      <w:r w:rsidRPr="007E4B92">
        <w:rPr>
          <w:i/>
        </w:rPr>
        <w:t>ils des conditions à la commercialisation des modèles d</w:t>
      </w:r>
      <w:r w:rsidR="00CD0792" w:rsidRPr="007E4B92">
        <w:rPr>
          <w:i/>
        </w:rPr>
        <w:t>’</w:t>
      </w:r>
      <w:r w:rsidRPr="007E4B92">
        <w:rPr>
          <w:i/>
        </w:rPr>
        <w:t>IA ou des éléments généré</w:t>
      </w:r>
      <w:r w:rsidR="008046A5">
        <w:rPr>
          <w:i/>
        </w:rPr>
        <w:t>s</w:t>
      </w:r>
      <w:r w:rsidRPr="007E4B92">
        <w:rPr>
          <w:i/>
        </w:rPr>
        <w:t xml:space="preserve"> par ces </w:t>
      </w:r>
      <w:proofErr w:type="gramStart"/>
      <w:r w:rsidRPr="007E4B92">
        <w:rPr>
          <w:i/>
        </w:rPr>
        <w:t>modèles?</w:t>
      </w:r>
      <w:proofErr w:type="gramEnd"/>
    </w:p>
    <w:p w14:paraId="2F426469" w14:textId="088C1888" w:rsidR="0082763B" w:rsidRPr="007E4B92" w:rsidRDefault="0082763B" w:rsidP="007603F2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2835"/>
        </w:tabs>
        <w:spacing w:after="60"/>
        <w:ind w:left="2835" w:hanging="567"/>
        <w:contextualSpacing w:val="0"/>
        <w:rPr>
          <w:i/>
          <w:iCs/>
        </w:rPr>
      </w:pPr>
      <w:r w:rsidRPr="007E4B92">
        <w:rPr>
          <w:i/>
        </w:rPr>
        <w:t>Les ressorts juridiques considèrent</w:t>
      </w:r>
      <w:r w:rsidR="0028210F">
        <w:rPr>
          <w:i/>
        </w:rPr>
        <w:noBreakHyphen/>
      </w:r>
      <w:r w:rsidRPr="007E4B92">
        <w:rPr>
          <w:i/>
        </w:rPr>
        <w:t>ils que les deux</w:t>
      </w:r>
      <w:r w:rsidR="005726EB" w:rsidRPr="007E4B92">
        <w:rPr>
          <w:i/>
        </w:rPr>
        <w:t> </w:t>
      </w:r>
      <w:r w:rsidRPr="007E4B92">
        <w:rPr>
          <w:i/>
        </w:rPr>
        <w:t>approches (autorisations à demander pour les droits/couverture par une exception ou une limitation relative au droit d</w:t>
      </w:r>
      <w:r w:rsidR="00CD0792" w:rsidRPr="007E4B92">
        <w:rPr>
          <w:i/>
        </w:rPr>
        <w:t>’</w:t>
      </w:r>
      <w:r w:rsidRPr="007E4B92">
        <w:rPr>
          <w:i/>
        </w:rPr>
        <w:t>auteur) peuvent coexister dans un même ressort et, dans l</w:t>
      </w:r>
      <w:r w:rsidR="00CD0792" w:rsidRPr="007E4B92">
        <w:rPr>
          <w:i/>
        </w:rPr>
        <w:t>’</w:t>
      </w:r>
      <w:r w:rsidRPr="007E4B92">
        <w:rPr>
          <w:i/>
        </w:rPr>
        <w:t xml:space="preserve">affirmative, dans quelles </w:t>
      </w:r>
      <w:proofErr w:type="gramStart"/>
      <w:r w:rsidRPr="007E4B92">
        <w:rPr>
          <w:i/>
        </w:rPr>
        <w:t>circonstances?</w:t>
      </w:r>
      <w:proofErr w:type="gramEnd"/>
    </w:p>
    <w:p w14:paraId="2112D801" w14:textId="77777777" w:rsidR="0082763B" w:rsidRPr="007E4B92" w:rsidRDefault="0082763B" w:rsidP="007603F2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2835"/>
        </w:tabs>
        <w:spacing w:after="60"/>
        <w:ind w:left="2835" w:hanging="567"/>
        <w:contextualSpacing w:val="0"/>
        <w:rPr>
          <w:i/>
          <w:iCs/>
        </w:rPr>
      </w:pPr>
      <w:r w:rsidRPr="007E4B92">
        <w:rPr>
          <w:i/>
        </w:rPr>
        <w:t xml:space="preserve">Si les ressorts juridiques envisagent une approche nécessitant une autorisation des droits, quels principes et solutions pourraient être appliqués à ce </w:t>
      </w:r>
      <w:proofErr w:type="gramStart"/>
      <w:r w:rsidRPr="007E4B92">
        <w:rPr>
          <w:i/>
        </w:rPr>
        <w:t>processus?</w:t>
      </w:r>
      <w:proofErr w:type="gramEnd"/>
    </w:p>
    <w:p w14:paraId="71560D43" w14:textId="66288D35" w:rsidR="00CD0792" w:rsidRPr="007E4B92" w:rsidRDefault="0082763B" w:rsidP="007603F2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2835"/>
        </w:tabs>
        <w:spacing w:after="60"/>
        <w:ind w:left="2835" w:hanging="567"/>
        <w:contextualSpacing w:val="0"/>
        <w:rPr>
          <w:i/>
        </w:rPr>
      </w:pPr>
      <w:r w:rsidRPr="007E4B92">
        <w:rPr>
          <w:i/>
        </w:rPr>
        <w:t>Si les ressorts juridiques envisagent d</w:t>
      </w:r>
      <w:r w:rsidR="00CD0792" w:rsidRPr="007E4B92">
        <w:rPr>
          <w:i/>
        </w:rPr>
        <w:t>’</w:t>
      </w:r>
      <w:r w:rsidRPr="007E4B92">
        <w:rPr>
          <w:i/>
        </w:rPr>
        <w:t>introduire des systèmes de rémunération, comment abordent</w:t>
      </w:r>
      <w:r w:rsidR="0028210F">
        <w:rPr>
          <w:i/>
        </w:rPr>
        <w:noBreakHyphen/>
      </w:r>
      <w:r w:rsidRPr="007E4B92">
        <w:rPr>
          <w:i/>
        </w:rPr>
        <w:t>ils la question des actes susceptibles de déclencher l</w:t>
      </w:r>
      <w:r w:rsidR="00CD0792" w:rsidRPr="007E4B92">
        <w:rPr>
          <w:i/>
        </w:rPr>
        <w:t>’</w:t>
      </w:r>
      <w:r w:rsidRPr="007E4B92">
        <w:rPr>
          <w:i/>
        </w:rPr>
        <w:t xml:space="preserve">obligation de </w:t>
      </w:r>
      <w:proofErr w:type="gramStart"/>
      <w:r w:rsidRPr="007E4B92">
        <w:rPr>
          <w:i/>
        </w:rPr>
        <w:t>rémunération?</w:t>
      </w:r>
      <w:proofErr w:type="gramEnd"/>
    </w:p>
    <w:p w14:paraId="616E09F9" w14:textId="61341871" w:rsidR="0082763B" w:rsidRPr="007E4B92" w:rsidRDefault="0082763B" w:rsidP="007603F2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2835"/>
        </w:tabs>
        <w:spacing w:after="60"/>
        <w:ind w:left="2835" w:hanging="567"/>
        <w:contextualSpacing w:val="0"/>
        <w:rPr>
          <w:i/>
          <w:iCs/>
        </w:rPr>
      </w:pPr>
      <w:r w:rsidRPr="007E4B92">
        <w:rPr>
          <w:i/>
        </w:rPr>
        <w:t>Comment les ressorts juridiques envisagent</w:t>
      </w:r>
      <w:r w:rsidR="0028210F">
        <w:rPr>
          <w:i/>
        </w:rPr>
        <w:noBreakHyphen/>
      </w:r>
      <w:r w:rsidRPr="007E4B92">
        <w:rPr>
          <w:i/>
        </w:rPr>
        <w:t>ils la question de savoir s</w:t>
      </w:r>
      <w:r w:rsidR="00CD0792" w:rsidRPr="007E4B92">
        <w:rPr>
          <w:i/>
        </w:rPr>
        <w:t>’</w:t>
      </w:r>
      <w:r w:rsidRPr="007E4B92">
        <w:rPr>
          <w:i/>
        </w:rPr>
        <w:t>il serait souhaitable d</w:t>
      </w:r>
      <w:r w:rsidR="00CD0792" w:rsidRPr="007E4B92">
        <w:rPr>
          <w:i/>
        </w:rPr>
        <w:t>’</w:t>
      </w:r>
      <w:r w:rsidRPr="007E4B92">
        <w:rPr>
          <w:i/>
        </w:rPr>
        <w:t>aborder la question de l</w:t>
      </w:r>
      <w:r w:rsidR="00CD0792" w:rsidRPr="007E4B92">
        <w:rPr>
          <w:i/>
        </w:rPr>
        <w:t>’</w:t>
      </w:r>
      <w:r w:rsidRPr="007E4B92">
        <w:rPr>
          <w:i/>
        </w:rPr>
        <w:t>entraînement de l</w:t>
      </w:r>
      <w:r w:rsidR="00CD0792" w:rsidRPr="007E4B92">
        <w:rPr>
          <w:i/>
        </w:rPr>
        <w:t>’</w:t>
      </w:r>
      <w:r w:rsidRPr="007E4B92">
        <w:rPr>
          <w:i/>
        </w:rPr>
        <w:t xml:space="preserve">IA de manière plus </w:t>
      </w:r>
      <w:proofErr w:type="gramStart"/>
      <w:r w:rsidRPr="007E4B92">
        <w:rPr>
          <w:i/>
        </w:rPr>
        <w:t>coordonnée?</w:t>
      </w:r>
      <w:proofErr w:type="gramEnd"/>
    </w:p>
    <w:p w14:paraId="10D2CF1D" w14:textId="6BD673F0" w:rsidR="00CD0792" w:rsidRPr="007E4B92" w:rsidRDefault="0082763B" w:rsidP="004C5C7F">
      <w:pPr>
        <w:keepNext/>
        <w:spacing w:before="360" w:after="240"/>
        <w:ind w:left="2268"/>
        <w:rPr>
          <w:i/>
          <w:lang w:val="fr-FR"/>
        </w:rPr>
      </w:pPr>
      <w:r w:rsidRPr="007E4B92">
        <w:rPr>
          <w:i/>
          <w:lang w:val="fr-FR"/>
        </w:rPr>
        <w:t>Présentation du contexte</w:t>
      </w:r>
      <w:r w:rsidR="00CD0792" w:rsidRPr="007E4B92">
        <w:rPr>
          <w:i/>
          <w:lang w:val="fr-FR"/>
        </w:rPr>
        <w:t> :</w:t>
      </w:r>
      <w:r w:rsidRPr="007E4B92">
        <w:rPr>
          <w:i/>
          <w:lang w:val="fr-FR"/>
        </w:rPr>
        <w:t xml:space="preserve"> Questions clés au stade de l</w:t>
      </w:r>
      <w:r w:rsidR="00CD0792" w:rsidRPr="007E4B92">
        <w:rPr>
          <w:i/>
          <w:lang w:val="fr-FR"/>
        </w:rPr>
        <w:t>’</w:t>
      </w:r>
      <w:r w:rsidRPr="007E4B92">
        <w:rPr>
          <w:i/>
          <w:lang w:val="fr-FR"/>
        </w:rPr>
        <w:t>entraînement de l</w:t>
      </w:r>
      <w:r w:rsidR="00CD0792" w:rsidRPr="007E4B92">
        <w:rPr>
          <w:i/>
          <w:lang w:val="fr-FR"/>
        </w:rPr>
        <w:t>’</w:t>
      </w:r>
      <w:r w:rsidRPr="007E4B92">
        <w:rPr>
          <w:i/>
          <w:lang w:val="fr-FR"/>
        </w:rPr>
        <w:t>IA</w:t>
      </w:r>
    </w:p>
    <w:p w14:paraId="63A2B0BE" w14:textId="155FA238" w:rsidR="0082763B" w:rsidRPr="007E4B92" w:rsidRDefault="0082763B" w:rsidP="004C5C7F">
      <w:pPr>
        <w:tabs>
          <w:tab w:val="left" w:pos="3969"/>
        </w:tabs>
        <w:spacing w:after="220"/>
        <w:ind w:left="3969" w:hanging="1701"/>
        <w:rPr>
          <w:lang w:val="fr-FR"/>
        </w:rPr>
      </w:pPr>
      <w:r w:rsidRPr="007E4B92">
        <w:rPr>
          <w:lang w:val="fr-FR"/>
        </w:rPr>
        <w:t>Conférencier</w:t>
      </w:r>
      <w:r w:rsidR="00CD0792" w:rsidRPr="007E4B92">
        <w:rPr>
          <w:lang w:val="fr-FR"/>
        </w:rPr>
        <w:t> :</w:t>
      </w:r>
      <w:r w:rsidR="005726EB" w:rsidRPr="007E4B92">
        <w:rPr>
          <w:lang w:val="fr-FR"/>
        </w:rPr>
        <w:t xml:space="preserve"> </w:t>
      </w:r>
      <w:r w:rsidRPr="007E4B92">
        <w:rPr>
          <w:lang w:val="fr-FR"/>
        </w:rPr>
        <w:tab/>
        <w:t>M.</w:t>
      </w:r>
      <w:r w:rsidR="005726EB" w:rsidRPr="007E4B92">
        <w:rPr>
          <w:lang w:val="fr-FR"/>
        </w:rPr>
        <w:t> </w:t>
      </w:r>
      <w:r w:rsidRPr="007E4B92">
        <w:rPr>
          <w:lang w:val="fr-FR"/>
        </w:rPr>
        <w:t>Péter</w:t>
      </w:r>
      <w:r w:rsidR="00861041">
        <w:rPr>
          <w:lang w:val="fr-FR"/>
        </w:rPr>
        <w:t> </w:t>
      </w:r>
      <w:proofErr w:type="spellStart"/>
      <w:r w:rsidRPr="007E4B92">
        <w:rPr>
          <w:lang w:val="fr-FR"/>
        </w:rPr>
        <w:t>Mezei</w:t>
      </w:r>
      <w:proofErr w:type="spellEnd"/>
      <w:r w:rsidRPr="007E4B92">
        <w:rPr>
          <w:lang w:val="fr-FR"/>
        </w:rPr>
        <w:t>, professeur de droit à l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>Université de Szeged (Hongrie)</w:t>
      </w:r>
    </w:p>
    <w:p w14:paraId="3FB1DB08" w14:textId="10947966" w:rsidR="00CD0792" w:rsidRPr="007E4B92" w:rsidRDefault="0082763B" w:rsidP="004C5C7F">
      <w:pPr>
        <w:keepNext/>
        <w:spacing w:before="360" w:after="240"/>
        <w:ind w:left="2268"/>
        <w:rPr>
          <w:i/>
          <w:lang w:val="fr-FR"/>
        </w:rPr>
      </w:pPr>
      <w:r w:rsidRPr="007E4B92">
        <w:rPr>
          <w:i/>
          <w:lang w:val="fr-FR"/>
        </w:rPr>
        <w:lastRenderedPageBreak/>
        <w:t>Partage de données d</w:t>
      </w:r>
      <w:r w:rsidR="00CD0792" w:rsidRPr="007E4B92">
        <w:rPr>
          <w:i/>
          <w:lang w:val="fr-FR"/>
        </w:rPr>
        <w:t>’</w:t>
      </w:r>
      <w:r w:rsidRPr="007E4B92">
        <w:rPr>
          <w:i/>
          <w:lang w:val="fr-FR"/>
        </w:rPr>
        <w:t>expérience, discussion d</w:t>
      </w:r>
      <w:r w:rsidR="00CD0792" w:rsidRPr="007E4B92">
        <w:rPr>
          <w:i/>
          <w:lang w:val="fr-FR"/>
        </w:rPr>
        <w:t>’</w:t>
      </w:r>
      <w:r w:rsidRPr="007E4B92">
        <w:rPr>
          <w:i/>
          <w:lang w:val="fr-FR"/>
        </w:rPr>
        <w:t>experts et séance de questions</w:t>
      </w:r>
      <w:r w:rsidR="0028210F">
        <w:rPr>
          <w:i/>
          <w:lang w:val="fr-FR"/>
        </w:rPr>
        <w:noBreakHyphen/>
      </w:r>
      <w:r w:rsidRPr="007E4B92">
        <w:rPr>
          <w:i/>
          <w:lang w:val="fr-FR"/>
        </w:rPr>
        <w:t>réponses</w:t>
      </w:r>
    </w:p>
    <w:p w14:paraId="68A0DD0D" w14:textId="5105973E" w:rsidR="0082763B" w:rsidRPr="007E4B92" w:rsidRDefault="0082763B" w:rsidP="004C5C7F">
      <w:pPr>
        <w:tabs>
          <w:tab w:val="left" w:pos="3969"/>
        </w:tabs>
        <w:spacing w:after="220"/>
        <w:ind w:left="3969" w:hanging="1701"/>
        <w:rPr>
          <w:lang w:val="fr-FR"/>
        </w:rPr>
      </w:pPr>
      <w:r w:rsidRPr="007E4B92">
        <w:rPr>
          <w:lang w:val="fr-FR"/>
        </w:rPr>
        <w:t>Conférenciers</w:t>
      </w:r>
      <w:r w:rsidRPr="007E4B92">
        <w:rPr>
          <w:rStyle w:val="FootnoteReference"/>
          <w:lang w:val="fr-FR"/>
        </w:rPr>
        <w:footnoteReference w:id="2"/>
      </w:r>
      <w:r w:rsidR="005726EB" w:rsidRPr="007E4B92">
        <w:rPr>
          <w:lang w:val="fr-FR"/>
        </w:rPr>
        <w:t xml:space="preserve"> : </w:t>
      </w:r>
      <w:r w:rsidRPr="007E4B92">
        <w:rPr>
          <w:lang w:val="fr-FR"/>
        </w:rPr>
        <w:tab/>
        <w:t>M.</w:t>
      </w:r>
      <w:r w:rsidR="005726EB" w:rsidRPr="007E4B92">
        <w:rPr>
          <w:lang w:val="fr-FR"/>
        </w:rPr>
        <w:t> </w:t>
      </w:r>
      <w:r w:rsidRPr="007E4B92">
        <w:rPr>
          <w:lang w:val="fr-FR"/>
        </w:rPr>
        <w:t>Marcos Alves de Souza, secrétaire au droit d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>auteur et aux droits de propriété intellectuelle</w:t>
      </w:r>
      <w:r w:rsidR="004C5C7F">
        <w:rPr>
          <w:lang w:val="fr-FR"/>
        </w:rPr>
        <w:t>,</w:t>
      </w:r>
      <w:r w:rsidRPr="007E4B92">
        <w:rPr>
          <w:lang w:val="fr-FR"/>
        </w:rPr>
        <w:t xml:space="preserve"> </w:t>
      </w:r>
      <w:proofErr w:type="gramStart"/>
      <w:r w:rsidRPr="007E4B92">
        <w:rPr>
          <w:lang w:val="fr-FR"/>
        </w:rPr>
        <w:t>Ministère de la culture</w:t>
      </w:r>
      <w:proofErr w:type="gramEnd"/>
      <w:r w:rsidRPr="007E4B92">
        <w:rPr>
          <w:lang w:val="fr-FR"/>
        </w:rPr>
        <w:t xml:space="preserve"> du Brésil</w:t>
      </w:r>
    </w:p>
    <w:p w14:paraId="7E4D1F13" w14:textId="7BB09BF3" w:rsidR="0082763B" w:rsidRDefault="0082763B" w:rsidP="004C5C7F">
      <w:pPr>
        <w:spacing w:after="220"/>
        <w:ind w:left="3969"/>
        <w:rPr>
          <w:lang w:val="fr-FR"/>
        </w:rPr>
      </w:pPr>
      <w:r w:rsidRPr="007E4B92">
        <w:rPr>
          <w:lang w:val="fr-FR"/>
        </w:rPr>
        <w:t>M.</w:t>
      </w:r>
      <w:r w:rsidR="005726EB" w:rsidRPr="007E4B92">
        <w:rPr>
          <w:lang w:val="fr-FR"/>
        </w:rPr>
        <w:t> </w:t>
      </w:r>
      <w:r w:rsidR="00ED5920">
        <w:rPr>
          <w:lang w:val="fr-FR"/>
        </w:rPr>
        <w:t xml:space="preserve">François Joseph </w:t>
      </w:r>
      <w:proofErr w:type="spellStart"/>
      <w:r w:rsidRPr="007E4B92">
        <w:rPr>
          <w:lang w:val="fr-FR"/>
        </w:rPr>
        <w:t>Nnemette</w:t>
      </w:r>
      <w:proofErr w:type="spellEnd"/>
      <w:r w:rsidR="0028210F">
        <w:rPr>
          <w:lang w:val="fr-FR"/>
        </w:rPr>
        <w:t> </w:t>
      </w:r>
      <w:proofErr w:type="spellStart"/>
      <w:r w:rsidRPr="007E4B92">
        <w:rPr>
          <w:lang w:val="fr-FR"/>
        </w:rPr>
        <w:t>Beyeme</w:t>
      </w:r>
      <w:proofErr w:type="spellEnd"/>
      <w:r w:rsidRPr="007E4B92">
        <w:rPr>
          <w:lang w:val="fr-FR"/>
        </w:rPr>
        <w:t xml:space="preserve">, directeur </w:t>
      </w:r>
      <w:r w:rsidR="009B4B02">
        <w:rPr>
          <w:lang w:val="fr-FR"/>
        </w:rPr>
        <w:t xml:space="preserve">de la réglementation des télécommunications </w:t>
      </w:r>
      <w:r w:rsidRPr="007E4B92">
        <w:rPr>
          <w:lang w:val="fr-FR"/>
        </w:rPr>
        <w:t>et</w:t>
      </w:r>
      <w:r w:rsidR="00CD0792" w:rsidRPr="007E4B92">
        <w:rPr>
          <w:lang w:val="fr-FR"/>
        </w:rPr>
        <w:t xml:space="preserve"> des TIC</w:t>
      </w:r>
      <w:r w:rsidR="009B4B02">
        <w:rPr>
          <w:lang w:val="fr-FR"/>
        </w:rPr>
        <w:t xml:space="preserve">, </w:t>
      </w:r>
      <w:proofErr w:type="gramStart"/>
      <w:r w:rsidRPr="007E4B92">
        <w:rPr>
          <w:lang w:val="fr-FR"/>
        </w:rPr>
        <w:t>Ministère des postes</w:t>
      </w:r>
      <w:proofErr w:type="gramEnd"/>
      <w:r w:rsidRPr="007E4B92">
        <w:rPr>
          <w:lang w:val="fr-FR"/>
        </w:rPr>
        <w:t xml:space="preserve"> et télécommunications du Cameroun</w:t>
      </w:r>
    </w:p>
    <w:p w14:paraId="5F87C215" w14:textId="0FABB3E3" w:rsidR="00ED5920" w:rsidRPr="007E4B92" w:rsidRDefault="00ED5920" w:rsidP="004C5C7F">
      <w:pPr>
        <w:spacing w:after="220"/>
        <w:ind w:left="3969"/>
        <w:rPr>
          <w:lang w:val="fr-FR"/>
        </w:rPr>
      </w:pPr>
      <w:r>
        <w:t xml:space="preserve">M. Abhishek Singh, secrétaire adjoint, </w:t>
      </w:r>
      <w:proofErr w:type="gramStart"/>
      <w:r>
        <w:t>Ministère de l’électronique</w:t>
      </w:r>
      <w:proofErr w:type="gramEnd"/>
      <w:r>
        <w:t xml:space="preserve"> et des technologies de l’information (</w:t>
      </w:r>
      <w:proofErr w:type="spellStart"/>
      <w:r>
        <w:t>MeitY</w:t>
      </w:r>
      <w:proofErr w:type="spellEnd"/>
      <w:r>
        <w:t>) (Inde) (à distance)</w:t>
      </w:r>
    </w:p>
    <w:p w14:paraId="6FAE168F" w14:textId="394B5BCC" w:rsidR="0082763B" w:rsidRPr="007E4B92" w:rsidRDefault="0082763B" w:rsidP="004C5C7F">
      <w:pPr>
        <w:spacing w:after="220"/>
        <w:ind w:left="3969"/>
        <w:rPr>
          <w:lang w:val="fr-FR"/>
        </w:rPr>
      </w:pPr>
      <w:r w:rsidRPr="007E4B92">
        <w:rPr>
          <w:lang w:val="fr-FR"/>
        </w:rPr>
        <w:t>M.</w:t>
      </w:r>
      <w:r w:rsidR="005726EB" w:rsidRPr="007E4B92">
        <w:rPr>
          <w:lang w:val="fr-FR"/>
        </w:rPr>
        <w:t> </w:t>
      </w:r>
      <w:proofErr w:type="spellStart"/>
      <w:r w:rsidRPr="007E4B92">
        <w:rPr>
          <w:lang w:val="fr-FR"/>
        </w:rPr>
        <w:t>Hirohiko</w:t>
      </w:r>
      <w:proofErr w:type="spellEnd"/>
      <w:r w:rsidR="0028210F">
        <w:rPr>
          <w:lang w:val="fr-FR"/>
        </w:rPr>
        <w:t> </w:t>
      </w:r>
      <w:r w:rsidRPr="007E4B92">
        <w:rPr>
          <w:lang w:val="fr-FR"/>
        </w:rPr>
        <w:t>Nakahara, directeur général du Bureau japonais du droit d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>auteur, Agence des affaires culturelles du Japon (à distance)</w:t>
      </w:r>
    </w:p>
    <w:p w14:paraId="04A45321" w14:textId="26E8CA8C" w:rsidR="0082763B" w:rsidRPr="007E4B92" w:rsidRDefault="00ED5920" w:rsidP="004C5C7F">
      <w:pPr>
        <w:spacing w:after="220"/>
        <w:ind w:left="3969"/>
        <w:rPr>
          <w:lang w:val="fr-FR"/>
        </w:rPr>
      </w:pPr>
      <w:r>
        <w:t>Mme Mary </w:t>
      </w:r>
      <w:proofErr w:type="spellStart"/>
      <w:r>
        <w:t>Critharis</w:t>
      </w:r>
      <w:proofErr w:type="spellEnd"/>
      <w:r>
        <w:t>, responsable par intérim de la politique générale et directrice par intérim des affaires internationales, Office des brevets et des marques des États-Unis d’Amérique (USPTO) (à distance)</w:t>
      </w:r>
    </w:p>
    <w:p w14:paraId="2F15D11C" w14:textId="5E87F326" w:rsidR="0082763B" w:rsidRPr="007E4B92" w:rsidRDefault="0082763B" w:rsidP="004C5C7F">
      <w:pPr>
        <w:spacing w:after="220"/>
        <w:ind w:left="3969"/>
        <w:rPr>
          <w:lang w:val="fr-FR"/>
        </w:rPr>
      </w:pPr>
      <w:r w:rsidRPr="007E4B92">
        <w:rPr>
          <w:lang w:val="fr-FR"/>
        </w:rPr>
        <w:t>Mme</w:t>
      </w:r>
      <w:r w:rsidR="005726EB" w:rsidRPr="007E4B92">
        <w:rPr>
          <w:lang w:val="fr-FR"/>
        </w:rPr>
        <w:t> </w:t>
      </w:r>
      <w:r w:rsidRPr="007E4B92">
        <w:rPr>
          <w:lang w:val="fr-FR"/>
        </w:rPr>
        <w:t>Emmanuelle</w:t>
      </w:r>
      <w:r w:rsidR="0028210F">
        <w:rPr>
          <w:lang w:val="fr-FR"/>
        </w:rPr>
        <w:t> </w:t>
      </w:r>
      <w:r w:rsidRPr="007E4B92">
        <w:rPr>
          <w:lang w:val="fr-FR"/>
        </w:rPr>
        <w:t>du </w:t>
      </w:r>
      <w:proofErr w:type="spellStart"/>
      <w:r w:rsidRPr="007E4B92">
        <w:rPr>
          <w:lang w:val="fr-FR"/>
        </w:rPr>
        <w:t>Chalard</w:t>
      </w:r>
      <w:proofErr w:type="spellEnd"/>
      <w:r w:rsidRPr="007E4B92">
        <w:rPr>
          <w:lang w:val="fr-FR"/>
        </w:rPr>
        <w:t>, responsable du droit d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>auteur et des politiques relatives aux médias à la Direction générale des réseaux de communication, du contenu et des technologies (DG</w:t>
      </w:r>
      <w:r w:rsidR="004C5C7F">
        <w:rPr>
          <w:lang w:val="fr-FR"/>
        </w:rPr>
        <w:t xml:space="preserve"> </w:t>
      </w:r>
      <w:r w:rsidRPr="007E4B92">
        <w:rPr>
          <w:lang w:val="fr-FR"/>
        </w:rPr>
        <w:t>CNECT) de la Commission européenne</w:t>
      </w:r>
    </w:p>
    <w:p w14:paraId="7303FAE2" w14:textId="7D8BE893" w:rsidR="0082763B" w:rsidRPr="007E4B92" w:rsidRDefault="0082763B" w:rsidP="004C5C7F">
      <w:pPr>
        <w:spacing w:after="220"/>
        <w:ind w:left="3969"/>
        <w:rPr>
          <w:lang w:val="fr-FR"/>
        </w:rPr>
      </w:pPr>
      <w:r w:rsidRPr="007E4B92">
        <w:rPr>
          <w:lang w:val="fr-FR"/>
        </w:rPr>
        <w:t>M.</w:t>
      </w:r>
      <w:r w:rsidR="005726EB" w:rsidRPr="007E4B92">
        <w:rPr>
          <w:lang w:val="fr-FR"/>
        </w:rPr>
        <w:t> </w:t>
      </w:r>
      <w:r w:rsidRPr="007E4B92">
        <w:rPr>
          <w:lang w:val="fr-FR"/>
        </w:rPr>
        <w:t>Cédric</w:t>
      </w:r>
      <w:r w:rsidR="0028210F">
        <w:rPr>
          <w:lang w:val="fr-FR"/>
        </w:rPr>
        <w:t> </w:t>
      </w:r>
      <w:r w:rsidRPr="007E4B92">
        <w:rPr>
          <w:lang w:val="fr-FR"/>
        </w:rPr>
        <w:t>Manara, directeur et responsable du droit d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>auteur chez Google</w:t>
      </w:r>
    </w:p>
    <w:p w14:paraId="7ABC9686" w14:textId="5B8421CB" w:rsidR="0082763B" w:rsidRPr="007E4B92" w:rsidRDefault="004C5C7F" w:rsidP="004C5C7F">
      <w:pPr>
        <w:spacing w:after="220"/>
        <w:ind w:left="3969"/>
        <w:rPr>
          <w:lang w:val="fr-FR"/>
        </w:rPr>
      </w:pPr>
      <w:r>
        <w:rPr>
          <w:lang w:val="fr-FR"/>
        </w:rPr>
        <w:t>Mme Anna Dickson, vice</w:t>
      </w:r>
      <w:r>
        <w:rPr>
          <w:lang w:val="fr-FR"/>
        </w:rPr>
        <w:noBreakHyphen/>
        <w:t xml:space="preserve">présidente, stratégie des contenus et opérations, </w:t>
      </w:r>
      <w:proofErr w:type="spellStart"/>
      <w:r>
        <w:rPr>
          <w:lang w:val="fr-FR"/>
        </w:rPr>
        <w:t>Shutterstock</w:t>
      </w:r>
      <w:proofErr w:type="spellEnd"/>
      <w:r w:rsidR="00ED5920">
        <w:rPr>
          <w:lang w:val="fr-FR"/>
        </w:rPr>
        <w:t xml:space="preserve"> (à distance)</w:t>
      </w:r>
    </w:p>
    <w:p w14:paraId="2FE79E92" w14:textId="399EC2E1" w:rsidR="0082763B" w:rsidRPr="007E4B92" w:rsidRDefault="0082763B" w:rsidP="007603F2">
      <w:pPr>
        <w:tabs>
          <w:tab w:val="left" w:pos="3969"/>
        </w:tabs>
        <w:spacing w:after="253"/>
        <w:ind w:left="3969" w:hanging="1701"/>
        <w:rPr>
          <w:lang w:val="fr-FR"/>
        </w:rPr>
      </w:pPr>
      <w:r w:rsidRPr="007E4B92">
        <w:rPr>
          <w:lang w:val="fr-FR"/>
        </w:rPr>
        <w:t>Modérateur</w:t>
      </w:r>
      <w:r w:rsidR="00CD0792" w:rsidRPr="007E4B92">
        <w:rPr>
          <w:lang w:val="fr-FR"/>
        </w:rPr>
        <w:t> :</w:t>
      </w:r>
      <w:r w:rsidRPr="007E4B92">
        <w:rPr>
          <w:lang w:val="fr-FR"/>
        </w:rPr>
        <w:t xml:space="preserve"> </w:t>
      </w:r>
      <w:r w:rsidRPr="007E4B92">
        <w:rPr>
          <w:lang w:val="fr-FR"/>
        </w:rPr>
        <w:tab/>
        <w:t>M. Tobias Bednarz, conseiller juridique, Division du droit d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>auteur, Secteur du droit d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>auteur et des industries de la création, OMPI</w:t>
      </w:r>
    </w:p>
    <w:p w14:paraId="3B573773" w14:textId="6359BC79" w:rsidR="00CD0792" w:rsidRPr="007E4B92" w:rsidRDefault="0082763B" w:rsidP="003C75A1">
      <w:pPr>
        <w:pStyle w:val="Heading3"/>
        <w:tabs>
          <w:tab w:val="left" w:pos="2268"/>
        </w:tabs>
        <w:spacing w:before="360" w:after="240"/>
        <w:ind w:left="2268" w:hanging="2268"/>
        <w:rPr>
          <w:b/>
          <w:u w:val="none"/>
          <w:lang w:val="fr-FR"/>
        </w:rPr>
      </w:pPr>
      <w:r w:rsidRPr="007E4B92">
        <w:rPr>
          <w:u w:val="none"/>
          <w:lang w:val="fr-FR"/>
        </w:rPr>
        <w:t>16 h 3</w:t>
      </w:r>
      <w:r w:rsidR="00ED5920">
        <w:rPr>
          <w:u w:val="none"/>
          <w:lang w:val="fr-FR"/>
        </w:rPr>
        <w:t>0</w:t>
      </w:r>
      <w:r w:rsidRPr="007E4B92">
        <w:rPr>
          <w:u w:val="none"/>
          <w:lang w:val="fr-FR"/>
        </w:rPr>
        <w:t xml:space="preserve"> – 18 h </w:t>
      </w:r>
      <w:r w:rsidR="00ED5920">
        <w:rPr>
          <w:u w:val="none"/>
          <w:lang w:val="fr-FR"/>
        </w:rPr>
        <w:t>2</w:t>
      </w:r>
      <w:r w:rsidRPr="007E4B92">
        <w:rPr>
          <w:u w:val="none"/>
          <w:lang w:val="fr-FR"/>
        </w:rPr>
        <w:t>5</w:t>
      </w:r>
      <w:r w:rsidRPr="007E4B92">
        <w:rPr>
          <w:u w:val="none"/>
          <w:lang w:val="fr-FR"/>
        </w:rPr>
        <w:tab/>
      </w:r>
      <w:r w:rsidRPr="007E4B92">
        <w:rPr>
          <w:b/>
          <w:u w:val="none"/>
          <w:lang w:val="fr-FR"/>
        </w:rPr>
        <w:t>Débat n° 2</w:t>
      </w:r>
      <w:r w:rsidR="00CD0792" w:rsidRPr="007E4B92">
        <w:rPr>
          <w:b/>
          <w:u w:val="none"/>
          <w:lang w:val="fr-FR"/>
        </w:rPr>
        <w:t> :</w:t>
      </w:r>
      <w:r w:rsidRPr="007E4B92">
        <w:rPr>
          <w:b/>
          <w:u w:val="none"/>
          <w:lang w:val="fr-FR"/>
        </w:rPr>
        <w:t xml:space="preserve"> Contenus générés par l</w:t>
      </w:r>
      <w:r w:rsidR="00CD0792" w:rsidRPr="007E4B92">
        <w:rPr>
          <w:b/>
          <w:u w:val="none"/>
          <w:lang w:val="fr-FR"/>
        </w:rPr>
        <w:t>’</w:t>
      </w:r>
      <w:r w:rsidRPr="007E4B92">
        <w:rPr>
          <w:b/>
          <w:u w:val="none"/>
          <w:lang w:val="fr-FR"/>
        </w:rPr>
        <w:t>IA et droit d</w:t>
      </w:r>
      <w:r w:rsidR="00CD0792" w:rsidRPr="007E4B92">
        <w:rPr>
          <w:b/>
          <w:u w:val="none"/>
          <w:lang w:val="fr-FR"/>
        </w:rPr>
        <w:t>’</w:t>
      </w:r>
      <w:r w:rsidRPr="007E4B92">
        <w:rPr>
          <w:b/>
          <w:u w:val="none"/>
          <w:lang w:val="fr-FR"/>
        </w:rPr>
        <w:t>auteur</w:t>
      </w:r>
    </w:p>
    <w:p w14:paraId="1DA12123" w14:textId="02ED28F0" w:rsidR="0082763B" w:rsidRPr="007E4B92" w:rsidRDefault="0082763B" w:rsidP="007603F2">
      <w:pPr>
        <w:keepNext/>
        <w:shd w:val="clear" w:color="auto" w:fill="D9D9D9" w:themeFill="background1" w:themeFillShade="D9"/>
        <w:spacing w:before="380" w:after="120"/>
        <w:ind w:left="2268"/>
        <w:rPr>
          <w:i/>
          <w:iCs/>
          <w:lang w:val="fr-FR"/>
        </w:rPr>
      </w:pPr>
      <w:r w:rsidRPr="007E4B92">
        <w:rPr>
          <w:i/>
          <w:u w:val="single"/>
          <w:lang w:val="fr-FR"/>
        </w:rPr>
        <w:t>Exemples de questions à examiner</w:t>
      </w:r>
      <w:r w:rsidR="00CD0792" w:rsidRPr="007E4B92">
        <w:rPr>
          <w:i/>
          <w:lang w:val="fr-FR"/>
        </w:rPr>
        <w:t> :</w:t>
      </w:r>
    </w:p>
    <w:p w14:paraId="4980F389" w14:textId="599AFDD6" w:rsidR="0082763B" w:rsidRPr="007E4B92" w:rsidRDefault="0082763B" w:rsidP="007603F2">
      <w:pPr>
        <w:pStyle w:val="ListParagraph"/>
        <w:keepLines/>
        <w:numPr>
          <w:ilvl w:val="0"/>
          <w:numId w:val="7"/>
        </w:numPr>
        <w:shd w:val="clear" w:color="auto" w:fill="D9D9D9" w:themeFill="background1" w:themeFillShade="D9"/>
        <w:tabs>
          <w:tab w:val="left" w:pos="2835"/>
        </w:tabs>
        <w:spacing w:after="60"/>
        <w:ind w:left="2835" w:hanging="567"/>
        <w:contextualSpacing w:val="0"/>
        <w:rPr>
          <w:i/>
          <w:iCs/>
        </w:rPr>
      </w:pPr>
      <w:r w:rsidRPr="007E4B92">
        <w:rPr>
          <w:i/>
        </w:rPr>
        <w:t>Comment les ressorts juridiques envisagent</w:t>
      </w:r>
      <w:r w:rsidR="0028210F">
        <w:rPr>
          <w:i/>
        </w:rPr>
        <w:noBreakHyphen/>
      </w:r>
      <w:r w:rsidRPr="007E4B92">
        <w:rPr>
          <w:i/>
        </w:rPr>
        <w:t>ils les questions de la paternité et de la possibilité d</w:t>
      </w:r>
      <w:r w:rsidR="00CD0792" w:rsidRPr="007E4B92">
        <w:rPr>
          <w:i/>
        </w:rPr>
        <w:t>’</w:t>
      </w:r>
      <w:r w:rsidRPr="007E4B92">
        <w:rPr>
          <w:i/>
        </w:rPr>
        <w:t>une protection par le droit d</w:t>
      </w:r>
      <w:r w:rsidR="00CD0792" w:rsidRPr="007E4B92">
        <w:rPr>
          <w:i/>
        </w:rPr>
        <w:t>’</w:t>
      </w:r>
      <w:r w:rsidRPr="007E4B92">
        <w:rPr>
          <w:i/>
        </w:rPr>
        <w:t>auteur dans le cadre des éléments générés par l</w:t>
      </w:r>
      <w:r w:rsidR="00CD0792" w:rsidRPr="007E4B92">
        <w:rPr>
          <w:i/>
        </w:rPr>
        <w:t>’</w:t>
      </w:r>
      <w:r w:rsidRPr="007E4B92">
        <w:rPr>
          <w:i/>
        </w:rPr>
        <w:t>IA ou créés à l</w:t>
      </w:r>
      <w:r w:rsidR="00CD0792" w:rsidRPr="007E4B92">
        <w:rPr>
          <w:i/>
        </w:rPr>
        <w:t>’</w:t>
      </w:r>
      <w:r w:rsidRPr="007E4B92">
        <w:rPr>
          <w:i/>
        </w:rPr>
        <w:t xml:space="preserve">aide de </w:t>
      </w:r>
      <w:proofErr w:type="gramStart"/>
      <w:r w:rsidRPr="007E4B92">
        <w:rPr>
          <w:i/>
        </w:rPr>
        <w:t>l</w:t>
      </w:r>
      <w:r w:rsidR="00CD0792" w:rsidRPr="007E4B92">
        <w:rPr>
          <w:i/>
        </w:rPr>
        <w:t>’</w:t>
      </w:r>
      <w:r w:rsidRPr="007E4B92">
        <w:rPr>
          <w:i/>
        </w:rPr>
        <w:t>IA?</w:t>
      </w:r>
      <w:proofErr w:type="gramEnd"/>
    </w:p>
    <w:p w14:paraId="730BB4F8" w14:textId="31DB5244" w:rsidR="0082763B" w:rsidRPr="007E4B92" w:rsidRDefault="0082763B" w:rsidP="007603F2">
      <w:pPr>
        <w:pStyle w:val="ListParagraph"/>
        <w:keepLines/>
        <w:numPr>
          <w:ilvl w:val="0"/>
          <w:numId w:val="7"/>
        </w:numPr>
        <w:shd w:val="clear" w:color="auto" w:fill="D9D9D9" w:themeFill="background1" w:themeFillShade="D9"/>
        <w:tabs>
          <w:tab w:val="left" w:pos="2835"/>
          <w:tab w:val="left" w:pos="5103"/>
        </w:tabs>
        <w:spacing w:after="60"/>
        <w:ind w:left="2835" w:hanging="567"/>
        <w:contextualSpacing w:val="0"/>
        <w:rPr>
          <w:i/>
          <w:iCs/>
        </w:rPr>
      </w:pPr>
      <w:r w:rsidRPr="007E4B92">
        <w:rPr>
          <w:i/>
        </w:rPr>
        <w:lastRenderedPageBreak/>
        <w:t>Comment les ressorts juridiques appréhendent</w:t>
      </w:r>
      <w:r w:rsidR="0028210F">
        <w:rPr>
          <w:i/>
        </w:rPr>
        <w:noBreakHyphen/>
      </w:r>
      <w:r w:rsidRPr="007E4B92">
        <w:rPr>
          <w:i/>
        </w:rPr>
        <w:t>ils la question des atteintes au droit d</w:t>
      </w:r>
      <w:r w:rsidR="00CD0792" w:rsidRPr="007E4B92">
        <w:rPr>
          <w:i/>
        </w:rPr>
        <w:t>’</w:t>
      </w:r>
      <w:r w:rsidRPr="007E4B92">
        <w:rPr>
          <w:i/>
        </w:rPr>
        <w:t xml:space="preserve">auteur et celle de la responsabilité dans le cadre des éléments générés par </w:t>
      </w:r>
      <w:proofErr w:type="gramStart"/>
      <w:r w:rsidRPr="007E4B92">
        <w:rPr>
          <w:i/>
        </w:rPr>
        <w:t>l</w:t>
      </w:r>
      <w:r w:rsidR="00CD0792" w:rsidRPr="007E4B92">
        <w:rPr>
          <w:i/>
        </w:rPr>
        <w:t>’</w:t>
      </w:r>
      <w:r w:rsidRPr="007E4B92">
        <w:rPr>
          <w:i/>
        </w:rPr>
        <w:t>IA?</w:t>
      </w:r>
      <w:proofErr w:type="gramEnd"/>
      <w:r w:rsidRPr="007E4B92">
        <w:rPr>
          <w:i/>
        </w:rPr>
        <w:t xml:space="preserve">  Comment évaluer les atteintes et la </w:t>
      </w:r>
      <w:proofErr w:type="gramStart"/>
      <w:r w:rsidRPr="007E4B92">
        <w:rPr>
          <w:i/>
        </w:rPr>
        <w:t>responsabilité?</w:t>
      </w:r>
      <w:proofErr w:type="gramEnd"/>
    </w:p>
    <w:p w14:paraId="232A8502" w14:textId="197DCF6B" w:rsidR="0082763B" w:rsidRPr="007E4B92" w:rsidRDefault="0082763B" w:rsidP="007603F2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2835"/>
          <w:tab w:val="left" w:pos="5103"/>
        </w:tabs>
        <w:spacing w:after="60"/>
        <w:ind w:left="2835" w:hanging="567"/>
        <w:contextualSpacing w:val="0"/>
        <w:rPr>
          <w:i/>
          <w:iCs/>
        </w:rPr>
      </w:pPr>
      <w:bookmarkStart w:id="5" w:name="_Hlk191976132"/>
      <w:r w:rsidRPr="007E4B92">
        <w:rPr>
          <w:i/>
        </w:rPr>
        <w:t>Comment les ressorts juridiques envisagent</w:t>
      </w:r>
      <w:r w:rsidR="0028210F">
        <w:rPr>
          <w:i/>
        </w:rPr>
        <w:noBreakHyphen/>
      </w:r>
      <w:r w:rsidRPr="007E4B92">
        <w:rPr>
          <w:i/>
        </w:rPr>
        <w:t xml:space="preserve">ils la question des exigences particulières pour les éléments générés par </w:t>
      </w:r>
      <w:proofErr w:type="gramStart"/>
      <w:r w:rsidRPr="007E4B92">
        <w:rPr>
          <w:i/>
        </w:rPr>
        <w:t>l</w:t>
      </w:r>
      <w:r w:rsidR="00CD0792" w:rsidRPr="007E4B92">
        <w:rPr>
          <w:i/>
        </w:rPr>
        <w:t>’</w:t>
      </w:r>
      <w:r w:rsidRPr="007E4B92">
        <w:rPr>
          <w:i/>
        </w:rPr>
        <w:t>IA?</w:t>
      </w:r>
      <w:bookmarkEnd w:id="5"/>
      <w:proofErr w:type="gramEnd"/>
    </w:p>
    <w:p w14:paraId="70B28A27" w14:textId="37C304F1" w:rsidR="00CD0792" w:rsidRPr="007E4B92" w:rsidRDefault="0082763B" w:rsidP="004C5C7F">
      <w:pPr>
        <w:keepNext/>
        <w:tabs>
          <w:tab w:val="left" w:pos="3402"/>
          <w:tab w:val="left" w:pos="5103"/>
        </w:tabs>
        <w:spacing w:before="360" w:after="240"/>
        <w:ind w:left="1701"/>
        <w:rPr>
          <w:i/>
          <w:lang w:val="fr-FR"/>
        </w:rPr>
      </w:pPr>
      <w:r w:rsidRPr="007E4B92">
        <w:rPr>
          <w:i/>
          <w:lang w:val="fr-FR"/>
        </w:rPr>
        <w:t>Présentation du contexte</w:t>
      </w:r>
      <w:r w:rsidR="00CD0792" w:rsidRPr="007E4B92">
        <w:rPr>
          <w:i/>
          <w:lang w:val="fr-FR"/>
        </w:rPr>
        <w:t> :</w:t>
      </w:r>
      <w:r w:rsidRPr="007E4B92">
        <w:rPr>
          <w:i/>
          <w:lang w:val="fr-FR"/>
        </w:rPr>
        <w:t xml:space="preserve"> Principales questions liées aux éléments générés par l</w:t>
      </w:r>
      <w:r w:rsidR="00CD0792" w:rsidRPr="007E4B92">
        <w:rPr>
          <w:i/>
          <w:lang w:val="fr-FR"/>
        </w:rPr>
        <w:t>’</w:t>
      </w:r>
      <w:r w:rsidRPr="007E4B92">
        <w:rPr>
          <w:i/>
          <w:lang w:val="fr-FR"/>
        </w:rPr>
        <w:t>IA</w:t>
      </w:r>
    </w:p>
    <w:p w14:paraId="19E7F7FA" w14:textId="60733F28" w:rsidR="0082763B" w:rsidRPr="007E4B92" w:rsidRDefault="0082763B" w:rsidP="007603F2">
      <w:pPr>
        <w:tabs>
          <w:tab w:val="left" w:pos="3969"/>
        </w:tabs>
        <w:spacing w:after="253"/>
        <w:ind w:left="3969" w:hanging="2268"/>
        <w:rPr>
          <w:lang w:val="fr-FR"/>
        </w:rPr>
      </w:pPr>
      <w:r w:rsidRPr="007E4B92">
        <w:rPr>
          <w:lang w:val="fr-FR"/>
        </w:rPr>
        <w:t>Conférencier</w:t>
      </w:r>
      <w:r w:rsidR="00CD0792" w:rsidRPr="007E4B92">
        <w:rPr>
          <w:lang w:val="fr-FR"/>
        </w:rPr>
        <w:t> :</w:t>
      </w:r>
      <w:r w:rsidR="005726EB" w:rsidRPr="007E4B92">
        <w:rPr>
          <w:lang w:val="fr-FR"/>
        </w:rPr>
        <w:t xml:space="preserve"> </w:t>
      </w:r>
      <w:r w:rsidRPr="007E4B92">
        <w:rPr>
          <w:lang w:val="fr-FR"/>
        </w:rPr>
        <w:tab/>
        <w:t>Mme</w:t>
      </w:r>
      <w:r w:rsidR="005726EB" w:rsidRPr="007E4B92">
        <w:rPr>
          <w:lang w:val="fr-FR"/>
        </w:rPr>
        <w:t> </w:t>
      </w:r>
      <w:proofErr w:type="spellStart"/>
      <w:r w:rsidRPr="007E4B92">
        <w:rPr>
          <w:lang w:val="fr-FR"/>
        </w:rPr>
        <w:t>Graciela</w:t>
      </w:r>
      <w:proofErr w:type="spellEnd"/>
      <w:r w:rsidR="0028210F">
        <w:rPr>
          <w:lang w:val="fr-FR"/>
        </w:rPr>
        <w:t> </w:t>
      </w:r>
      <w:r w:rsidRPr="007E4B92">
        <w:rPr>
          <w:lang w:val="fr-FR"/>
        </w:rPr>
        <w:t>Melo</w:t>
      </w:r>
      <w:r w:rsidR="0028210F">
        <w:rPr>
          <w:lang w:val="fr-FR"/>
        </w:rPr>
        <w:noBreakHyphen/>
      </w:r>
      <w:r w:rsidRPr="007E4B92">
        <w:rPr>
          <w:lang w:val="fr-FR"/>
        </w:rPr>
        <w:t>Sarmiento, consultante indépendante et professeure à l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 xml:space="preserve">Université de La </w:t>
      </w:r>
      <w:proofErr w:type="spellStart"/>
      <w:r w:rsidRPr="007E4B92">
        <w:rPr>
          <w:lang w:val="fr-FR"/>
        </w:rPr>
        <w:t>Sabana</w:t>
      </w:r>
      <w:proofErr w:type="spellEnd"/>
      <w:r w:rsidRPr="007E4B92">
        <w:rPr>
          <w:lang w:val="fr-FR"/>
        </w:rPr>
        <w:t xml:space="preserve"> (Colombie)</w:t>
      </w:r>
    </w:p>
    <w:p w14:paraId="7E89E676" w14:textId="0DCF3F84" w:rsidR="00CD0792" w:rsidRPr="007E4B92" w:rsidRDefault="0082763B" w:rsidP="004C5C7F">
      <w:pPr>
        <w:keepNext/>
        <w:tabs>
          <w:tab w:val="left" w:pos="3402"/>
          <w:tab w:val="left" w:pos="5103"/>
        </w:tabs>
        <w:spacing w:before="360" w:after="240"/>
        <w:ind w:left="1701"/>
        <w:rPr>
          <w:i/>
          <w:lang w:val="fr-FR"/>
        </w:rPr>
      </w:pPr>
      <w:r w:rsidRPr="007E4B92">
        <w:rPr>
          <w:i/>
          <w:lang w:val="fr-FR"/>
        </w:rPr>
        <w:t>Partage de données d</w:t>
      </w:r>
      <w:r w:rsidR="00CD0792" w:rsidRPr="007E4B92">
        <w:rPr>
          <w:i/>
          <w:lang w:val="fr-FR"/>
        </w:rPr>
        <w:t>’</w:t>
      </w:r>
      <w:r w:rsidRPr="007E4B92">
        <w:rPr>
          <w:i/>
          <w:lang w:val="fr-FR"/>
        </w:rPr>
        <w:t>expérience, discussion d</w:t>
      </w:r>
      <w:r w:rsidR="00CD0792" w:rsidRPr="007E4B92">
        <w:rPr>
          <w:i/>
          <w:lang w:val="fr-FR"/>
        </w:rPr>
        <w:t>’</w:t>
      </w:r>
      <w:r w:rsidRPr="007E4B92">
        <w:rPr>
          <w:i/>
          <w:lang w:val="fr-FR"/>
        </w:rPr>
        <w:t>experts et séance de questions</w:t>
      </w:r>
      <w:r w:rsidR="0028210F">
        <w:rPr>
          <w:i/>
          <w:lang w:val="fr-FR"/>
        </w:rPr>
        <w:noBreakHyphen/>
      </w:r>
      <w:r w:rsidRPr="007E4B92">
        <w:rPr>
          <w:i/>
          <w:lang w:val="fr-FR"/>
        </w:rPr>
        <w:t>réponses</w:t>
      </w:r>
    </w:p>
    <w:p w14:paraId="5E65E5B7" w14:textId="736170E5" w:rsidR="004C5C7F" w:rsidRDefault="0082763B" w:rsidP="003C75A1">
      <w:pPr>
        <w:tabs>
          <w:tab w:val="left" w:pos="3969"/>
        </w:tabs>
        <w:spacing w:after="220"/>
        <w:ind w:left="3969" w:hanging="2268"/>
      </w:pPr>
      <w:r w:rsidRPr="007E4B92">
        <w:rPr>
          <w:lang w:val="fr-FR"/>
        </w:rPr>
        <w:t>Conférenciers</w:t>
      </w:r>
      <w:r w:rsidR="00CD0792" w:rsidRPr="007E4B92">
        <w:rPr>
          <w:lang w:val="fr-FR"/>
        </w:rPr>
        <w:t> :</w:t>
      </w:r>
      <w:r w:rsidR="005726EB" w:rsidRPr="007E4B92">
        <w:rPr>
          <w:lang w:val="fr-FR"/>
        </w:rPr>
        <w:t xml:space="preserve"> </w:t>
      </w:r>
      <w:r w:rsidRPr="007E4B92">
        <w:rPr>
          <w:lang w:val="fr-FR"/>
        </w:rPr>
        <w:tab/>
      </w:r>
      <w:r w:rsidR="004C5C7F">
        <w:t>M. Kamran </w:t>
      </w:r>
      <w:proofErr w:type="spellStart"/>
      <w:r w:rsidR="004C5C7F">
        <w:t>Imanov</w:t>
      </w:r>
      <w:proofErr w:type="spellEnd"/>
      <w:r w:rsidR="004C5C7F">
        <w:t>, président du conseil d’administration de l’Agence de la propriété intellectuelle de la République d’Azerbaïdjan (à distance)</w:t>
      </w:r>
    </w:p>
    <w:p w14:paraId="4822B7C3" w14:textId="670C4FFF" w:rsidR="00CD0792" w:rsidRPr="007E4B92" w:rsidRDefault="0082763B" w:rsidP="003C75A1">
      <w:pPr>
        <w:tabs>
          <w:tab w:val="left" w:pos="3969"/>
        </w:tabs>
        <w:spacing w:after="220"/>
        <w:ind w:left="3969"/>
        <w:rPr>
          <w:lang w:val="fr-FR"/>
        </w:rPr>
      </w:pPr>
      <w:r w:rsidRPr="007E4B92">
        <w:rPr>
          <w:lang w:val="fr-FR"/>
        </w:rPr>
        <w:t>M.</w:t>
      </w:r>
      <w:r w:rsidR="005726EB" w:rsidRPr="007E4B92">
        <w:rPr>
          <w:lang w:val="fr-FR"/>
        </w:rPr>
        <w:t> </w:t>
      </w:r>
      <w:r w:rsidRPr="007E4B92">
        <w:rPr>
          <w:lang w:val="fr-FR"/>
        </w:rPr>
        <w:t>Wang</w:t>
      </w:r>
      <w:r w:rsidR="0028210F">
        <w:rPr>
          <w:lang w:val="fr-FR"/>
        </w:rPr>
        <w:t> </w:t>
      </w:r>
      <w:r w:rsidRPr="007E4B92">
        <w:rPr>
          <w:lang w:val="fr-FR"/>
        </w:rPr>
        <w:t>Qian, professeur à l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>Université de sciences politiques et de droit de Chine orientale et directeur adjoint de la base de recherche internationale sur le droit d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>auteur auprès de l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>Administration nationale du droit d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>auteur de la Chine</w:t>
      </w:r>
    </w:p>
    <w:p w14:paraId="2501F056" w14:textId="44DCC503" w:rsidR="0082763B" w:rsidRPr="007E4B92" w:rsidRDefault="0082763B" w:rsidP="003C75A1">
      <w:pPr>
        <w:spacing w:after="220"/>
        <w:ind w:left="3969"/>
        <w:rPr>
          <w:lang w:val="fr-FR"/>
        </w:rPr>
      </w:pPr>
      <w:r w:rsidRPr="007E4B92">
        <w:rPr>
          <w:lang w:val="fr-FR"/>
        </w:rPr>
        <w:t>Mme</w:t>
      </w:r>
      <w:r w:rsidR="005726EB" w:rsidRPr="007E4B92">
        <w:rPr>
          <w:lang w:val="fr-FR"/>
        </w:rPr>
        <w:t> </w:t>
      </w:r>
      <w:r w:rsidRPr="007E4B92">
        <w:rPr>
          <w:lang w:val="fr-FR"/>
        </w:rPr>
        <w:t>Mery Macharashvili, responsable du Département des inventions et des nouvelles variétés et espèces, Centre national de la propriété intellectuelle de la Géorgie (</w:t>
      </w:r>
      <w:proofErr w:type="spellStart"/>
      <w:r w:rsidRPr="007E4B92">
        <w:rPr>
          <w:lang w:val="fr-FR"/>
        </w:rPr>
        <w:t>Sakpatenti</w:t>
      </w:r>
      <w:proofErr w:type="spellEnd"/>
      <w:r w:rsidRPr="007E4B92">
        <w:rPr>
          <w:lang w:val="fr-FR"/>
        </w:rPr>
        <w:t>)</w:t>
      </w:r>
    </w:p>
    <w:p w14:paraId="566DDD6C" w14:textId="1E46EEE3" w:rsidR="0082763B" w:rsidRPr="007E4B92" w:rsidRDefault="0082763B" w:rsidP="003C75A1">
      <w:pPr>
        <w:spacing w:after="220"/>
        <w:ind w:left="3969"/>
        <w:rPr>
          <w:rFonts w:eastAsiaTheme="minorEastAsia"/>
          <w:color w:val="000000" w:themeColor="text1"/>
          <w:szCs w:val="22"/>
          <w:lang w:val="fr-FR"/>
        </w:rPr>
      </w:pPr>
      <w:r w:rsidRPr="007E4B92">
        <w:rPr>
          <w:lang w:val="fr-FR"/>
        </w:rPr>
        <w:t>M.</w:t>
      </w:r>
      <w:r w:rsidR="005726EB" w:rsidRPr="007E4B92">
        <w:rPr>
          <w:lang w:val="fr-FR"/>
        </w:rPr>
        <w:t> </w:t>
      </w:r>
      <w:r w:rsidRPr="007E4B92">
        <w:rPr>
          <w:color w:val="000000" w:themeColor="text1"/>
          <w:lang w:val="fr-FR"/>
        </w:rPr>
        <w:t>John</w:t>
      </w:r>
      <w:r w:rsidR="00ED5920">
        <w:rPr>
          <w:color w:val="000000" w:themeColor="text1"/>
          <w:lang w:val="fr-FR"/>
        </w:rPr>
        <w:t> </w:t>
      </w:r>
      <w:r w:rsidRPr="007E4B92">
        <w:rPr>
          <w:color w:val="000000" w:themeColor="text1"/>
          <w:lang w:val="fr-FR"/>
        </w:rPr>
        <w:t>Asein, directeur général de la Commission nigériane</w:t>
      </w:r>
      <w:r w:rsidRPr="007E4B92">
        <w:rPr>
          <w:lang w:val="fr-FR"/>
        </w:rPr>
        <w:t xml:space="preserve"> du droit d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>auteur</w:t>
      </w:r>
    </w:p>
    <w:p w14:paraId="4FD44B54" w14:textId="2247459F" w:rsidR="0082763B" w:rsidRPr="007E4B92" w:rsidRDefault="0082763B" w:rsidP="003C75A1">
      <w:pPr>
        <w:spacing w:after="220"/>
        <w:ind w:left="3969"/>
        <w:rPr>
          <w:lang w:val="fr-FR"/>
        </w:rPr>
      </w:pPr>
      <w:r w:rsidRPr="007E4B92">
        <w:rPr>
          <w:lang w:val="fr-FR"/>
        </w:rPr>
        <w:t>Mme </w:t>
      </w:r>
      <w:proofErr w:type="spellStart"/>
      <w:r w:rsidRPr="007E4B92">
        <w:rPr>
          <w:lang w:val="fr-FR"/>
        </w:rPr>
        <w:t>Hyang</w:t>
      </w:r>
      <w:proofErr w:type="spellEnd"/>
      <w:r w:rsidR="00ED5920">
        <w:rPr>
          <w:lang w:val="fr-FR"/>
        </w:rPr>
        <w:t>-</w:t>
      </w:r>
      <w:r w:rsidRPr="007E4B92">
        <w:rPr>
          <w:lang w:val="fr-FR"/>
        </w:rPr>
        <w:t>mi Jung, directrice générale du Bureau du droit d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 xml:space="preserve">auteur auprès du </w:t>
      </w:r>
      <w:proofErr w:type="gramStart"/>
      <w:r w:rsidRPr="007E4B92">
        <w:rPr>
          <w:lang w:val="fr-FR"/>
        </w:rPr>
        <w:t>Ministère de la culture</w:t>
      </w:r>
      <w:proofErr w:type="gramEnd"/>
      <w:r w:rsidRPr="007E4B92">
        <w:rPr>
          <w:lang w:val="fr-FR"/>
        </w:rPr>
        <w:t>, des sports et du tourisme de la République de Corée.</w:t>
      </w:r>
    </w:p>
    <w:p w14:paraId="1F3C3ED8" w14:textId="3D840BBC" w:rsidR="004C5C7F" w:rsidRDefault="004C5C7F" w:rsidP="003C75A1">
      <w:pPr>
        <w:spacing w:after="220"/>
        <w:ind w:left="3969"/>
      </w:pPr>
      <w:r>
        <w:t xml:space="preserve">M. Arun Chaturvedi, président, </w:t>
      </w:r>
      <w:proofErr w:type="spellStart"/>
      <w:r>
        <w:t>Songwriters</w:t>
      </w:r>
      <w:proofErr w:type="spellEnd"/>
      <w:r>
        <w:t xml:space="preserve"> Association of Canada</w:t>
      </w:r>
    </w:p>
    <w:p w14:paraId="675C418B" w14:textId="1F97B7B0" w:rsidR="00ED5920" w:rsidRDefault="00ED5920" w:rsidP="003C75A1">
      <w:pPr>
        <w:spacing w:after="220"/>
        <w:ind w:left="3969"/>
      </w:pPr>
      <w:r>
        <w:t>M</w:t>
      </w:r>
      <w:r w:rsidR="007D39B5">
        <w:t>me</w:t>
      </w:r>
      <w:r>
        <w:t>. </w:t>
      </w:r>
      <w:r w:rsidR="007D39B5" w:rsidRPr="007D39B5">
        <w:t xml:space="preserve">Anastasia </w:t>
      </w:r>
      <w:proofErr w:type="spellStart"/>
      <w:r w:rsidR="007D39B5" w:rsidRPr="007D39B5">
        <w:t>Stasenko</w:t>
      </w:r>
      <w:proofErr w:type="spellEnd"/>
      <w:r>
        <w:t>, cofondat</w:t>
      </w:r>
      <w:r w:rsidR="007D39B5">
        <w:t>rice</w:t>
      </w:r>
      <w:r>
        <w:t xml:space="preserve"> de </w:t>
      </w:r>
      <w:proofErr w:type="spellStart"/>
      <w:r>
        <w:t>Pleias</w:t>
      </w:r>
      <w:proofErr w:type="spellEnd"/>
      <w:r>
        <w:t xml:space="preserve"> (à distance)</w:t>
      </w:r>
    </w:p>
    <w:p w14:paraId="6543A222" w14:textId="77777777" w:rsidR="004C5C7F" w:rsidRPr="007D39B5" w:rsidRDefault="004C5C7F" w:rsidP="003C75A1">
      <w:pPr>
        <w:spacing w:after="220"/>
        <w:ind w:left="3969"/>
        <w:rPr>
          <w:lang w:val="en-US"/>
        </w:rPr>
      </w:pPr>
      <w:r w:rsidRPr="007D39B5">
        <w:rPr>
          <w:lang w:val="en-US"/>
        </w:rPr>
        <w:t>M. Thibault </w:t>
      </w:r>
      <w:proofErr w:type="spellStart"/>
      <w:r w:rsidRPr="007D39B5">
        <w:rPr>
          <w:lang w:val="en-US"/>
        </w:rPr>
        <w:t>Roucou</w:t>
      </w:r>
      <w:proofErr w:type="spellEnd"/>
      <w:r w:rsidRPr="007D39B5">
        <w:rPr>
          <w:lang w:val="en-US"/>
        </w:rPr>
        <w:t xml:space="preserve">, </w:t>
      </w:r>
      <w:proofErr w:type="spellStart"/>
      <w:r w:rsidRPr="007D39B5">
        <w:rPr>
          <w:lang w:val="en-US"/>
        </w:rPr>
        <w:t>directeur</w:t>
      </w:r>
      <w:proofErr w:type="spellEnd"/>
      <w:r w:rsidRPr="007D39B5">
        <w:rPr>
          <w:lang w:val="en-US"/>
        </w:rPr>
        <w:t>, Royalties and Reporting, Deezer</w:t>
      </w:r>
    </w:p>
    <w:p w14:paraId="1A8CCAA2" w14:textId="74941E27" w:rsidR="0082763B" w:rsidRPr="007E4B92" w:rsidRDefault="0082763B" w:rsidP="003C75A1">
      <w:pPr>
        <w:tabs>
          <w:tab w:val="left" w:pos="3969"/>
          <w:tab w:val="left" w:pos="5103"/>
        </w:tabs>
        <w:spacing w:after="240"/>
        <w:ind w:left="3969" w:hanging="1701"/>
        <w:rPr>
          <w:i/>
          <w:iCs/>
          <w:lang w:val="fr-FR"/>
        </w:rPr>
      </w:pPr>
      <w:r w:rsidRPr="007E4B92">
        <w:rPr>
          <w:lang w:val="fr-FR"/>
        </w:rPr>
        <w:t>Modérateur</w:t>
      </w:r>
      <w:r w:rsidR="00CD0792" w:rsidRPr="007E4B92">
        <w:rPr>
          <w:lang w:val="fr-FR"/>
        </w:rPr>
        <w:t> :</w:t>
      </w:r>
      <w:r w:rsidRPr="007E4B92">
        <w:rPr>
          <w:lang w:val="fr-FR"/>
        </w:rPr>
        <w:t xml:space="preserve"> </w:t>
      </w:r>
      <w:r w:rsidRPr="007E4B92">
        <w:rPr>
          <w:lang w:val="fr-FR"/>
        </w:rPr>
        <w:tab/>
        <w:t>M.</w:t>
      </w:r>
      <w:r w:rsidR="005726EB" w:rsidRPr="007E4B92">
        <w:rPr>
          <w:lang w:val="fr-FR"/>
        </w:rPr>
        <w:t> </w:t>
      </w:r>
      <w:r w:rsidRPr="007E4B92">
        <w:rPr>
          <w:lang w:val="fr-FR"/>
        </w:rPr>
        <w:t xml:space="preserve">Rafael </w:t>
      </w:r>
      <w:proofErr w:type="spellStart"/>
      <w:r w:rsidRPr="007E4B92">
        <w:rPr>
          <w:lang w:val="fr-FR"/>
        </w:rPr>
        <w:t>Ferraz</w:t>
      </w:r>
      <w:proofErr w:type="spellEnd"/>
      <w:r w:rsidRPr="007E4B92">
        <w:rPr>
          <w:lang w:val="fr-FR"/>
        </w:rPr>
        <w:t xml:space="preserve"> Vazquez, juriste, Division du droit d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>auteur, Secteur du droit d</w:t>
      </w:r>
      <w:r w:rsidR="00CD0792" w:rsidRPr="007E4B92">
        <w:rPr>
          <w:lang w:val="fr-FR"/>
        </w:rPr>
        <w:t>’</w:t>
      </w:r>
      <w:r w:rsidRPr="007E4B92">
        <w:rPr>
          <w:lang w:val="fr-FR"/>
        </w:rPr>
        <w:t>auteur et des industries de la création</w:t>
      </w:r>
      <w:r w:rsidR="004C5C7F">
        <w:rPr>
          <w:lang w:val="fr-FR"/>
        </w:rPr>
        <w:t>, OMPI</w:t>
      </w:r>
    </w:p>
    <w:p w14:paraId="07D6A299" w14:textId="777AF8B5" w:rsidR="00CD0792" w:rsidRPr="007E4B92" w:rsidRDefault="0082763B" w:rsidP="00ED5920">
      <w:pPr>
        <w:pStyle w:val="Heading3"/>
        <w:tabs>
          <w:tab w:val="left" w:pos="2268"/>
          <w:tab w:val="left" w:pos="5103"/>
        </w:tabs>
        <w:spacing w:before="360" w:after="240"/>
        <w:ind w:left="2268" w:hanging="2268"/>
        <w:rPr>
          <w:b/>
          <w:u w:val="none"/>
          <w:lang w:val="fr-FR"/>
        </w:rPr>
      </w:pPr>
      <w:r w:rsidRPr="007E4B92">
        <w:rPr>
          <w:u w:val="none"/>
          <w:lang w:val="fr-FR"/>
        </w:rPr>
        <w:lastRenderedPageBreak/>
        <w:t>18 h </w:t>
      </w:r>
      <w:r w:rsidR="00ED5920">
        <w:rPr>
          <w:u w:val="none"/>
          <w:lang w:val="fr-FR"/>
        </w:rPr>
        <w:t>2</w:t>
      </w:r>
      <w:r w:rsidRPr="007E4B92">
        <w:rPr>
          <w:u w:val="none"/>
          <w:lang w:val="fr-FR"/>
        </w:rPr>
        <w:t>5 – 18 h 30</w:t>
      </w:r>
      <w:r w:rsidRPr="007E4B92">
        <w:rPr>
          <w:u w:val="none"/>
          <w:lang w:val="fr-FR"/>
        </w:rPr>
        <w:tab/>
      </w:r>
      <w:r w:rsidRPr="007E4B92">
        <w:rPr>
          <w:b/>
          <w:u w:val="none"/>
          <w:lang w:val="fr-FR"/>
        </w:rPr>
        <w:t>Clôture</w:t>
      </w:r>
    </w:p>
    <w:p w14:paraId="79053DFF" w14:textId="42E257DE" w:rsidR="0082763B" w:rsidRPr="007E4B92" w:rsidRDefault="0082763B" w:rsidP="003C75A1">
      <w:pPr>
        <w:tabs>
          <w:tab w:val="left" w:pos="3969"/>
        </w:tabs>
        <w:spacing w:after="240"/>
        <w:ind w:left="2835" w:hanging="567"/>
        <w:rPr>
          <w:lang w:val="fr-FR"/>
        </w:rPr>
      </w:pPr>
      <w:r w:rsidRPr="007E4B92">
        <w:rPr>
          <w:lang w:val="fr-FR"/>
        </w:rPr>
        <w:t>Conférenci</w:t>
      </w:r>
      <w:r w:rsidR="00B06404">
        <w:rPr>
          <w:lang w:val="fr-FR"/>
        </w:rPr>
        <w:t>è</w:t>
      </w:r>
      <w:r w:rsidRPr="007E4B92">
        <w:rPr>
          <w:lang w:val="fr-FR"/>
        </w:rPr>
        <w:t>r</w:t>
      </w:r>
      <w:r w:rsidR="00B06404">
        <w:rPr>
          <w:lang w:val="fr-FR"/>
        </w:rPr>
        <w:t>e</w:t>
      </w:r>
      <w:r w:rsidR="00CD0792" w:rsidRPr="007E4B92">
        <w:rPr>
          <w:lang w:val="fr-FR"/>
        </w:rPr>
        <w:t> :</w:t>
      </w:r>
      <w:r w:rsidR="005726EB" w:rsidRPr="007E4B92">
        <w:rPr>
          <w:lang w:val="fr-FR"/>
        </w:rPr>
        <w:t xml:space="preserve"> </w:t>
      </w:r>
      <w:r w:rsidRPr="007E4B92">
        <w:rPr>
          <w:lang w:val="fr-FR"/>
        </w:rPr>
        <w:tab/>
        <w:t>Mme</w:t>
      </w:r>
      <w:r w:rsidR="005726EB" w:rsidRPr="007E4B92">
        <w:rPr>
          <w:lang w:val="fr-FR"/>
        </w:rPr>
        <w:t> </w:t>
      </w:r>
      <w:r w:rsidRPr="007E4B92">
        <w:rPr>
          <w:lang w:val="fr-FR"/>
        </w:rPr>
        <w:t>Forbin</w:t>
      </w:r>
    </w:p>
    <w:p w14:paraId="59285F03" w14:textId="1E3AF5AA" w:rsidR="0082763B" w:rsidRPr="007E4B92" w:rsidRDefault="0082763B" w:rsidP="007603F2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2835"/>
          <w:tab w:val="left" w:pos="5103"/>
        </w:tabs>
        <w:spacing w:after="120"/>
        <w:ind w:left="2835" w:hanging="567"/>
        <w:rPr>
          <w:i/>
          <w:iCs/>
        </w:rPr>
      </w:pPr>
      <w:r w:rsidRPr="007E4B92">
        <w:rPr>
          <w:i/>
        </w:rPr>
        <w:t>N</w:t>
      </w:r>
      <w:r w:rsidR="00CD0792" w:rsidRPr="007E4B92">
        <w:rPr>
          <w:i/>
        </w:rPr>
        <w:t>’</w:t>
      </w:r>
      <w:r w:rsidRPr="007E4B92">
        <w:rPr>
          <w:i/>
        </w:rPr>
        <w:t>hésitez pas à nous faire part d</w:t>
      </w:r>
      <w:r w:rsidR="00CD0792" w:rsidRPr="007E4B92">
        <w:rPr>
          <w:i/>
        </w:rPr>
        <w:t>’</w:t>
      </w:r>
      <w:r w:rsidRPr="007E4B92">
        <w:rPr>
          <w:i/>
        </w:rPr>
        <w:t>autres commentaires et suggestions.</w:t>
      </w:r>
    </w:p>
    <w:p w14:paraId="154448BE" w14:textId="4A5CCD71" w:rsidR="000F5E56" w:rsidRPr="007E4B92" w:rsidRDefault="0082763B" w:rsidP="007603F2">
      <w:pPr>
        <w:pStyle w:val="Endofdocument-Annex"/>
      </w:pPr>
      <w:r w:rsidRPr="007E4B92">
        <w:t>[Fin du document]</w:t>
      </w:r>
    </w:p>
    <w:sectPr w:rsidR="000F5E56" w:rsidRPr="007E4B92" w:rsidSect="0082763B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1793" w14:textId="77777777" w:rsidR="0082763B" w:rsidRDefault="0082763B">
      <w:r>
        <w:separator/>
      </w:r>
    </w:p>
  </w:endnote>
  <w:endnote w:type="continuationSeparator" w:id="0">
    <w:p w14:paraId="0F0D839E" w14:textId="77777777" w:rsidR="0082763B" w:rsidRPr="009D30E6" w:rsidRDefault="0082763B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47EEEBC" w14:textId="77777777" w:rsidR="0082763B" w:rsidRPr="009D30E6" w:rsidRDefault="0082763B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6D171516" w14:textId="77777777" w:rsidR="0082763B" w:rsidRPr="009D30E6" w:rsidRDefault="0082763B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622EE" w14:textId="77777777" w:rsidR="0082763B" w:rsidRDefault="0082763B">
      <w:r>
        <w:separator/>
      </w:r>
    </w:p>
  </w:footnote>
  <w:footnote w:type="continuationSeparator" w:id="0">
    <w:p w14:paraId="6BCE2E21" w14:textId="77777777" w:rsidR="0082763B" w:rsidRDefault="0082763B" w:rsidP="007461F1">
      <w:r>
        <w:separator/>
      </w:r>
    </w:p>
    <w:p w14:paraId="5FCCA617" w14:textId="77777777" w:rsidR="0082763B" w:rsidRPr="009D30E6" w:rsidRDefault="0082763B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078F1348" w14:textId="77777777" w:rsidR="0082763B" w:rsidRPr="009D30E6" w:rsidRDefault="0082763B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14:paraId="1CABFAE3" w14:textId="0E261196" w:rsidR="0082763B" w:rsidRPr="00D9127A" w:rsidRDefault="0082763B" w:rsidP="002F51C6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 xml:space="preserve"> </w:t>
      </w:r>
      <w:r>
        <w:tab/>
        <w:t>L</w:t>
      </w:r>
      <w:r w:rsidR="002038F9">
        <w:t>’</w:t>
      </w:r>
      <w:r>
        <w:t>ordre d</w:t>
      </w:r>
      <w:r w:rsidR="002038F9">
        <w:t>’</w:t>
      </w:r>
      <w:r>
        <w:t>énumération est le suivant</w:t>
      </w:r>
      <w:r w:rsidR="002038F9">
        <w:t> :</w:t>
      </w:r>
      <w:r>
        <w:t xml:space="preserve"> États membres, membres spéciaux et entités du secteur privé (par ordre alphabétique).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7E0F" w14:textId="1DF8EF7C" w:rsidR="00F16975" w:rsidRDefault="0082763B" w:rsidP="00477D6B">
    <w:pPr>
      <w:jc w:val="right"/>
    </w:pPr>
    <w:bookmarkStart w:id="6" w:name="Code2"/>
    <w:bookmarkEnd w:id="6"/>
    <w:r>
      <w:t>SCCR/46/5</w:t>
    </w:r>
  </w:p>
  <w:p w14:paraId="6A3DDAC1" w14:textId="6E76DE66" w:rsidR="004F4E31" w:rsidRDefault="00F16975" w:rsidP="002F51C6">
    <w:pPr>
      <w:spacing w:after="480"/>
      <w:jc w:val="right"/>
    </w:pPr>
    <w:proofErr w:type="gramStart"/>
    <w:r>
      <w:t>page</w:t>
    </w:r>
    <w:proofErr w:type="gramEnd"/>
    <w:r w:rsidR="002F51C6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CF011DD"/>
    <w:multiLevelType w:val="hybridMultilevel"/>
    <w:tmpl w:val="1368ECB6"/>
    <w:lvl w:ilvl="0" w:tplc="3A262FBE">
      <w:start w:val="16"/>
      <w:numFmt w:val="bullet"/>
      <w:lvlText w:val="-"/>
      <w:lvlJc w:val="left"/>
      <w:pPr>
        <w:ind w:left="2061" w:hanging="360"/>
      </w:pPr>
      <w:rPr>
        <w:rFonts w:ascii="Arial" w:eastAsia="SimSu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185916">
    <w:abstractNumId w:val="2"/>
  </w:num>
  <w:num w:numId="2" w16cid:durableId="1922137027">
    <w:abstractNumId w:val="5"/>
  </w:num>
  <w:num w:numId="3" w16cid:durableId="1708218136">
    <w:abstractNumId w:val="0"/>
  </w:num>
  <w:num w:numId="4" w16cid:durableId="329069435">
    <w:abstractNumId w:val="6"/>
  </w:num>
  <w:num w:numId="5" w16cid:durableId="49499015">
    <w:abstractNumId w:val="1"/>
  </w:num>
  <w:num w:numId="6" w16cid:durableId="2136636949">
    <w:abstractNumId w:val="3"/>
  </w:num>
  <w:num w:numId="7" w16cid:durableId="1211039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3B"/>
    <w:rsid w:val="00011B7D"/>
    <w:rsid w:val="00070D75"/>
    <w:rsid w:val="00075432"/>
    <w:rsid w:val="00081596"/>
    <w:rsid w:val="000D7438"/>
    <w:rsid w:val="000F5E56"/>
    <w:rsid w:val="001033CE"/>
    <w:rsid w:val="00132686"/>
    <w:rsid w:val="001362EE"/>
    <w:rsid w:val="001832A6"/>
    <w:rsid w:val="00195C6E"/>
    <w:rsid w:val="001B266A"/>
    <w:rsid w:val="001D3D56"/>
    <w:rsid w:val="001F091D"/>
    <w:rsid w:val="002038F9"/>
    <w:rsid w:val="00240654"/>
    <w:rsid w:val="002634C4"/>
    <w:rsid w:val="0028210F"/>
    <w:rsid w:val="002D4918"/>
    <w:rsid w:val="002E4D1A"/>
    <w:rsid w:val="002F16BC"/>
    <w:rsid w:val="002F4E68"/>
    <w:rsid w:val="002F51C6"/>
    <w:rsid w:val="00315FCA"/>
    <w:rsid w:val="003255EF"/>
    <w:rsid w:val="00336CF4"/>
    <w:rsid w:val="003845C1"/>
    <w:rsid w:val="003A1BCD"/>
    <w:rsid w:val="003C75A1"/>
    <w:rsid w:val="003D0AE3"/>
    <w:rsid w:val="004008A2"/>
    <w:rsid w:val="004025DF"/>
    <w:rsid w:val="00423E3E"/>
    <w:rsid w:val="00427AF4"/>
    <w:rsid w:val="00456117"/>
    <w:rsid w:val="004647DA"/>
    <w:rsid w:val="00477D6B"/>
    <w:rsid w:val="004C5C7F"/>
    <w:rsid w:val="004D6471"/>
    <w:rsid w:val="004F4E31"/>
    <w:rsid w:val="00525B63"/>
    <w:rsid w:val="00545BE5"/>
    <w:rsid w:val="00547476"/>
    <w:rsid w:val="00561DB8"/>
    <w:rsid w:val="00567A4C"/>
    <w:rsid w:val="005726EB"/>
    <w:rsid w:val="005C635B"/>
    <w:rsid w:val="005E6516"/>
    <w:rsid w:val="005E6E01"/>
    <w:rsid w:val="0060498D"/>
    <w:rsid w:val="00605827"/>
    <w:rsid w:val="00631C01"/>
    <w:rsid w:val="00670BD4"/>
    <w:rsid w:val="00676936"/>
    <w:rsid w:val="0068487B"/>
    <w:rsid w:val="006B0DB5"/>
    <w:rsid w:val="006E01E3"/>
    <w:rsid w:val="006E4243"/>
    <w:rsid w:val="007461F1"/>
    <w:rsid w:val="007603F2"/>
    <w:rsid w:val="0076654B"/>
    <w:rsid w:val="007D39B5"/>
    <w:rsid w:val="007D6961"/>
    <w:rsid w:val="007E4B92"/>
    <w:rsid w:val="007F07CB"/>
    <w:rsid w:val="008046A5"/>
    <w:rsid w:val="00810CEF"/>
    <w:rsid w:val="0081208D"/>
    <w:rsid w:val="0082763B"/>
    <w:rsid w:val="00842A13"/>
    <w:rsid w:val="00861041"/>
    <w:rsid w:val="00866D2C"/>
    <w:rsid w:val="008B2CC1"/>
    <w:rsid w:val="008E5402"/>
    <w:rsid w:val="008E7930"/>
    <w:rsid w:val="0090731E"/>
    <w:rsid w:val="009463E5"/>
    <w:rsid w:val="00953E78"/>
    <w:rsid w:val="00966A22"/>
    <w:rsid w:val="00974CD6"/>
    <w:rsid w:val="00975481"/>
    <w:rsid w:val="009B4B02"/>
    <w:rsid w:val="009D30E6"/>
    <w:rsid w:val="009E3F6F"/>
    <w:rsid w:val="009E65E2"/>
    <w:rsid w:val="009F499F"/>
    <w:rsid w:val="00A02BD3"/>
    <w:rsid w:val="00AC0AE4"/>
    <w:rsid w:val="00AD1077"/>
    <w:rsid w:val="00AD61DB"/>
    <w:rsid w:val="00B06404"/>
    <w:rsid w:val="00B87BCF"/>
    <w:rsid w:val="00BA62D4"/>
    <w:rsid w:val="00BC5F87"/>
    <w:rsid w:val="00C40E15"/>
    <w:rsid w:val="00C42181"/>
    <w:rsid w:val="00C664C8"/>
    <w:rsid w:val="00C76A79"/>
    <w:rsid w:val="00CA15F5"/>
    <w:rsid w:val="00CD0792"/>
    <w:rsid w:val="00CF0460"/>
    <w:rsid w:val="00D26A5F"/>
    <w:rsid w:val="00D33CAA"/>
    <w:rsid w:val="00D45252"/>
    <w:rsid w:val="00D55C00"/>
    <w:rsid w:val="00D71B4D"/>
    <w:rsid w:val="00D75C1E"/>
    <w:rsid w:val="00D93D55"/>
    <w:rsid w:val="00DB0349"/>
    <w:rsid w:val="00DC4A0D"/>
    <w:rsid w:val="00DD6A16"/>
    <w:rsid w:val="00E0091A"/>
    <w:rsid w:val="00E203AA"/>
    <w:rsid w:val="00E527A5"/>
    <w:rsid w:val="00E76456"/>
    <w:rsid w:val="00E97651"/>
    <w:rsid w:val="00ED5920"/>
    <w:rsid w:val="00EE71CB"/>
    <w:rsid w:val="00F16975"/>
    <w:rsid w:val="00F66152"/>
    <w:rsid w:val="00F665B4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983BB"/>
  <w15:docId w15:val="{6233C547-F9BD-4F57-92D1-3F215502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2F51C6"/>
    <w:pPr>
      <w:tabs>
        <w:tab w:val="left" w:pos="3402"/>
      </w:tabs>
      <w:spacing w:before="720"/>
      <w:ind w:left="5533" w:firstLine="136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ListParagraph">
    <w:name w:val="List Paragraph"/>
    <w:basedOn w:val="Normal"/>
    <w:uiPriority w:val="34"/>
    <w:qFormat/>
    <w:rsid w:val="0082763B"/>
    <w:pPr>
      <w:ind w:left="720"/>
      <w:contextualSpacing/>
    </w:pPr>
    <w:rPr>
      <w:lang w:val="fr-FR"/>
    </w:rPr>
  </w:style>
  <w:style w:type="character" w:styleId="FootnoteReference">
    <w:name w:val="footnote reference"/>
    <w:basedOn w:val="DefaultParagraphFont"/>
    <w:semiHidden/>
    <w:unhideWhenUsed/>
    <w:rsid w:val="0082763B"/>
    <w:rPr>
      <w:vertAlign w:val="superscript"/>
    </w:rPr>
  </w:style>
  <w:style w:type="character" w:styleId="Hyperlink">
    <w:name w:val="Hyperlink"/>
    <w:basedOn w:val="DefaultParagraphFont"/>
    <w:semiHidden/>
    <w:unhideWhenUsed/>
    <w:rsid w:val="007E4B9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D39B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39B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39B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D39B5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9B4B02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6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SCCR_46 (F).dotm</Template>
  <TotalTime>1</TotalTime>
  <Pages>5</Pages>
  <Words>914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SCCR/46/5 Prov.4</vt:lpstr>
    </vt:vector>
  </TitlesOfParts>
  <Company>WIPO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SCCR/46/5 Prov.4</dc:title>
  <dc:creator>OLIVIÉ Karen</dc:creator>
  <cp:keywords>FOR OFFICIAL USE ONLY</cp:keywords>
  <cp:lastModifiedBy>BEDNARZ Tobias</cp:lastModifiedBy>
  <cp:revision>2</cp:revision>
  <cp:lastPrinted>2011-05-19T12:37:00Z</cp:lastPrinted>
  <dcterms:created xsi:type="dcterms:W3CDTF">2025-04-17T12:18:00Z</dcterms:created>
  <dcterms:modified xsi:type="dcterms:W3CDTF">2025-04-17T12:18:00Z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2023-06-15T13:22:49Z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84ae5d55-befb-4a6b-9165-348fa8e40043</vt:lpwstr>
  </property>
  <property fmtid="{D5CDD505-2E9C-101B-9397-08002B2CF9AE}" pid="14" name="MSIP_Label_20773ee6-353b-4fb9-a59d-0b94c8c67bea_ContentBits">
    <vt:lpwstr>0</vt:lpwstr>
  </property>
</Properties>
</file>