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9129" w14:textId="7B298C87" w:rsidR="008B2CC1" w:rsidRPr="008B2CC1" w:rsidRDefault="007926B3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7B8F922B" wp14:editId="4DE78437">
            <wp:extent cx="3246120" cy="1630680"/>
            <wp:effectExtent l="0" t="0" r="0" b="7620"/>
            <wp:docPr id="5" name="Picture 5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432B9BDE" wp14:editId="04011261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E1D26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3FDBB06" w14:textId="00A08222" w:rsidR="008B2CC1" w:rsidRPr="001024FE" w:rsidRDefault="00FA7EAE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SCCR/45/</w:t>
      </w:r>
      <w:bookmarkStart w:id="0" w:name="Code"/>
      <w:bookmarkEnd w:id="0"/>
      <w:r>
        <w:rPr>
          <w:rFonts w:ascii="Arial Black" w:hAnsi="Arial Black"/>
          <w:caps/>
          <w:sz w:val="15"/>
        </w:rPr>
        <w:t xml:space="preserve">10 PROV. </w:t>
      </w:r>
    </w:p>
    <w:p w14:paraId="07FC8297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7D2A912D" w14:textId="5C476B82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19 апреля 2024 года</w:t>
      </w:r>
    </w:p>
    <w:bookmarkEnd w:id="2"/>
    <w:p w14:paraId="65105FA2" w14:textId="77777777" w:rsidR="008B2CC1" w:rsidRDefault="003F4808" w:rsidP="003F4808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Постоянный комитет по авторскому праву и смежным правам</w:t>
      </w:r>
    </w:p>
    <w:p w14:paraId="509752F7" w14:textId="1E57F9D4" w:rsidR="008B2CC1" w:rsidRPr="003845C1" w:rsidRDefault="003F4808" w:rsidP="008B2CC1">
      <w:pPr>
        <w:rPr>
          <w:b/>
          <w:sz w:val="24"/>
          <w:szCs w:val="24"/>
        </w:rPr>
      </w:pPr>
      <w:r>
        <w:rPr>
          <w:b/>
          <w:sz w:val="24"/>
        </w:rPr>
        <w:t>Сорок пятая сессия</w:t>
      </w:r>
    </w:p>
    <w:p w14:paraId="5856AD1D" w14:textId="45BA3B41" w:rsidR="008B2CC1" w:rsidRPr="009F3BF9" w:rsidRDefault="003F4808" w:rsidP="00CE65D4">
      <w:pPr>
        <w:spacing w:after="720"/>
      </w:pPr>
      <w:r>
        <w:rPr>
          <w:b/>
          <w:sz w:val="24"/>
        </w:rPr>
        <w:t>Женева, 15–19 апреля 2024 года</w:t>
      </w:r>
    </w:p>
    <w:p w14:paraId="103C1425" w14:textId="23009828" w:rsidR="008B2CC1" w:rsidRPr="009F3BF9" w:rsidRDefault="00984991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Проект плана реализации Программы работы в области ограничений и исключений</w:t>
      </w:r>
    </w:p>
    <w:p w14:paraId="6BDD846A" w14:textId="784E6EB4" w:rsidR="008B2CC1" w:rsidRDefault="00870957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подготовлен Секретариатом</w:t>
      </w:r>
    </w:p>
    <w:bookmarkEnd w:id="4"/>
    <w:p w14:paraId="0B41DF70" w14:textId="7A326D92" w:rsidR="007E4CE2" w:rsidRDefault="00870957" w:rsidP="007E4CE2">
      <w:r>
        <w:br w:type="page"/>
      </w:r>
    </w:p>
    <w:p w14:paraId="31AB5BFA" w14:textId="77777777" w:rsidR="007E4CE2" w:rsidRPr="00A46DFA" w:rsidRDefault="007E4CE2" w:rsidP="007E4CE2">
      <w:r>
        <w:rPr>
          <w:b/>
          <w:u w:val="single"/>
        </w:rPr>
        <w:lastRenderedPageBreak/>
        <w:t xml:space="preserve">ПРОЕКТ ПЛАНА РЕАЛИЗАЦИИ </w:t>
      </w:r>
    </w:p>
    <w:p w14:paraId="15F46475" w14:textId="77777777" w:rsidR="007E4CE2" w:rsidRDefault="007E4CE2" w:rsidP="007E4CE2">
      <w:pPr>
        <w:rPr>
          <w:u w:val="single"/>
        </w:rPr>
      </w:pPr>
    </w:p>
    <w:p w14:paraId="5BBE9FCA" w14:textId="77777777" w:rsidR="007E4CE2" w:rsidRDefault="007E4CE2" w:rsidP="007E4CE2">
      <w:pPr>
        <w:rPr>
          <w:u w:val="single"/>
        </w:rPr>
      </w:pPr>
    </w:p>
    <w:p w14:paraId="3B04E691" w14:textId="77777777" w:rsidR="007E4CE2" w:rsidRPr="00FF6E46" w:rsidRDefault="007E4CE2" w:rsidP="007E4CE2">
      <w:pPr>
        <w:rPr>
          <w:szCs w:val="22"/>
          <w:u w:val="single"/>
        </w:rPr>
      </w:pPr>
      <w:r>
        <w:rPr>
          <w:u w:val="single"/>
        </w:rPr>
        <w:t>Справочная информация</w:t>
      </w:r>
    </w:p>
    <w:p w14:paraId="460E2EE1" w14:textId="77777777" w:rsidR="007E4CE2" w:rsidRPr="00FF6E46" w:rsidRDefault="007E4CE2" w:rsidP="007E4CE2">
      <w:pPr>
        <w:rPr>
          <w:szCs w:val="22"/>
        </w:rPr>
      </w:pPr>
    </w:p>
    <w:p w14:paraId="29293E4A" w14:textId="55C1F61C" w:rsidR="007E4CE2" w:rsidRPr="00FF6E46" w:rsidRDefault="007E4CE2" w:rsidP="007E4CE2">
      <w:pPr>
        <w:rPr>
          <w:szCs w:val="22"/>
        </w:rPr>
      </w:pPr>
      <w:r>
        <w:t xml:space="preserve">На 44-й сессии ПКАП, </w:t>
      </w:r>
      <w:r w:rsidR="00066901">
        <w:t>состоявшейся</w:t>
      </w:r>
      <w:r>
        <w:t xml:space="preserve"> в ноябре 2023 года, Секретариату ВОИС было поручено подготовить проект плана реализации программы работы в области ограничений и исключений, принят</w:t>
      </w:r>
      <w:r w:rsidR="00547077">
        <w:t>о</w:t>
      </w:r>
      <w:r>
        <w:t xml:space="preserve">й Комитетом (документ SCCR/43/8 Rev.). Секретариату было предложено распространить этот проект среди государств-членов для ознакомления до 45-й сессии ПКАП, проведение которой было запланировано на апрель 2024 года. Изложенный в приложении проект с четырьмя комментариями, полученными к 29 марта 2024 года, был представлен для рассмотрения в документе SCCR/45/6. </w:t>
      </w:r>
    </w:p>
    <w:p w14:paraId="2E475A7A" w14:textId="77777777" w:rsidR="007E4CE2" w:rsidRPr="00FF6E46" w:rsidRDefault="007E4CE2" w:rsidP="007E4CE2">
      <w:pPr>
        <w:rPr>
          <w:szCs w:val="22"/>
        </w:rPr>
      </w:pPr>
    </w:p>
    <w:p w14:paraId="0266B9A4" w14:textId="0CFFD76B" w:rsidR="007E4CE2" w:rsidRDefault="007E4CE2" w:rsidP="007E4CE2">
      <w:pPr>
        <w:rPr>
          <w:color w:val="0D0D0D"/>
          <w:szCs w:val="22"/>
          <w:shd w:val="clear" w:color="auto" w:fill="FFFFFF"/>
        </w:rPr>
      </w:pPr>
      <w:r>
        <w:t>Семнадцатого апреля 2024 года координаторы групп обратились с просьбой подготовить новый проект плана реализации для обсуждения государствами-членами в ходе неформального заседания 18 апреля 2024 года.</w:t>
      </w:r>
      <w:r>
        <w:rPr>
          <w:color w:val="0D0D0D"/>
          <w:shd w:val="clear" w:color="auto" w:fill="FFFFFF"/>
        </w:rPr>
        <w:t xml:space="preserve"> Этот новый проект (именуемый «Промежуточный документ») охватил документ SCCR/45/6 и приложение к нему, а также информацию о дальнейшей работе, представленную в тот же день Африканской группой. </w:t>
      </w:r>
    </w:p>
    <w:p w14:paraId="50771525" w14:textId="77777777" w:rsidR="007E4CE2" w:rsidRDefault="007E4CE2" w:rsidP="007E4CE2">
      <w:pPr>
        <w:tabs>
          <w:tab w:val="left" w:pos="540"/>
        </w:tabs>
        <w:contextualSpacing/>
        <w:rPr>
          <w:color w:val="0D0D0D"/>
          <w:szCs w:val="22"/>
          <w:shd w:val="clear" w:color="auto" w:fill="FFFFFF"/>
        </w:rPr>
      </w:pPr>
    </w:p>
    <w:p w14:paraId="679BA246" w14:textId="145E2A41" w:rsidR="007E4CE2" w:rsidRPr="0097430F" w:rsidRDefault="007E4CE2" w:rsidP="007E4CE2">
      <w:pPr>
        <w:tabs>
          <w:tab w:val="left" w:pos="540"/>
        </w:tabs>
        <w:contextualSpacing/>
      </w:pPr>
      <w:r>
        <w:t>Было решено, что «Промежуточный документ» получит название «Проект плана реализации Программы работы в области ограничений и исключений» и будет опубликован как SCCR/45/10 PROV.</w:t>
      </w:r>
    </w:p>
    <w:p w14:paraId="39EC6859" w14:textId="77777777" w:rsidR="007E4CE2" w:rsidRPr="00FF6E46" w:rsidRDefault="007E4CE2" w:rsidP="007E4CE2">
      <w:pPr>
        <w:rPr>
          <w:szCs w:val="22"/>
        </w:rPr>
      </w:pPr>
    </w:p>
    <w:p w14:paraId="3D6BF8C6" w14:textId="77777777" w:rsidR="007E4CE2" w:rsidRPr="00FF6E46" w:rsidRDefault="007E4CE2" w:rsidP="007E4CE2">
      <w:pPr>
        <w:rPr>
          <w:szCs w:val="22"/>
        </w:rPr>
      </w:pPr>
    </w:p>
    <w:p w14:paraId="7233979F" w14:textId="77777777" w:rsidR="007E4CE2" w:rsidRPr="00FF6E46" w:rsidRDefault="007E4CE2" w:rsidP="007E4CE2">
      <w:pPr>
        <w:rPr>
          <w:szCs w:val="22"/>
          <w:u w:val="single"/>
        </w:rPr>
      </w:pPr>
      <w:r>
        <w:rPr>
          <w:u w:val="single"/>
        </w:rPr>
        <w:t>Проект плана реализации</w:t>
      </w:r>
    </w:p>
    <w:p w14:paraId="404CAAD8" w14:textId="77777777" w:rsidR="007E4CE2" w:rsidRPr="00FF6E46" w:rsidRDefault="007E4CE2" w:rsidP="007E4CE2">
      <w:pPr>
        <w:rPr>
          <w:szCs w:val="22"/>
        </w:rPr>
      </w:pPr>
    </w:p>
    <w:p w14:paraId="5842F284" w14:textId="77777777" w:rsidR="007E4CE2" w:rsidRPr="00FF6E46" w:rsidRDefault="007E4CE2" w:rsidP="007E4CE2">
      <w:pPr>
        <w:rPr>
          <w:i/>
          <w:iCs/>
          <w:szCs w:val="22"/>
        </w:rPr>
      </w:pPr>
    </w:p>
    <w:p w14:paraId="1B5E87D3" w14:textId="435D29C6" w:rsidR="007E4CE2" w:rsidRPr="00FF6E46" w:rsidRDefault="007E4CE2" w:rsidP="007E4CE2">
      <w:pPr>
        <w:rPr>
          <w:i/>
          <w:iCs/>
          <w:szCs w:val="22"/>
        </w:rPr>
      </w:pPr>
      <w:r>
        <w:rPr>
          <w:i/>
        </w:rPr>
        <w:t>I. Вопросы сохранения</w:t>
      </w:r>
    </w:p>
    <w:p w14:paraId="148D6346" w14:textId="77777777" w:rsidR="007E4CE2" w:rsidRPr="00FF6E46" w:rsidRDefault="007E4CE2" w:rsidP="007E4CE2">
      <w:pPr>
        <w:rPr>
          <w:szCs w:val="22"/>
        </w:rPr>
      </w:pPr>
    </w:p>
    <w:p w14:paraId="0F26420F" w14:textId="77777777" w:rsidR="007E4CE2" w:rsidRPr="00FF6E46" w:rsidRDefault="007E4CE2" w:rsidP="007E4CE2">
      <w:pPr>
        <w:rPr>
          <w:szCs w:val="22"/>
        </w:rPr>
      </w:pPr>
      <w:r>
        <w:t>a) Презентация пособия по сохранению в гибридном формате в период до 46-й сессии ПКАП</w:t>
      </w:r>
      <w:r w:rsidRPr="00FF6E46">
        <w:rPr>
          <w:rStyle w:val="FootnoteReference"/>
          <w:szCs w:val="22"/>
        </w:rPr>
        <w:footnoteReference w:id="2"/>
      </w:r>
      <w:r>
        <w:t xml:space="preserve"> .</w:t>
      </w:r>
    </w:p>
    <w:p w14:paraId="49C0F3D1" w14:textId="77777777" w:rsidR="007E4CE2" w:rsidRPr="00FF6E46" w:rsidRDefault="007E4CE2" w:rsidP="007E4CE2">
      <w:pPr>
        <w:rPr>
          <w:szCs w:val="22"/>
        </w:rPr>
      </w:pPr>
    </w:p>
    <w:p w14:paraId="0A5685E0" w14:textId="2143E9C3" w:rsidR="007E4CE2" w:rsidRPr="00FF6E46" w:rsidRDefault="007E4CE2" w:rsidP="007E4CE2">
      <w:pPr>
        <w:rPr>
          <w:szCs w:val="22"/>
        </w:rPr>
      </w:pPr>
      <w:r>
        <w:t>b)</w:t>
      </w:r>
      <w:r w:rsidRPr="00FF6E46">
        <w:rPr>
          <w:rStyle w:val="FootnoteReference"/>
          <w:szCs w:val="22"/>
        </w:rPr>
        <w:footnoteReference w:id="3"/>
      </w:r>
      <w:r>
        <w:t xml:space="preserve"> Проведение в течение двухлетнего периода 2024–2025 годов ряда мероприятий на основе содержания этого пособия в целях содействия внедрению политики и практики в области сохранения [</w:t>
      </w:r>
      <w:r>
        <w:rPr>
          <w:u w:val="single"/>
        </w:rPr>
        <w:t>на национальном уровне]</w:t>
      </w:r>
      <w:r w:rsidRPr="00FF6E46">
        <w:rPr>
          <w:rStyle w:val="FootnoteReference"/>
          <w:szCs w:val="22"/>
          <w:u w:val="single"/>
        </w:rPr>
        <w:footnoteReference w:id="4"/>
      </w:r>
      <w:r>
        <w:t>. В этих мероприятиях примут участие лица, ответственные за формирование политики, специалисты, представители учреждений и соответствующие заинтересованные стороны, и они пройдут в нескольких регионах.</w:t>
      </w:r>
    </w:p>
    <w:p w14:paraId="5502E4C6" w14:textId="77777777" w:rsidR="007E4CE2" w:rsidRPr="00FF6E46" w:rsidRDefault="007E4CE2" w:rsidP="007E4CE2">
      <w:pPr>
        <w:rPr>
          <w:i/>
          <w:iCs/>
          <w:szCs w:val="22"/>
        </w:rPr>
      </w:pPr>
    </w:p>
    <w:p w14:paraId="6B0F52DF" w14:textId="77777777" w:rsidR="007E4CE2" w:rsidRDefault="007E4CE2" w:rsidP="007E4CE2">
      <w:pPr>
        <w:rPr>
          <w:i/>
          <w:iCs/>
          <w:szCs w:val="22"/>
        </w:rPr>
      </w:pPr>
    </w:p>
    <w:p w14:paraId="0DD5F996" w14:textId="77777777" w:rsidR="00854C35" w:rsidRDefault="00854C35" w:rsidP="007E4CE2">
      <w:pPr>
        <w:rPr>
          <w:i/>
          <w:iCs/>
          <w:szCs w:val="22"/>
        </w:rPr>
      </w:pPr>
    </w:p>
    <w:p w14:paraId="4ED87A9B" w14:textId="77777777" w:rsidR="00854C35" w:rsidRDefault="00854C35" w:rsidP="007E4CE2">
      <w:pPr>
        <w:rPr>
          <w:i/>
          <w:iCs/>
          <w:szCs w:val="22"/>
        </w:rPr>
      </w:pPr>
    </w:p>
    <w:p w14:paraId="14A7F507" w14:textId="77777777" w:rsidR="00854C35" w:rsidRPr="00FF6E46" w:rsidRDefault="00854C35" w:rsidP="007E4CE2">
      <w:pPr>
        <w:rPr>
          <w:i/>
          <w:iCs/>
          <w:szCs w:val="22"/>
        </w:rPr>
      </w:pPr>
    </w:p>
    <w:p w14:paraId="45EB3823" w14:textId="77777777" w:rsidR="007E4CE2" w:rsidRPr="00FF6E46" w:rsidRDefault="007E4CE2" w:rsidP="007E4CE2">
      <w:pPr>
        <w:rPr>
          <w:i/>
          <w:iCs/>
          <w:szCs w:val="22"/>
        </w:rPr>
      </w:pPr>
      <w:r>
        <w:rPr>
          <w:i/>
        </w:rPr>
        <w:lastRenderedPageBreak/>
        <w:t>II. Вопросы доступа</w:t>
      </w:r>
    </w:p>
    <w:p w14:paraId="6BD56BC2" w14:textId="77777777" w:rsidR="007E4CE2" w:rsidRPr="00FF6E46" w:rsidRDefault="007E4CE2" w:rsidP="007E4CE2">
      <w:pPr>
        <w:rPr>
          <w:szCs w:val="22"/>
        </w:rPr>
      </w:pPr>
    </w:p>
    <w:p w14:paraId="7593D188" w14:textId="55652B39" w:rsidR="007E4CE2" w:rsidRPr="00FF6E46" w:rsidRDefault="007E4CE2" w:rsidP="007E4CE2">
      <w:pPr>
        <w:rPr>
          <w:szCs w:val="22"/>
        </w:rPr>
      </w:pPr>
      <w:r>
        <w:t>a) Завершение разработки пособия</w:t>
      </w:r>
      <w:r w:rsidRPr="00FF6E46">
        <w:rPr>
          <w:rStyle w:val="FootnoteReference"/>
          <w:szCs w:val="22"/>
        </w:rPr>
        <w:footnoteReference w:id="5"/>
      </w:r>
      <w:r>
        <w:t xml:space="preserve"> по вопросу доступа для учреждений культурного наследия (библиотеки, архивы и музей) в 2025 году.</w:t>
      </w:r>
      <w:r w:rsidR="00C25A2F">
        <w:t xml:space="preserve"> </w:t>
      </w:r>
      <w:r>
        <w:t>[После публикации пособия на веб</w:t>
      </w:r>
      <w:r w:rsidR="00C25A2F">
        <w:noBreakHyphen/>
      </w:r>
      <w:r>
        <w:t>странице ПКАП государства-члены и заинтересованные стороны будут иметь возможность представить Секретариату свои замечания к нему.]</w:t>
      </w:r>
      <w:r w:rsidRPr="00FF6E46">
        <w:rPr>
          <w:rStyle w:val="FootnoteReference"/>
          <w:szCs w:val="22"/>
          <w:u w:val="single"/>
        </w:rPr>
        <w:footnoteReference w:id="6"/>
      </w:r>
    </w:p>
    <w:p w14:paraId="42DA4983" w14:textId="77777777" w:rsidR="007E4CE2" w:rsidRPr="00FF6E46" w:rsidRDefault="007E4CE2" w:rsidP="007E4CE2">
      <w:pPr>
        <w:rPr>
          <w:szCs w:val="22"/>
        </w:rPr>
      </w:pPr>
    </w:p>
    <w:p w14:paraId="4B431136" w14:textId="77777777" w:rsidR="007E4CE2" w:rsidRPr="00FF6E46" w:rsidRDefault="007E4CE2" w:rsidP="007E4CE2">
      <w:pPr>
        <w:rPr>
          <w:szCs w:val="22"/>
        </w:rPr>
      </w:pPr>
      <w:r>
        <w:t>b) Презентация пособия по вопросу доступа для учреждений культурного наследия (библиотеки, архивы и музеи) в гибридном формате в период до конца 2025 года</w:t>
      </w:r>
      <w:r w:rsidRPr="00FF6E46">
        <w:rPr>
          <w:rStyle w:val="FootnoteReference"/>
          <w:szCs w:val="22"/>
        </w:rPr>
        <w:footnoteReference w:id="7"/>
      </w:r>
      <w:r>
        <w:t xml:space="preserve"> .</w:t>
      </w:r>
    </w:p>
    <w:p w14:paraId="66F830A9" w14:textId="77777777" w:rsidR="007E4CE2" w:rsidRPr="00FF6E46" w:rsidRDefault="007E4CE2" w:rsidP="007E4CE2">
      <w:pPr>
        <w:rPr>
          <w:szCs w:val="22"/>
        </w:rPr>
      </w:pPr>
    </w:p>
    <w:p w14:paraId="5A6FC0C0" w14:textId="77777777" w:rsidR="007E4CE2" w:rsidRPr="00FF6E46" w:rsidRDefault="007E4CE2" w:rsidP="007E4CE2">
      <w:pPr>
        <w:rPr>
          <w:szCs w:val="22"/>
        </w:rPr>
      </w:pPr>
      <w:r>
        <w:t>c) Проведение в течение двухлетнего периода 2024–2025</w:t>
      </w:r>
      <w:r w:rsidRPr="00FF6E46">
        <w:rPr>
          <w:rStyle w:val="FootnoteReference"/>
          <w:szCs w:val="22"/>
        </w:rPr>
        <w:footnoteReference w:id="8"/>
      </w:r>
      <w:r>
        <w:t xml:space="preserve"> годов ряда мероприятий</w:t>
      </w:r>
      <w:r w:rsidRPr="00FF6E46">
        <w:rPr>
          <w:rStyle w:val="FootnoteReference"/>
          <w:szCs w:val="22"/>
        </w:rPr>
        <w:footnoteReference w:id="9"/>
      </w:r>
      <w:r>
        <w:t xml:space="preserve"> на основе содержания этого пособия в целях содействия внедрению политики и практики в области обеспечения доступа[</w:t>
      </w:r>
      <w:r>
        <w:rPr>
          <w:u w:val="single"/>
        </w:rPr>
        <w:t>, в том числе посредством схем лицензирования,]</w:t>
      </w:r>
      <w:r w:rsidRPr="00FF6E46">
        <w:rPr>
          <w:rStyle w:val="FootnoteReference"/>
          <w:bCs/>
          <w:szCs w:val="22"/>
          <w:u w:val="single"/>
        </w:rPr>
        <w:footnoteReference w:id="10"/>
      </w:r>
      <w:r>
        <w:t xml:space="preserve"> для учреждений культурного наследия (библиотеки, архивы и музеи) [</w:t>
      </w:r>
      <w:r>
        <w:rPr>
          <w:u w:val="single"/>
        </w:rPr>
        <w:t>на национальном уровне</w:t>
      </w:r>
      <w:r>
        <w:t>.]</w:t>
      </w:r>
      <w:r w:rsidRPr="00FF6E46">
        <w:rPr>
          <w:rStyle w:val="FootnoteReference"/>
          <w:szCs w:val="22"/>
          <w:u w:val="single"/>
        </w:rPr>
        <w:footnoteReference w:id="11"/>
      </w:r>
      <w:r>
        <w:t xml:space="preserve"> В этих мероприятиях примут участие лица, ответственные за формирование политики, специалисты, представители учреждений, соответствующие заинтересованные стороны, и они пройдут в нескольких регионах.</w:t>
      </w:r>
    </w:p>
    <w:p w14:paraId="0C425B2C" w14:textId="77777777" w:rsidR="007E4CE2" w:rsidRPr="00FF6E46" w:rsidRDefault="007E4CE2" w:rsidP="007E4CE2">
      <w:pPr>
        <w:rPr>
          <w:szCs w:val="22"/>
        </w:rPr>
      </w:pPr>
    </w:p>
    <w:p w14:paraId="68B05D28" w14:textId="178E2BDD" w:rsidR="007E4CE2" w:rsidRPr="00FF6E46" w:rsidRDefault="007E4CE2" w:rsidP="007E4CE2">
      <w:pPr>
        <w:rPr>
          <w:szCs w:val="22"/>
        </w:rPr>
      </w:pPr>
      <w:r>
        <w:t>d) Начало подготовки пособия по вопросу доступа для образовательных и научно</w:t>
      </w:r>
      <w:r w:rsidR="003B212B">
        <w:noBreakHyphen/>
      </w:r>
      <w:r>
        <w:t>исследовательских учреждений в 2025 году.</w:t>
      </w:r>
    </w:p>
    <w:p w14:paraId="50F2ADE2" w14:textId="77777777" w:rsidR="007E4CE2" w:rsidRPr="00FF6E46" w:rsidRDefault="007E4CE2" w:rsidP="007E4CE2">
      <w:pPr>
        <w:rPr>
          <w:szCs w:val="22"/>
        </w:rPr>
      </w:pPr>
    </w:p>
    <w:p w14:paraId="09059597" w14:textId="77777777" w:rsidR="007E4CE2" w:rsidRPr="00FF6E46" w:rsidRDefault="007E4CE2" w:rsidP="007E4CE2">
      <w:pPr>
        <w:rPr>
          <w:szCs w:val="22"/>
        </w:rPr>
      </w:pPr>
    </w:p>
    <w:p w14:paraId="36487735" w14:textId="77777777" w:rsidR="007E4CE2" w:rsidRPr="00FF6E46" w:rsidRDefault="007E4CE2" w:rsidP="007E4CE2">
      <w:pPr>
        <w:rPr>
          <w:i/>
          <w:szCs w:val="22"/>
        </w:rPr>
      </w:pPr>
      <w:r>
        <w:t>[</w:t>
      </w:r>
      <w:r>
        <w:rPr>
          <w:i/>
        </w:rPr>
        <w:t>III. Адаптация к онлайновой среде</w:t>
      </w:r>
    </w:p>
    <w:p w14:paraId="1511EC52" w14:textId="77777777" w:rsidR="007E4CE2" w:rsidRPr="00FF6E46" w:rsidRDefault="007E4CE2" w:rsidP="007E4CE2">
      <w:pPr>
        <w:rPr>
          <w:szCs w:val="22"/>
        </w:rPr>
      </w:pPr>
    </w:p>
    <w:p w14:paraId="6BA3C4E0" w14:textId="5F15AF98" w:rsidR="007E4CE2" w:rsidRPr="00FF6E46" w:rsidRDefault="007E4CE2" w:rsidP="007E4CE2">
      <w:pPr>
        <w:rPr>
          <w:szCs w:val="22"/>
        </w:rPr>
      </w:pPr>
      <w:r>
        <w:t>Облегчение дальнейшей работы для содействия адаптации ограничений и исключений к условиям онлайновой среды, например путем создания возможностей для преподавания, обучения и исследовательской работы с использованием цифровых и онлайн</w:t>
      </w:r>
      <w:r w:rsidR="004647CE">
        <w:noBreakHyphen/>
      </w:r>
      <w:r>
        <w:t>инструментов, в силу ее связи с анализом данных.]</w:t>
      </w:r>
      <w:r w:rsidRPr="00FF6E46">
        <w:rPr>
          <w:rStyle w:val="FootnoteReference"/>
          <w:szCs w:val="22"/>
        </w:rPr>
        <w:footnoteReference w:id="12"/>
      </w:r>
    </w:p>
    <w:p w14:paraId="04C4C355" w14:textId="77777777" w:rsidR="007E4CE2" w:rsidRPr="00FF6E46" w:rsidRDefault="007E4CE2" w:rsidP="007E4CE2">
      <w:pPr>
        <w:rPr>
          <w:szCs w:val="22"/>
        </w:rPr>
      </w:pPr>
    </w:p>
    <w:p w14:paraId="0B865465" w14:textId="77777777" w:rsidR="007E4CE2" w:rsidRPr="00FF6E46" w:rsidRDefault="007E4CE2" w:rsidP="007E4CE2">
      <w:pPr>
        <w:rPr>
          <w:szCs w:val="22"/>
        </w:rPr>
      </w:pPr>
    </w:p>
    <w:p w14:paraId="3B60693A" w14:textId="77777777" w:rsidR="007E4CE2" w:rsidRPr="00FF6E46" w:rsidRDefault="007E4CE2" w:rsidP="007E4CE2">
      <w:pPr>
        <w:rPr>
          <w:i/>
          <w:iCs/>
          <w:szCs w:val="22"/>
        </w:rPr>
      </w:pPr>
      <w:r>
        <w:rPr>
          <w:i/>
        </w:rPr>
        <w:t>III. Вопросы, касающиеся других видов инвалидности (отличных от тех, которые охвачены Марракешским договором)</w:t>
      </w:r>
    </w:p>
    <w:p w14:paraId="7CB1BB4C" w14:textId="77777777" w:rsidR="007E4CE2" w:rsidRPr="00FF6E46" w:rsidRDefault="007E4CE2" w:rsidP="007E4CE2">
      <w:pPr>
        <w:rPr>
          <w:szCs w:val="22"/>
        </w:rPr>
      </w:pPr>
    </w:p>
    <w:p w14:paraId="496B3BA9" w14:textId="005024E3" w:rsidR="007E4CE2" w:rsidRPr="00FF6E46" w:rsidRDefault="007E4CE2" w:rsidP="007E4CE2">
      <w:pPr>
        <w:rPr>
          <w:szCs w:val="22"/>
        </w:rPr>
      </w:pPr>
      <w:r>
        <w:t>a) Обновление пересмотренного документа «Обзорное исследование по вопросу о доступе лиц с ограниченными возможностями к произведениям, охраняемым авторским правом» (документ SCCR/38/3), опубликованного в 2019 году, с целью проведения оценки ассистивных технологий в контексте вопросов, касающихся авторского права. Данное исследование будет представлено в ходе сессии ПКАП в 2025 году</w:t>
      </w:r>
      <w:r w:rsidRPr="00FF6E46">
        <w:rPr>
          <w:rStyle w:val="FootnoteReference"/>
          <w:szCs w:val="22"/>
        </w:rPr>
        <w:footnoteReference w:id="13"/>
      </w:r>
      <w:r>
        <w:t>. [</w:t>
      </w:r>
      <w:r>
        <w:rPr>
          <w:u w:val="single"/>
        </w:rPr>
        <w:t>После публикации исследования государства-члены и заинтересованные стороны будут иметь возможность представить свои замечания к нему.]</w:t>
      </w:r>
      <w:r w:rsidRPr="00FF6E46">
        <w:rPr>
          <w:rStyle w:val="FootnoteReference"/>
          <w:szCs w:val="22"/>
          <w:u w:val="single"/>
        </w:rPr>
        <w:footnoteReference w:id="14"/>
      </w:r>
    </w:p>
    <w:p w14:paraId="31DC8F59" w14:textId="77777777" w:rsidR="007E4CE2" w:rsidRPr="00FF6E46" w:rsidRDefault="007E4CE2" w:rsidP="007E4CE2">
      <w:pPr>
        <w:rPr>
          <w:szCs w:val="22"/>
        </w:rPr>
      </w:pPr>
    </w:p>
    <w:p w14:paraId="757411B6" w14:textId="77777777" w:rsidR="007E4CE2" w:rsidRPr="00FF6E46" w:rsidRDefault="007E4CE2" w:rsidP="007E4CE2">
      <w:pPr>
        <w:rPr>
          <w:szCs w:val="22"/>
        </w:rPr>
      </w:pPr>
      <w:r>
        <w:t>b) Организация в рамках сессии ПКАП в 2025 году [</w:t>
      </w:r>
      <w:r>
        <w:rPr>
          <w:strike/>
        </w:rPr>
        <w:t>гибридной</w:t>
      </w:r>
      <w:r>
        <w:t xml:space="preserve"> презентации]</w:t>
      </w:r>
      <w:r w:rsidRPr="00FF6E46">
        <w:rPr>
          <w:rStyle w:val="FootnoteReference"/>
          <w:szCs w:val="22"/>
        </w:rPr>
        <w:footnoteReference w:id="15"/>
      </w:r>
      <w:r>
        <w:t xml:space="preserve"> [</w:t>
      </w:r>
      <w:r>
        <w:rPr>
          <w:u w:val="single"/>
        </w:rPr>
        <w:t>в гибридном формате]</w:t>
      </w:r>
      <w:r w:rsidRPr="00FF6E46">
        <w:rPr>
          <w:rStyle w:val="FootnoteReference"/>
          <w:szCs w:val="22"/>
          <w:u w:val="single"/>
        </w:rPr>
        <w:footnoteReference w:id="16"/>
      </w:r>
      <w:r>
        <w:t>, посвященной существующим средствам удовлетворения потребностей лиц с нарушениями слуха и когнитивных функций в контексте доступности контента, охраняемого авторским правом.</w:t>
      </w:r>
    </w:p>
    <w:p w14:paraId="00D85ECB" w14:textId="77777777" w:rsidR="007E4CE2" w:rsidRPr="00FF6E46" w:rsidRDefault="007E4CE2" w:rsidP="007E4CE2">
      <w:pPr>
        <w:rPr>
          <w:szCs w:val="22"/>
        </w:rPr>
      </w:pPr>
    </w:p>
    <w:p w14:paraId="07B945FA" w14:textId="77777777" w:rsidR="007E4CE2" w:rsidRPr="00FF6E46" w:rsidRDefault="007E4CE2" w:rsidP="007E4CE2">
      <w:pPr>
        <w:rPr>
          <w:szCs w:val="22"/>
        </w:rPr>
      </w:pPr>
    </w:p>
    <w:p w14:paraId="3FAE2A09" w14:textId="77777777" w:rsidR="007E4CE2" w:rsidRPr="00FF6E46" w:rsidRDefault="007E4CE2" w:rsidP="007E4CE2">
      <w:pPr>
        <w:rPr>
          <w:i/>
          <w:iCs/>
          <w:szCs w:val="22"/>
        </w:rPr>
      </w:pPr>
      <w:r>
        <w:rPr>
          <w:i/>
        </w:rPr>
        <w:t>IV. Дальнейшая работа над целями и принципами в отношении ограничений и исключений</w:t>
      </w:r>
    </w:p>
    <w:p w14:paraId="178F7BEE" w14:textId="77777777" w:rsidR="007E4CE2" w:rsidRPr="00FF6E46" w:rsidRDefault="007E4CE2" w:rsidP="007E4CE2">
      <w:pPr>
        <w:rPr>
          <w:szCs w:val="22"/>
        </w:rPr>
      </w:pPr>
    </w:p>
    <w:p w14:paraId="76921912" w14:textId="31158252" w:rsidR="007E4CE2" w:rsidRPr="00FF6E46" w:rsidRDefault="007E4CE2" w:rsidP="007E4CE2">
      <w:pPr>
        <w:rPr>
          <w:szCs w:val="22"/>
          <w:u w:val="single"/>
        </w:rPr>
      </w:pPr>
      <w:r>
        <w:t>Содействие дальнейшей работе [</w:t>
      </w:r>
      <w:r>
        <w:rPr>
          <w:strike/>
        </w:rPr>
        <w:t>целевой группы, состоящей из]</w:t>
      </w:r>
      <w:r w:rsidRPr="00FF6E46">
        <w:rPr>
          <w:rStyle w:val="FootnoteReference"/>
          <w:szCs w:val="22"/>
        </w:rPr>
        <w:footnoteReference w:id="17"/>
      </w:r>
      <w:r>
        <w:t xml:space="preserve"> государств-членов, над целями и принципами в отношении ограничений и исключений, </w:t>
      </w:r>
      <w:r>
        <w:rPr>
          <w:u w:val="single"/>
        </w:rPr>
        <w:t>[начав с проведения на 45-й сессии ПКАП обсуждения Обновленного варианта документа «Цели и принципы, касающиеся исключений и ограничений для библиотек и архивов» (документ SCCR/44/5) и его рассмотрения для принятия в качестве документа ПКАП.]</w:t>
      </w:r>
      <w:r w:rsidRPr="00FF6E46">
        <w:rPr>
          <w:rStyle w:val="FootnoteReference"/>
          <w:szCs w:val="22"/>
          <w:u w:val="single"/>
        </w:rPr>
        <w:footnoteReference w:id="18"/>
      </w:r>
      <w:r>
        <w:rPr>
          <w:u w:val="single"/>
        </w:rPr>
        <w:t xml:space="preserve"> </w:t>
      </w:r>
      <w:r w:rsidR="00520C51">
        <w:t>Порядок работы и круг рассматриваемых вопросов</w:t>
      </w:r>
      <w:r>
        <w:t xml:space="preserve"> [</w:t>
      </w:r>
      <w:r>
        <w:rPr>
          <w:u w:val="single"/>
        </w:rPr>
        <w:t>по пункту IV]</w:t>
      </w:r>
      <w:r w:rsidRPr="00FF6E46">
        <w:rPr>
          <w:rStyle w:val="FootnoteReference"/>
          <w:szCs w:val="22"/>
          <w:u w:val="single"/>
        </w:rPr>
        <w:footnoteReference w:id="19"/>
      </w:r>
      <w:r>
        <w:t xml:space="preserve"> должны быть [</w:t>
      </w:r>
      <w:r>
        <w:rPr>
          <w:u w:val="single"/>
        </w:rPr>
        <w:t>дополнительно обсуждены государствами</w:t>
      </w:r>
      <w:r w:rsidR="00E54605">
        <w:rPr>
          <w:u w:val="single"/>
        </w:rPr>
        <w:noBreakHyphen/>
      </w:r>
      <w:r>
        <w:rPr>
          <w:u w:val="single"/>
        </w:rPr>
        <w:t>членами]</w:t>
      </w:r>
      <w:r w:rsidRPr="00FF6E46">
        <w:rPr>
          <w:rStyle w:val="FootnoteReference"/>
          <w:szCs w:val="22"/>
          <w:u w:val="single"/>
        </w:rPr>
        <w:footnoteReference w:id="20"/>
      </w:r>
      <w:r>
        <w:t xml:space="preserve"> и определены в ходе [</w:t>
      </w:r>
      <w:r>
        <w:rPr>
          <w:strike/>
        </w:rPr>
        <w:t>46-й]</w:t>
      </w:r>
      <w:r w:rsidRPr="00FF6E46">
        <w:rPr>
          <w:rStyle w:val="FootnoteReference"/>
          <w:szCs w:val="22"/>
        </w:rPr>
        <w:footnoteReference w:id="21"/>
      </w:r>
      <w:r>
        <w:t xml:space="preserve"> сессии ПКАП [</w:t>
      </w:r>
      <w:r>
        <w:rPr>
          <w:u w:val="single"/>
        </w:rPr>
        <w:t>после выполнения пунктов 1–3 Программы работы]</w:t>
      </w:r>
      <w:r w:rsidRPr="00FF6E46">
        <w:rPr>
          <w:rStyle w:val="FootnoteReference"/>
          <w:szCs w:val="22"/>
          <w:u w:val="single"/>
        </w:rPr>
        <w:footnoteReference w:id="22"/>
      </w:r>
      <w:r w:rsidR="00E54605">
        <w:rPr>
          <w:u w:val="single"/>
        </w:rPr>
        <w:t>.</w:t>
      </w:r>
    </w:p>
    <w:p w14:paraId="5DD8CFE8" w14:textId="77777777" w:rsidR="007E4CE2" w:rsidRPr="00FF6E46" w:rsidRDefault="007E4CE2" w:rsidP="007E4CE2">
      <w:pPr>
        <w:rPr>
          <w:szCs w:val="22"/>
          <w:u w:val="single"/>
        </w:rPr>
      </w:pPr>
    </w:p>
    <w:p w14:paraId="61ACE799" w14:textId="77777777" w:rsidR="007E4CE2" w:rsidRPr="00FF6E46" w:rsidRDefault="007E4CE2" w:rsidP="007E4CE2">
      <w:pPr>
        <w:rPr>
          <w:szCs w:val="22"/>
        </w:rPr>
      </w:pPr>
    </w:p>
    <w:p w14:paraId="413DBD23" w14:textId="0F3ADB2A" w:rsidR="007E4CE2" w:rsidRPr="00FF6E46" w:rsidRDefault="007E4CE2" w:rsidP="007E4CE2">
      <w:pPr>
        <w:rPr>
          <w:szCs w:val="22"/>
        </w:rPr>
      </w:pPr>
      <w:r>
        <w:t>[Комитет постановил, что Секретариат будет содействовать дальнейшей работе двух целевых групп государств-членов для обсуждения целей, принципов и вариантов в отношении ограничений и исключений в соответствии со следующими руководящими принципами</w:t>
      </w:r>
      <w:r w:rsidR="00ED36C4">
        <w:t>.</w:t>
      </w:r>
    </w:p>
    <w:p w14:paraId="788DB869" w14:textId="77777777" w:rsidR="007E4CE2" w:rsidRPr="00FF6E46" w:rsidRDefault="007E4CE2" w:rsidP="007E4CE2">
      <w:pPr>
        <w:rPr>
          <w:szCs w:val="22"/>
        </w:rPr>
      </w:pPr>
    </w:p>
    <w:p w14:paraId="6FE88608" w14:textId="0779B1C4" w:rsidR="007E4CE2" w:rsidRPr="00FF6E46" w:rsidRDefault="007E4CE2" w:rsidP="007E4CE2">
      <w:pPr>
        <w:rPr>
          <w:szCs w:val="22"/>
        </w:rPr>
      </w:pPr>
      <w:r>
        <w:t>a) Без ущерба для проведения переговоров и заключения правового документа или документов, касающихся исключений и ограничений в отношении образования и исследований, включая цифровую, онлайновую и трансграничную образовательную и научно-исследовательскую деятельность</w:t>
      </w:r>
      <w:r w:rsidR="00C95B3F">
        <w:t>,</w:t>
      </w:r>
      <w:r>
        <w:t xml:space="preserve"> </w:t>
      </w:r>
      <w:r w:rsidR="00C95B3F">
        <w:t>в круг рассматриваемых вопросов входят следующие два пункта</w:t>
      </w:r>
      <w:r>
        <w:t>:</w:t>
      </w:r>
    </w:p>
    <w:p w14:paraId="466AE4B4" w14:textId="77777777" w:rsidR="007E4CE2" w:rsidRPr="00FF6E46" w:rsidRDefault="007E4CE2" w:rsidP="007E4CE2">
      <w:pPr>
        <w:rPr>
          <w:szCs w:val="22"/>
        </w:rPr>
      </w:pPr>
    </w:p>
    <w:p w14:paraId="0DD4BAB7" w14:textId="7722606C" w:rsidR="007E4CE2" w:rsidRPr="00FF6E46" w:rsidRDefault="007E4CE2" w:rsidP="007E4CE2">
      <w:pPr>
        <w:ind w:left="567"/>
        <w:rPr>
          <w:szCs w:val="22"/>
        </w:rPr>
      </w:pPr>
      <w:r>
        <w:t>1. Целевой группе надлежит составить проект целей, принципов и вариантов для правового документа или документов (будь то в форме типового закона, совместной рекомендации, договора и/или в иной форме) для содействия адаптации исключений и ограничений к онлайновой среде, путем создания возможностей для преподавания, обучения и исследовательской работы с использованием цифровых и онлайн-инструментов</w:t>
      </w:r>
      <w:r w:rsidR="00010526">
        <w:t>;</w:t>
      </w:r>
    </w:p>
    <w:p w14:paraId="350BB27B" w14:textId="77777777" w:rsidR="007E4CE2" w:rsidRPr="00FF6E46" w:rsidRDefault="007E4CE2" w:rsidP="007E4CE2">
      <w:pPr>
        <w:ind w:left="567"/>
        <w:rPr>
          <w:szCs w:val="22"/>
        </w:rPr>
      </w:pPr>
    </w:p>
    <w:p w14:paraId="1CCAF4C6" w14:textId="77777777" w:rsidR="007E4CE2" w:rsidRPr="00FF6E46" w:rsidRDefault="007E4CE2" w:rsidP="007E4CE2">
      <w:pPr>
        <w:ind w:left="567"/>
        <w:rPr>
          <w:szCs w:val="22"/>
        </w:rPr>
      </w:pPr>
      <w:r>
        <w:t>2. Целевой группе надлежит составить проект целей, принципов и вариантов для правового документа или документов (будь то в форме типового закона, совместной рекомендации, договора и/или в иной форме) для содействия адаптации исключений и ограничений с целью обеспечения того, чтобы законы на национальном уровне позволяли библиотекам, архивам и музеям вести работу по сохранению, включая использование сохраняемых материалов;</w:t>
      </w:r>
    </w:p>
    <w:p w14:paraId="311D0C79" w14:textId="77777777" w:rsidR="007E4CE2" w:rsidRPr="00FF6E46" w:rsidRDefault="007E4CE2" w:rsidP="007E4CE2">
      <w:pPr>
        <w:rPr>
          <w:szCs w:val="22"/>
        </w:rPr>
      </w:pPr>
    </w:p>
    <w:p w14:paraId="42744ECE" w14:textId="2319F9C9" w:rsidR="007E4CE2" w:rsidRPr="00FF6E46" w:rsidRDefault="007E4CE2" w:rsidP="007E4CE2">
      <w:pPr>
        <w:rPr>
          <w:szCs w:val="22"/>
        </w:rPr>
      </w:pPr>
      <w:r>
        <w:t xml:space="preserve">b) </w:t>
      </w:r>
      <w:r w:rsidR="00C34132">
        <w:t>Каждая целевая группа придерживается следующего порядка работы</w:t>
      </w:r>
      <w:r>
        <w:t>:</w:t>
      </w:r>
    </w:p>
    <w:p w14:paraId="03000E4E" w14:textId="77777777" w:rsidR="007E4CE2" w:rsidRPr="00FF6E46" w:rsidRDefault="007E4CE2" w:rsidP="007E4CE2">
      <w:pPr>
        <w:rPr>
          <w:szCs w:val="22"/>
        </w:rPr>
      </w:pPr>
    </w:p>
    <w:p w14:paraId="3431752B" w14:textId="77777777" w:rsidR="007E4CE2" w:rsidRPr="00FF6E46" w:rsidRDefault="007E4CE2" w:rsidP="007E4CE2">
      <w:pPr>
        <w:ind w:left="567"/>
        <w:rPr>
          <w:szCs w:val="22"/>
        </w:rPr>
      </w:pPr>
      <w:r>
        <w:t>i. Председателю надлежит сразу после завершения 45-й сессии ПКАП учредить целевую группу из желающих участвовать в ее работе государств-членов;</w:t>
      </w:r>
    </w:p>
    <w:p w14:paraId="6868BA41" w14:textId="77777777" w:rsidR="007E4CE2" w:rsidRPr="00FF6E46" w:rsidRDefault="007E4CE2" w:rsidP="007E4CE2">
      <w:pPr>
        <w:rPr>
          <w:szCs w:val="22"/>
        </w:rPr>
      </w:pPr>
    </w:p>
    <w:p w14:paraId="14BE32F9" w14:textId="77777777" w:rsidR="007E4CE2" w:rsidRPr="00FF6E46" w:rsidRDefault="007E4CE2" w:rsidP="007E4CE2">
      <w:pPr>
        <w:ind w:left="567"/>
        <w:rPr>
          <w:szCs w:val="22"/>
        </w:rPr>
      </w:pPr>
      <w:r>
        <w:t>ii. В состав целевой группы должны входить не менее двух государств-членов при сбалансированном и разнообразном представительстве от каждого региона, определяемом региональными координаторами, с участием не менее одного эксперта для поддержки работы каждой рабочей группы;</w:t>
      </w:r>
    </w:p>
    <w:p w14:paraId="5FB62863" w14:textId="77777777" w:rsidR="007E4CE2" w:rsidRPr="00FF6E46" w:rsidRDefault="007E4CE2" w:rsidP="007E4CE2">
      <w:pPr>
        <w:ind w:left="567"/>
        <w:rPr>
          <w:szCs w:val="22"/>
        </w:rPr>
      </w:pPr>
    </w:p>
    <w:p w14:paraId="6A384510" w14:textId="77777777" w:rsidR="007E4CE2" w:rsidRPr="00FF6E46" w:rsidRDefault="007E4CE2" w:rsidP="007E4CE2">
      <w:pPr>
        <w:ind w:left="567"/>
        <w:rPr>
          <w:szCs w:val="22"/>
        </w:rPr>
      </w:pPr>
      <w:r>
        <w:t>iii. Секретариат кратко излагает различные цели и принципы, относящиеся к приоритетным вопросам, которые ранее были представлены ПКАП, включая изложенные в документах SCCR/26/8, SCCR/27/8, и SCCR/34/5, с учетом обстоятельств и просит направить предложения о других языках для документов до первого совещания целевой группы;</w:t>
      </w:r>
    </w:p>
    <w:p w14:paraId="0BBE749F" w14:textId="77777777" w:rsidR="007E4CE2" w:rsidRPr="00FF6E46" w:rsidRDefault="007E4CE2" w:rsidP="007E4CE2">
      <w:pPr>
        <w:ind w:left="567"/>
        <w:rPr>
          <w:szCs w:val="22"/>
        </w:rPr>
      </w:pPr>
    </w:p>
    <w:p w14:paraId="248CAA44" w14:textId="495B42D6" w:rsidR="007E4CE2" w:rsidRPr="00FF6E46" w:rsidRDefault="007E4CE2" w:rsidP="007E4CE2">
      <w:pPr>
        <w:ind w:left="567"/>
        <w:rPr>
          <w:szCs w:val="22"/>
        </w:rPr>
      </w:pPr>
      <w:r>
        <w:t>iv. В соответствии с установившейся практикой органом, ответственным за проведение переговоров и принятие решений, остается пленарное заседание ПКАП. Целевая группа государств-членов и экспертов будет оказывать поддержку и содействие переговорам ПКАП, предоставляя консультации и аналитические справки по подлежащим рассмотрению вопросам</w:t>
      </w:r>
      <w:r w:rsidR="00256BFC">
        <w:t>;</w:t>
      </w:r>
    </w:p>
    <w:p w14:paraId="436CB683" w14:textId="77777777" w:rsidR="007E4CE2" w:rsidRPr="00FF6E46" w:rsidRDefault="007E4CE2" w:rsidP="007E4CE2">
      <w:pPr>
        <w:ind w:left="567"/>
        <w:rPr>
          <w:szCs w:val="22"/>
        </w:rPr>
      </w:pPr>
    </w:p>
    <w:p w14:paraId="3CA2A831" w14:textId="6BAD67B3" w:rsidR="007E4CE2" w:rsidRPr="00FF6E46" w:rsidRDefault="007E4CE2" w:rsidP="007E4CE2">
      <w:pPr>
        <w:ind w:left="567"/>
        <w:rPr>
          <w:szCs w:val="22"/>
        </w:rPr>
      </w:pPr>
      <w:r>
        <w:t xml:space="preserve">v. Секретариату поручается подготовить подробный план работы по пособиям и другим формам руководящих указаний и технической помощи при условии, что эта деятельность не отвлекает его от поддержки работы Комитета, описанной выше. Работа Секретариата может включать: </w:t>
      </w:r>
    </w:p>
    <w:p w14:paraId="471B2928" w14:textId="77777777" w:rsidR="007E4CE2" w:rsidRPr="00FF6E46" w:rsidRDefault="007E4CE2" w:rsidP="007E4CE2">
      <w:pPr>
        <w:rPr>
          <w:szCs w:val="22"/>
        </w:rPr>
      </w:pPr>
    </w:p>
    <w:p w14:paraId="7806B6B3" w14:textId="77777777" w:rsidR="007E4CE2" w:rsidRPr="00FF6E46" w:rsidRDefault="007E4CE2" w:rsidP="007E4CE2">
      <w:pPr>
        <w:ind w:left="1134"/>
        <w:rPr>
          <w:szCs w:val="22"/>
        </w:rPr>
      </w:pPr>
      <w:r>
        <w:t xml:space="preserve">a) подготовку и презентацию пособий по сохранению и доступу к сохраняемым произведениям; </w:t>
      </w:r>
    </w:p>
    <w:p w14:paraId="349BE2B2" w14:textId="77777777" w:rsidR="007E4CE2" w:rsidRPr="00FF6E46" w:rsidRDefault="007E4CE2" w:rsidP="007E4CE2">
      <w:pPr>
        <w:ind w:left="1134"/>
        <w:rPr>
          <w:szCs w:val="22"/>
        </w:rPr>
      </w:pPr>
    </w:p>
    <w:p w14:paraId="5B548F45" w14:textId="77777777" w:rsidR="007E4CE2" w:rsidRPr="00FF6E46" w:rsidRDefault="007E4CE2" w:rsidP="007E4CE2">
      <w:pPr>
        <w:ind w:left="1134"/>
        <w:rPr>
          <w:szCs w:val="22"/>
        </w:rPr>
      </w:pPr>
      <w:r>
        <w:t>b) обновление пересмотренного документа «Обзорное исследование по вопросу о доступе лиц с ограниченными возможностями к произведениям, охраняемым авторским правом» (документ SCCR/38/3), опубликованного в 2019 году, с целью проведения оценки ассистивных технологий в контексте вопросов, касающихся авторского права.]</w:t>
      </w:r>
      <w:r w:rsidRPr="00FF6E46">
        <w:rPr>
          <w:rStyle w:val="FootnoteReference"/>
          <w:szCs w:val="22"/>
        </w:rPr>
        <w:footnoteReference w:id="23"/>
      </w:r>
    </w:p>
    <w:p w14:paraId="56092447" w14:textId="77777777" w:rsidR="007E4CE2" w:rsidRPr="00FF6E46" w:rsidRDefault="007E4CE2" w:rsidP="007E4CE2">
      <w:pPr>
        <w:ind w:left="1134" w:hanging="5940"/>
        <w:rPr>
          <w:szCs w:val="22"/>
        </w:rPr>
      </w:pPr>
    </w:p>
    <w:p w14:paraId="37C1AC4F" w14:textId="77777777" w:rsidR="007E4CE2" w:rsidRPr="00FF6E46" w:rsidRDefault="007E4CE2" w:rsidP="007E4CE2">
      <w:pPr>
        <w:ind w:left="5940" w:hanging="5940"/>
        <w:rPr>
          <w:szCs w:val="22"/>
        </w:rPr>
      </w:pPr>
    </w:p>
    <w:p w14:paraId="1BFC177C" w14:textId="77777777" w:rsidR="007E4CE2" w:rsidRPr="00FF6E46" w:rsidRDefault="007E4CE2" w:rsidP="007E4CE2">
      <w:pPr>
        <w:rPr>
          <w:i/>
          <w:szCs w:val="22"/>
        </w:rPr>
      </w:pPr>
      <w:r>
        <w:rPr>
          <w:i/>
        </w:rPr>
        <w:t>V. Иные соображения</w:t>
      </w:r>
    </w:p>
    <w:p w14:paraId="311DC025" w14:textId="77777777" w:rsidR="007E4CE2" w:rsidRPr="00FF6E46" w:rsidRDefault="007E4CE2" w:rsidP="007E4CE2">
      <w:pPr>
        <w:rPr>
          <w:szCs w:val="22"/>
        </w:rPr>
      </w:pPr>
    </w:p>
    <w:p w14:paraId="5D612BF3" w14:textId="77777777" w:rsidR="007E4CE2" w:rsidRPr="00FF6E46" w:rsidRDefault="007E4CE2" w:rsidP="007E4CE2">
      <w:pPr>
        <w:rPr>
          <w:szCs w:val="22"/>
        </w:rPr>
      </w:pPr>
      <w:r>
        <w:t xml:space="preserve">[a) В ходе 44-й сессии ПКАП Африканская группа представила проект предложения по реализации Программы работы в области исключений и ограничений (документ SCCR/44/6). Данное предложение направлено на установление конкретной процедуры разработки международного документа, посвященного исключениям и ограничениям в законах об авторском праве. В соответствии с резюме Председателя, принятым в завершение 44-й сессии, Секретариат представит на следующей сессии ПКАП «развернутый план реализации» Программы «работы в области исключений и ограничений» с учетом «замечаний государств-членов, озвученных на текущей сессии ПКАП». </w:t>
      </w:r>
    </w:p>
    <w:p w14:paraId="73DFE151" w14:textId="77777777" w:rsidR="007E4CE2" w:rsidRPr="00FF6E46" w:rsidRDefault="007E4CE2" w:rsidP="007E4CE2">
      <w:pPr>
        <w:rPr>
          <w:szCs w:val="22"/>
        </w:rPr>
      </w:pPr>
    </w:p>
    <w:p w14:paraId="6ED3CAAC" w14:textId="77777777" w:rsidR="007E4CE2" w:rsidRPr="00FF6E46" w:rsidRDefault="007E4CE2" w:rsidP="007E4CE2">
      <w:pPr>
        <w:rPr>
          <w:szCs w:val="22"/>
        </w:rPr>
      </w:pPr>
      <w:r>
        <w:t>Следующие замечания представляются в качестве вклада в деятельность Комитета ПКАП, касающуюся реализации плана работы в области исключений и ограничений.</w:t>
      </w:r>
    </w:p>
    <w:p w14:paraId="4E131834" w14:textId="77777777" w:rsidR="007E4CE2" w:rsidRPr="00FF6E46" w:rsidRDefault="007E4CE2" w:rsidP="007E4CE2">
      <w:pPr>
        <w:rPr>
          <w:szCs w:val="22"/>
        </w:rPr>
      </w:pPr>
    </w:p>
    <w:p w14:paraId="4D945623" w14:textId="16F0EB9D" w:rsidR="007E4CE2" w:rsidRPr="00FF6E46" w:rsidRDefault="007E4CE2" w:rsidP="007E4CE2">
      <w:pPr>
        <w:rPr>
          <w:szCs w:val="22"/>
        </w:rPr>
      </w:pPr>
      <w:r>
        <w:lastRenderedPageBreak/>
        <w:t>Делегация Ирана полностью поддерживает «Проект предложения по реализации Программы работы в области исключений и ограничений», содержащийся в документе SCCR/44/6. По нашему мнению, данное предложение может послужить подходящей основой для реализации Программы работы в области исключений и ограничений, которая была полностью принята Комитетом на 44-й сессии. В предложении указаны три приоритетные области, определенные Комитетом. Предложение представляет собой всеобъемлющую основу для обсуждения в ПКАП дальнейших шагов по реализации Программы работы в области исключений и ограничений. В нем предлагается придерживаться поэтапного подхода к разработке инструмента: сначала нужно согласовать цели и принципы, а уже затем перейти к рассмотрению конкретных вариантов для включения в инструмент. Согласно «Проекту предложения по реализации Программы работы в области исключений и ограничений» «проекты целей, принципов и вариантов (реализации) должны быть представлены на 45-й сессии ПКАП для рассмотрения Комитетом» (см. документ SCCR/44/6).</w:t>
      </w:r>
    </w:p>
    <w:p w14:paraId="4EB94EFC" w14:textId="77777777" w:rsidR="007E4CE2" w:rsidRPr="00FF6E46" w:rsidRDefault="007E4CE2" w:rsidP="007E4CE2">
      <w:pPr>
        <w:rPr>
          <w:szCs w:val="22"/>
        </w:rPr>
      </w:pPr>
    </w:p>
    <w:p w14:paraId="36180452" w14:textId="1C51CB8B" w:rsidR="007E4CE2" w:rsidRPr="00FF6E46" w:rsidRDefault="007E4CE2" w:rsidP="007E4CE2">
      <w:pPr>
        <w:rPr>
          <w:szCs w:val="22"/>
        </w:rPr>
      </w:pPr>
      <w:r>
        <w:t>Мы считаем, что эта всеобъемлющая Программа работы (на основе предложения Африканской группы) может послужить фундаментом для дальнейшей дискуссии на 45</w:t>
      </w:r>
      <w:r w:rsidR="0062624F">
        <w:noBreakHyphen/>
      </w:r>
      <w:r>
        <w:t>й</w:t>
      </w:r>
      <w:r w:rsidR="0062624F">
        <w:t> </w:t>
      </w:r>
      <w:r>
        <w:t>сессии ПКАП, где государства-члены смогут обсудить и доработать предлагаемую процедуру разработки международного документа в области исключений и ограничений. Кроме того, создание на 45-й сессии ПКАП целевой группы может помочь добиться в этом вопросе прогресса в период между сессиями, что потенциально приведет к конкретным результатам, которые могут быть представлены и обсуждены на 46-й сессии ПКАП. Действуя на основе Предложения, представленного в рамках 44-й сессии ПКАП, и участвуя в содержательных дискуссиях в ходе 45-й сессии ПКАП, Комитет может добиться значительного прогресса в достижении своей цели по расширению доступа к знаниям и повышению прозрачности благодаря формированию сбалансированной системы авторского права.</w:t>
      </w:r>
    </w:p>
    <w:p w14:paraId="526A9169" w14:textId="77777777" w:rsidR="007E4CE2" w:rsidRPr="00FF6E46" w:rsidRDefault="007E4CE2" w:rsidP="007E4CE2">
      <w:pPr>
        <w:rPr>
          <w:szCs w:val="22"/>
        </w:rPr>
      </w:pPr>
    </w:p>
    <w:p w14:paraId="5D5937E5" w14:textId="77777777" w:rsidR="007E4CE2" w:rsidRPr="00FF6E46" w:rsidRDefault="007E4CE2" w:rsidP="007E4CE2">
      <w:pPr>
        <w:rPr>
          <w:szCs w:val="22"/>
        </w:rPr>
      </w:pPr>
      <w:r>
        <w:t>Ограничения и исключения являются единственным пунктом плана реализации, требующим тщательного обсуждения. Учитывая тот факт, что проведение 46-й сессии ПКАП может быть отложено, и сессия может состояться только весной 2025 года или даже позднее, наша делегация предлагает обсудить область действий и условия в ходе 45-й сессии ПКАП, а также сформировать целевую группу на этой сессии. Такой подход позволит целевой группе продолжить работу на «межсессионной основе», а результаты этой работы могут быть представлены на 46-й сессии ПКАП. С учетом вышеизложенного, мы считаем, что проект реализации Плана работы в области ограничений и исключений, подготовленный Секретариатом, должен пройти дальнейшее обсуждение в Комитете на следующей сессии ПКАП (45-я сессия).]</w:t>
      </w:r>
      <w:r w:rsidRPr="00FF6E46">
        <w:rPr>
          <w:rStyle w:val="FootnoteReference"/>
          <w:szCs w:val="22"/>
        </w:rPr>
        <w:footnoteReference w:id="24"/>
      </w:r>
    </w:p>
    <w:p w14:paraId="42C2225C" w14:textId="77777777" w:rsidR="007E4CE2" w:rsidRPr="00FF6E46" w:rsidRDefault="007E4CE2" w:rsidP="007E4CE2">
      <w:pPr>
        <w:rPr>
          <w:szCs w:val="22"/>
        </w:rPr>
      </w:pPr>
    </w:p>
    <w:p w14:paraId="2CACF8EB" w14:textId="77777777" w:rsidR="007E4CE2" w:rsidRPr="00FF6E46" w:rsidRDefault="007E4CE2" w:rsidP="007E4CE2">
      <w:pPr>
        <w:rPr>
          <w:szCs w:val="22"/>
        </w:rPr>
      </w:pPr>
    </w:p>
    <w:p w14:paraId="02D60C84" w14:textId="73F04215" w:rsidR="007E4CE2" w:rsidRPr="00FF6E46" w:rsidRDefault="007E4CE2" w:rsidP="007E4CE2">
      <w:pPr>
        <w:rPr>
          <w:szCs w:val="22"/>
        </w:rPr>
      </w:pPr>
      <w:r>
        <w:t xml:space="preserve">[b) Нас интересует, как потенциально будут соотноситься предлагаемое пособие по сохранению, указанное в пункте I. «Вопросы сохранения», и «Пособие по сохранению», подготовленное Риной Эльстер Панталони, Кеннетом Д. Крюзом и Дэвидом Саттоном к 43-й сессии ПКАП (документ SCCR/43/4). </w:t>
      </w:r>
    </w:p>
    <w:p w14:paraId="68AADFD2" w14:textId="77777777" w:rsidR="007E4CE2" w:rsidRPr="00FF6E46" w:rsidRDefault="007E4CE2" w:rsidP="007E4CE2">
      <w:pPr>
        <w:rPr>
          <w:szCs w:val="22"/>
        </w:rPr>
      </w:pPr>
      <w:r>
        <w:t> </w:t>
      </w:r>
    </w:p>
    <w:p w14:paraId="7E595A26" w14:textId="632425E6" w:rsidR="007E4CE2" w:rsidRPr="00FF6E46" w:rsidRDefault="007E4CE2" w:rsidP="007E4CE2">
      <w:pPr>
        <w:rPr>
          <w:szCs w:val="22"/>
        </w:rPr>
      </w:pPr>
      <w:r>
        <w:t xml:space="preserve">Кроме того, на 43-й сессии ПКАП Секретариат сообщил, что будут подготовлены пособия по вопросу доступа к материалам для библиотек, музеев и архивов, а также образовательных и научно-исследовательских учреждений. В связи с этим нам бы хотелось узнать, подразумевает ли завершение работы над пособием по вопросу доступа для учреждений культурного наследия (библиотеки, архивы и музеи) и презентация пособия по вопросу доступа для образовательных и научно-исследовательских </w:t>
      </w:r>
      <w:r>
        <w:lastRenderedPageBreak/>
        <w:t>учреждений, указанных в пункте II. «Вопросы доступа» настоящего Плана продолжение этой работы или речь идет о чем-то другом.]</w:t>
      </w:r>
      <w:r w:rsidRPr="00FF6E46">
        <w:rPr>
          <w:rStyle w:val="FootnoteReference"/>
          <w:szCs w:val="22"/>
        </w:rPr>
        <w:footnoteReference w:id="25"/>
      </w:r>
      <w:r>
        <w:t xml:space="preserve"> </w:t>
      </w:r>
    </w:p>
    <w:p w14:paraId="44E45300" w14:textId="77777777" w:rsidR="007E4CE2" w:rsidRPr="00FF6E46" w:rsidRDefault="007E4CE2" w:rsidP="007E4CE2">
      <w:pPr>
        <w:rPr>
          <w:szCs w:val="22"/>
        </w:rPr>
      </w:pPr>
    </w:p>
    <w:p w14:paraId="542BCD77" w14:textId="77777777" w:rsidR="0071374C" w:rsidRDefault="0071374C" w:rsidP="00870957">
      <w:pPr>
        <w:pStyle w:val="Default"/>
        <w:rPr>
          <w:sz w:val="22"/>
          <w:szCs w:val="22"/>
        </w:rPr>
      </w:pPr>
    </w:p>
    <w:p w14:paraId="5C7891DC" w14:textId="77777777" w:rsidR="00A02DD8" w:rsidRPr="009912FA" w:rsidRDefault="00A02DD8" w:rsidP="00870957">
      <w:pPr>
        <w:pStyle w:val="Default"/>
        <w:rPr>
          <w:sz w:val="22"/>
          <w:szCs w:val="22"/>
        </w:rPr>
      </w:pPr>
    </w:p>
    <w:p w14:paraId="29050A39" w14:textId="1BCA5C2D" w:rsidR="00870957" w:rsidRDefault="00870957" w:rsidP="00870957">
      <w:pPr>
        <w:pStyle w:val="Endofdocument"/>
        <w:rPr>
          <w:rFonts w:cs="Arial"/>
          <w:sz w:val="22"/>
          <w:szCs w:val="22"/>
        </w:rPr>
      </w:pPr>
      <w:r>
        <w:rPr>
          <w:sz w:val="22"/>
        </w:rPr>
        <w:t>[Конец документа]</w:t>
      </w:r>
    </w:p>
    <w:sectPr w:rsidR="00870957" w:rsidSect="00D20B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3E59" w14:textId="77777777" w:rsidR="00D20BE6" w:rsidRDefault="00D20BE6">
      <w:r>
        <w:separator/>
      </w:r>
    </w:p>
  </w:endnote>
  <w:endnote w:type="continuationSeparator" w:id="0">
    <w:p w14:paraId="09892C94" w14:textId="77777777" w:rsidR="00D20BE6" w:rsidRDefault="00D20BE6" w:rsidP="003B38C1">
      <w:r>
        <w:separator/>
      </w:r>
    </w:p>
    <w:p w14:paraId="6E7FCE54" w14:textId="77777777" w:rsidR="00D20BE6" w:rsidRPr="007926B3" w:rsidRDefault="00D20BE6" w:rsidP="003B38C1">
      <w:pPr>
        <w:spacing w:after="60"/>
        <w:rPr>
          <w:sz w:val="17"/>
          <w:lang w:val="en-US"/>
        </w:rPr>
      </w:pPr>
      <w:r w:rsidRPr="007926B3">
        <w:rPr>
          <w:sz w:val="17"/>
          <w:lang w:val="en-US"/>
        </w:rPr>
        <w:t>[Endnote continued from previous page]</w:t>
      </w:r>
    </w:p>
  </w:endnote>
  <w:endnote w:type="continuationNotice" w:id="1">
    <w:p w14:paraId="0D15B864" w14:textId="77777777" w:rsidR="00D20BE6" w:rsidRPr="007926B3" w:rsidRDefault="00D20BE6" w:rsidP="003B38C1">
      <w:pPr>
        <w:spacing w:before="60"/>
        <w:jc w:val="right"/>
        <w:rPr>
          <w:sz w:val="17"/>
          <w:szCs w:val="17"/>
          <w:lang w:val="en-US"/>
        </w:rPr>
      </w:pPr>
      <w:r w:rsidRPr="007926B3">
        <w:rPr>
          <w:sz w:val="17"/>
          <w:szCs w:val="17"/>
          <w:lang w:val="en-US"/>
        </w:rPr>
        <w:t xml:space="preserve">[Endnote </w:t>
      </w:r>
      <w:proofErr w:type="gramStart"/>
      <w:r w:rsidRPr="007926B3">
        <w:rPr>
          <w:sz w:val="17"/>
          <w:szCs w:val="17"/>
          <w:lang w:val="en-US"/>
        </w:rPr>
        <w:t>continued on</w:t>
      </w:r>
      <w:proofErr w:type="gramEnd"/>
      <w:r w:rsidRPr="007926B3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A63F" w14:textId="77777777" w:rsidR="00A02DD8" w:rsidRDefault="00A02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0652" w14:textId="386C270D" w:rsidR="00A02DD8" w:rsidRDefault="00A02D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230221" wp14:editId="4A72FFA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6ccd46c191aade95b789f235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11FA5D" w14:textId="28A801E6" w:rsidR="00A02DD8" w:rsidRPr="00A02DD8" w:rsidRDefault="00A02DD8" w:rsidP="00A02DD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30221" id="_x0000_t202" coordsize="21600,21600" o:spt="202" path="m,l,21600r21600,l21600,xe">
              <v:stroke joinstyle="miter"/>
              <v:path gradientshapeok="t" o:connecttype="rect"/>
            </v:shapetype>
            <v:shape id="MSIPCM6ccd46c191aade95b789f235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5711FA5D" w14:textId="28A801E6" w:rsidR="00A02DD8" w:rsidRPr="00A02DD8" w:rsidRDefault="00A02DD8" w:rsidP="00A02DD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EBFB" w14:textId="3CC52FC4" w:rsidR="00A02DD8" w:rsidRDefault="00A02D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C639C2" wp14:editId="7439AC8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e4f44b99a49799df6b2e7c6c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CF9E16" w14:textId="60A162C1" w:rsidR="00A02DD8" w:rsidRPr="00A02DD8" w:rsidRDefault="00A02DD8" w:rsidP="00A02DD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WIPO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639C2" id="_x0000_t202" coordsize="21600,21600" o:spt="202" path="m,l,21600r21600,l21600,xe">
              <v:stroke joinstyle="miter"/>
              <v:path gradientshapeok="t" o:connecttype="rect"/>
            </v:shapetype>
            <v:shape id="MSIPCMe4f44b99a49799df6b2e7c6c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10CF9E16" w14:textId="60A162C1" w:rsidR="00A02DD8" w:rsidRPr="00A02DD8" w:rsidRDefault="00A02DD8" w:rsidP="00A02DD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A235" w14:textId="77777777" w:rsidR="00D20BE6" w:rsidRDefault="00D20BE6">
      <w:r>
        <w:separator/>
      </w:r>
    </w:p>
  </w:footnote>
  <w:footnote w:type="continuationSeparator" w:id="0">
    <w:p w14:paraId="3448DDEC" w14:textId="77777777" w:rsidR="00D20BE6" w:rsidRDefault="00D20BE6" w:rsidP="008B60B2">
      <w:r>
        <w:separator/>
      </w:r>
    </w:p>
    <w:p w14:paraId="6A7673E9" w14:textId="77777777" w:rsidR="00D20BE6" w:rsidRPr="007926B3" w:rsidRDefault="00D20BE6" w:rsidP="008B60B2">
      <w:pPr>
        <w:spacing w:after="60"/>
        <w:rPr>
          <w:sz w:val="17"/>
          <w:szCs w:val="17"/>
          <w:lang w:val="en-US"/>
        </w:rPr>
      </w:pPr>
      <w:r w:rsidRPr="007926B3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69FD1FC4" w14:textId="77777777" w:rsidR="00D20BE6" w:rsidRPr="007926B3" w:rsidRDefault="00D20BE6" w:rsidP="008B60B2">
      <w:pPr>
        <w:spacing w:before="60"/>
        <w:jc w:val="right"/>
        <w:rPr>
          <w:sz w:val="17"/>
          <w:szCs w:val="17"/>
          <w:lang w:val="en-US"/>
        </w:rPr>
      </w:pPr>
      <w:r w:rsidRPr="007926B3">
        <w:rPr>
          <w:sz w:val="17"/>
          <w:szCs w:val="17"/>
          <w:lang w:val="en-US"/>
        </w:rPr>
        <w:t xml:space="preserve">[Footnote </w:t>
      </w:r>
      <w:proofErr w:type="gramStart"/>
      <w:r w:rsidRPr="007926B3">
        <w:rPr>
          <w:sz w:val="17"/>
          <w:szCs w:val="17"/>
          <w:lang w:val="en-US"/>
        </w:rPr>
        <w:t>continued on</w:t>
      </w:r>
      <w:proofErr w:type="gramEnd"/>
      <w:r w:rsidRPr="007926B3">
        <w:rPr>
          <w:sz w:val="17"/>
          <w:szCs w:val="17"/>
          <w:lang w:val="en-US"/>
        </w:rPr>
        <w:t xml:space="preserve"> next page]</w:t>
      </w:r>
    </w:p>
  </w:footnote>
  <w:footnote w:id="2">
    <w:p w14:paraId="3C5F5EF3" w14:textId="77777777" w:rsidR="007E4CE2" w:rsidRPr="00C83461" w:rsidRDefault="007E4CE2" w:rsidP="007E4CE2">
      <w:pPr>
        <w:pStyle w:val="pf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ГРУППА B: </w:t>
      </w:r>
      <w:r>
        <w:rPr>
          <w:rStyle w:val="cf01"/>
          <w:rFonts w:ascii="Arial" w:hAnsi="Arial"/>
        </w:rPr>
        <w:t xml:space="preserve">Группа B предлагает провести презентацию данного пособия в ходе заседания ПКАП, чтобы обеспечить более широкое участие государств-членов и заинтересованных сторон/наблюдателей, а также привлечь внимание к работе, проделанной в рамках настоящего проекта. </w:t>
      </w:r>
    </w:p>
  </w:footnote>
  <w:footnote w:id="3">
    <w:p w14:paraId="31CA5570" w14:textId="77777777" w:rsidR="007E4CE2" w:rsidRPr="00C83461" w:rsidRDefault="007E4CE2" w:rsidP="007E4CE2">
      <w:pPr>
        <w:pStyle w:val="pf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ГРУППА </w:t>
      </w:r>
      <w:r>
        <w:rPr>
          <w:rFonts w:ascii="Arial" w:hAnsi="Arial"/>
          <w:sz w:val="18"/>
        </w:rPr>
        <w:t xml:space="preserve">B: </w:t>
      </w:r>
      <w:r>
        <w:rPr>
          <w:rStyle w:val="cf01"/>
          <w:rFonts w:ascii="Arial" w:hAnsi="Arial"/>
        </w:rPr>
        <w:t>Мы хотели бы получить разъяснения по следующим вопросам:</w:t>
      </w:r>
    </w:p>
    <w:p w14:paraId="3A3C7644" w14:textId="77777777" w:rsidR="007E4CE2" w:rsidRPr="00C83461" w:rsidRDefault="007E4CE2" w:rsidP="007E4CE2">
      <w:pPr>
        <w:pStyle w:val="pf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f01"/>
          <w:rFonts w:ascii="Arial" w:hAnsi="Arial"/>
        </w:rPr>
        <w:t>Каков вид/характер данных мероприятий (например, презентация, панельная дискуссия и др.)?</w:t>
      </w:r>
    </w:p>
    <w:p w14:paraId="3C91DA9B" w14:textId="77777777" w:rsidR="007E4CE2" w:rsidRPr="00C83461" w:rsidRDefault="007E4CE2" w:rsidP="007E4CE2">
      <w:pPr>
        <w:pStyle w:val="pf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f01"/>
          <w:rFonts w:ascii="Arial" w:hAnsi="Arial"/>
        </w:rPr>
        <w:t xml:space="preserve">Будут ли они проводиться в гибридном формате? </w:t>
      </w:r>
    </w:p>
    <w:p w14:paraId="427C4639" w14:textId="77777777" w:rsidR="007E4CE2" w:rsidRPr="00C83461" w:rsidRDefault="007E4CE2" w:rsidP="007E4CE2">
      <w:pPr>
        <w:pStyle w:val="pf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f01"/>
          <w:rFonts w:ascii="Arial" w:hAnsi="Arial"/>
        </w:rPr>
        <w:t>Сколько мероприятий и в каких регионах Секретариат планирует провести в 2024–2025 годах?</w:t>
      </w:r>
    </w:p>
    <w:p w14:paraId="349ED159" w14:textId="77777777" w:rsidR="007E4CE2" w:rsidRPr="00C83461" w:rsidRDefault="007E4CE2" w:rsidP="007E4CE2">
      <w:pPr>
        <w:pStyle w:val="pf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f01"/>
          <w:rFonts w:ascii="Arial" w:hAnsi="Arial"/>
        </w:rPr>
        <w:t>Будет ли Секретариат решать, какие регионы будут охвачены, или мероприятия будут проводиться по запросу государств-членов в регионе?</w:t>
      </w:r>
    </w:p>
    <w:p w14:paraId="4BD2189A" w14:textId="77777777" w:rsidR="007E4CE2" w:rsidRPr="006344AB" w:rsidRDefault="007E4CE2" w:rsidP="007E4CE2">
      <w:pPr>
        <w:pStyle w:val="pf1"/>
        <w:numPr>
          <w:ilvl w:val="0"/>
          <w:numId w:val="11"/>
        </w:numPr>
        <w:spacing w:before="0" w:beforeAutospacing="0" w:after="0" w:afterAutospacing="0"/>
      </w:pPr>
      <w:r>
        <w:rPr>
          <w:rStyle w:val="cf01"/>
          <w:rFonts w:ascii="Arial" w:hAnsi="Arial"/>
        </w:rPr>
        <w:t>Будут ли все государства-члены приглашены к участию в таких мероприятиях в каждом регионе?</w:t>
      </w:r>
    </w:p>
  </w:footnote>
  <w:footnote w:id="4">
    <w:p w14:paraId="56069A8B" w14:textId="77777777" w:rsidR="007E4CE2" w:rsidRDefault="007E4CE2" w:rsidP="007E4C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ГРУППА </w:t>
      </w:r>
      <w:r>
        <w:t>B</w:t>
      </w:r>
    </w:p>
  </w:footnote>
  <w:footnote w:id="5">
    <w:p w14:paraId="5663B517" w14:textId="77777777" w:rsidR="007E4CE2" w:rsidRPr="00002363" w:rsidRDefault="007E4CE2" w:rsidP="007E4CE2">
      <w:pPr>
        <w:pStyle w:val="pf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</w:t>
      </w:r>
      <w:r w:rsidRPr="00002363">
        <w:rPr>
          <w:rFonts w:ascii="Arial" w:hAnsi="Arial" w:cs="Arial"/>
          <w:sz w:val="18"/>
        </w:rPr>
        <w:t xml:space="preserve">ГРУППА </w:t>
      </w:r>
      <w:r w:rsidRPr="00002363">
        <w:rPr>
          <w:rFonts w:ascii="Arial" w:hAnsi="Arial" w:cs="Arial"/>
          <w:sz w:val="18"/>
        </w:rPr>
        <w:t xml:space="preserve">B: </w:t>
      </w:r>
      <w:r w:rsidRPr="00002363">
        <w:rPr>
          <w:rStyle w:val="cf01"/>
          <w:rFonts w:ascii="Arial" w:hAnsi="Arial" w:cs="Arial"/>
        </w:rPr>
        <w:t>Как и в случае с «Пособием по сохранению» (документ SCCR/43/4), мы были бы признательны Секретариату за предоставление государствам-членам и заинтересованным сторонам возможности представить свои замечания и к этому пособию.</w:t>
      </w:r>
    </w:p>
  </w:footnote>
  <w:footnote w:id="6">
    <w:p w14:paraId="4A271117" w14:textId="77777777" w:rsidR="007E4CE2" w:rsidRPr="00002363" w:rsidRDefault="007E4CE2" w:rsidP="007E4CE2">
      <w:pPr>
        <w:pStyle w:val="FootnoteText"/>
      </w:pPr>
      <w:r w:rsidRPr="00002363">
        <w:rPr>
          <w:rStyle w:val="FootnoteReference"/>
        </w:rPr>
        <w:footnoteRef/>
      </w:r>
      <w:r w:rsidRPr="00002363">
        <w:t xml:space="preserve"> </w:t>
      </w:r>
      <w:r w:rsidRPr="00002363">
        <w:t xml:space="preserve">ГРУППА </w:t>
      </w:r>
      <w:r w:rsidRPr="00002363">
        <w:t>B</w:t>
      </w:r>
    </w:p>
  </w:footnote>
  <w:footnote w:id="7">
    <w:p w14:paraId="57C7821C" w14:textId="77777777" w:rsidR="007E4CE2" w:rsidRPr="00002363" w:rsidRDefault="007E4CE2" w:rsidP="007E4CE2">
      <w:pPr>
        <w:pStyle w:val="FootnoteText"/>
        <w:rPr>
          <w:szCs w:val="18"/>
        </w:rPr>
      </w:pPr>
      <w:r w:rsidRPr="00002363">
        <w:rPr>
          <w:rStyle w:val="FootnoteReference"/>
          <w:szCs w:val="18"/>
        </w:rPr>
        <w:footnoteRef/>
      </w:r>
      <w:r w:rsidRPr="00002363">
        <w:t xml:space="preserve"> </w:t>
      </w:r>
      <w:r w:rsidRPr="00002363">
        <w:t xml:space="preserve">ГРУППА </w:t>
      </w:r>
      <w:r w:rsidRPr="00002363">
        <w:t xml:space="preserve">B: </w:t>
      </w:r>
      <w:r w:rsidRPr="00002363">
        <w:rPr>
          <w:rStyle w:val="cf01"/>
          <w:rFonts w:ascii="Arial" w:hAnsi="Arial" w:cs="Arial"/>
        </w:rPr>
        <w:t>То же предложение, что и в отношении пункта I.a) выше: провести презентацию пособия в ходе заседания ПКАП.</w:t>
      </w:r>
    </w:p>
  </w:footnote>
  <w:footnote w:id="8">
    <w:p w14:paraId="1BD75573" w14:textId="77777777" w:rsidR="007E4CE2" w:rsidRPr="00002363" w:rsidRDefault="007E4CE2" w:rsidP="007E4CE2">
      <w:pPr>
        <w:pStyle w:val="FootnoteText"/>
        <w:rPr>
          <w:szCs w:val="18"/>
        </w:rPr>
      </w:pPr>
      <w:r w:rsidRPr="00002363">
        <w:rPr>
          <w:rStyle w:val="FootnoteReference"/>
          <w:szCs w:val="18"/>
        </w:rPr>
        <w:footnoteRef/>
      </w:r>
      <w:r w:rsidRPr="00002363">
        <w:t xml:space="preserve"> </w:t>
      </w:r>
      <w:r w:rsidRPr="00002363">
        <w:t xml:space="preserve">ГРУППА </w:t>
      </w:r>
      <w:r w:rsidRPr="00002363">
        <w:t xml:space="preserve">B: </w:t>
      </w:r>
      <w:r w:rsidRPr="00002363">
        <w:rPr>
          <w:rStyle w:val="cf01"/>
          <w:rFonts w:ascii="Arial" w:hAnsi="Arial" w:cs="Arial"/>
        </w:rPr>
        <w:t>То же замечание, что и в отношении пункта I.b) выше.</w:t>
      </w:r>
    </w:p>
  </w:footnote>
  <w:footnote w:id="9">
    <w:p w14:paraId="2EF5D81F" w14:textId="77777777" w:rsidR="007E4CE2" w:rsidRPr="00002363" w:rsidRDefault="007E4CE2" w:rsidP="007E4CE2">
      <w:pPr>
        <w:pStyle w:val="FootnoteText"/>
        <w:rPr>
          <w:szCs w:val="18"/>
        </w:rPr>
      </w:pPr>
      <w:r w:rsidRPr="00002363">
        <w:rPr>
          <w:rStyle w:val="FootnoteReference"/>
          <w:szCs w:val="18"/>
        </w:rPr>
        <w:footnoteRef/>
      </w:r>
      <w:r w:rsidRPr="00002363">
        <w:t xml:space="preserve"> </w:t>
      </w:r>
      <w:r w:rsidRPr="00002363">
        <w:t xml:space="preserve">ГРУППА </w:t>
      </w:r>
      <w:r w:rsidRPr="00002363">
        <w:t>B: Мы хотели бы получить разъяснения относительно того, как Секретариат планирует проводить эти мероприятия в 2024 году на основе пособия, подготовка которого, как ожидается, завершится в 2025 году, и оно будет представлено в конце 2025 года?</w:t>
      </w:r>
    </w:p>
  </w:footnote>
  <w:footnote w:id="10">
    <w:p w14:paraId="2870F1B5" w14:textId="77777777" w:rsidR="007E4CE2" w:rsidRPr="00002363" w:rsidRDefault="007E4CE2" w:rsidP="007E4CE2">
      <w:pPr>
        <w:pStyle w:val="FootnoteText"/>
      </w:pPr>
      <w:r w:rsidRPr="00002363">
        <w:rPr>
          <w:rStyle w:val="FootnoteReference"/>
        </w:rPr>
        <w:footnoteRef/>
      </w:r>
      <w:r w:rsidRPr="00002363">
        <w:t xml:space="preserve"> </w:t>
      </w:r>
      <w:r w:rsidRPr="00002363">
        <w:t xml:space="preserve">ГРУППА </w:t>
      </w:r>
      <w:r w:rsidRPr="00002363">
        <w:t>B</w:t>
      </w:r>
    </w:p>
  </w:footnote>
  <w:footnote w:id="11">
    <w:p w14:paraId="0FF57B6F" w14:textId="77777777" w:rsidR="007E4CE2" w:rsidRPr="00002363" w:rsidRDefault="007E4CE2" w:rsidP="007E4CE2">
      <w:pPr>
        <w:pStyle w:val="FootnoteText"/>
      </w:pPr>
      <w:r w:rsidRPr="00002363">
        <w:rPr>
          <w:rStyle w:val="FootnoteReference"/>
        </w:rPr>
        <w:footnoteRef/>
      </w:r>
      <w:r w:rsidRPr="00002363">
        <w:t xml:space="preserve"> </w:t>
      </w:r>
      <w:r w:rsidRPr="00002363">
        <w:t xml:space="preserve">ГРУППА </w:t>
      </w:r>
      <w:r w:rsidRPr="00002363">
        <w:t>B</w:t>
      </w:r>
    </w:p>
  </w:footnote>
  <w:footnote w:id="12">
    <w:p w14:paraId="578CFA29" w14:textId="177C9FF7" w:rsidR="007E4CE2" w:rsidRPr="00002363" w:rsidRDefault="007E4CE2" w:rsidP="007E4CE2">
      <w:pPr>
        <w:pStyle w:val="FootnoteText"/>
      </w:pPr>
      <w:r w:rsidRPr="00002363">
        <w:rPr>
          <w:rStyle w:val="FootnoteReference"/>
        </w:rPr>
        <w:footnoteRef/>
      </w:r>
      <w:r w:rsidRPr="00002363">
        <w:t xml:space="preserve"> </w:t>
      </w:r>
      <w:r w:rsidRPr="00002363">
        <w:t xml:space="preserve">ГРУЛАК </w:t>
      </w:r>
    </w:p>
  </w:footnote>
  <w:footnote w:id="13">
    <w:p w14:paraId="5665D082" w14:textId="77777777" w:rsidR="007E4CE2" w:rsidRPr="00C83461" w:rsidRDefault="007E4CE2" w:rsidP="007E4CE2">
      <w:pPr>
        <w:pStyle w:val="FootnoteText"/>
        <w:rPr>
          <w:szCs w:val="18"/>
        </w:rPr>
      </w:pPr>
      <w:r w:rsidRPr="00002363">
        <w:rPr>
          <w:rStyle w:val="FootnoteReference"/>
          <w:szCs w:val="18"/>
        </w:rPr>
        <w:footnoteRef/>
      </w:r>
      <w:r w:rsidRPr="00002363">
        <w:t xml:space="preserve"> </w:t>
      </w:r>
      <w:r w:rsidRPr="00002363">
        <w:t xml:space="preserve">ГРУППА B: </w:t>
      </w:r>
      <w:r w:rsidRPr="00002363">
        <w:rPr>
          <w:rStyle w:val="cf01"/>
          <w:rFonts w:ascii="Arial" w:hAnsi="Arial" w:cs="Arial"/>
        </w:rPr>
        <w:t>Как и в случае с проведенным недавно обзорным исследованием (документ SCCR/44/4), мы были бы признательны Секретариату за предоставление государствам-членам и заинтересованным сторонам возможности представить свои замечания и к этому исследованию.</w:t>
      </w:r>
    </w:p>
  </w:footnote>
  <w:footnote w:id="14">
    <w:p w14:paraId="1AFCEE5C" w14:textId="77777777" w:rsidR="007E4CE2" w:rsidRDefault="007E4CE2" w:rsidP="007E4C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ГРУППА B</w:t>
      </w:r>
    </w:p>
  </w:footnote>
  <w:footnote w:id="15">
    <w:p w14:paraId="7450FECF" w14:textId="77777777" w:rsidR="007E4CE2" w:rsidRPr="00C83461" w:rsidRDefault="007E4CE2" w:rsidP="007E4CE2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</w:t>
      </w:r>
      <w:r>
        <w:t xml:space="preserve">ГРУППА </w:t>
      </w:r>
      <w:r>
        <w:t>B: Мы хотели бы получить разъяснения по следующим вопросам:</w:t>
      </w:r>
    </w:p>
    <w:p w14:paraId="624C3EA9" w14:textId="77777777" w:rsidR="007E4CE2" w:rsidRPr="00C83461" w:rsidRDefault="007E4CE2" w:rsidP="007E4CE2">
      <w:pPr>
        <w:pStyle w:val="FootnoteText"/>
        <w:ind w:left="450"/>
        <w:rPr>
          <w:szCs w:val="18"/>
        </w:rPr>
      </w:pPr>
      <w:r>
        <w:rPr>
          <w:rFonts w:ascii="Cambria Math" w:hAnsi="Cambria Math"/>
        </w:rPr>
        <w:t>⦁</w:t>
      </w:r>
      <w:r>
        <w:t>Кто будет проводить такую презентацию?</w:t>
      </w:r>
    </w:p>
    <w:p w14:paraId="220CD627" w14:textId="77777777" w:rsidR="007E4CE2" w:rsidRPr="00C83461" w:rsidRDefault="007E4CE2" w:rsidP="007E4CE2">
      <w:pPr>
        <w:pStyle w:val="FootnoteText"/>
        <w:ind w:left="450"/>
        <w:rPr>
          <w:szCs w:val="18"/>
        </w:rPr>
      </w:pPr>
      <w:r>
        <w:t>⦁ Каков вид/характер упомянутых «существующих средств» (например, правовые, технологические и др.)?</w:t>
      </w:r>
    </w:p>
  </w:footnote>
  <w:footnote w:id="16">
    <w:p w14:paraId="61805A33" w14:textId="77777777" w:rsidR="007E4CE2" w:rsidRDefault="007E4CE2" w:rsidP="007E4C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ГРУППА </w:t>
      </w:r>
      <w:r>
        <w:t>B</w:t>
      </w:r>
    </w:p>
  </w:footnote>
  <w:footnote w:id="17">
    <w:p w14:paraId="14115409" w14:textId="77777777" w:rsidR="007E4CE2" w:rsidRDefault="007E4CE2" w:rsidP="007E4C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ГРУППА </w:t>
      </w:r>
      <w:r>
        <w:t>B</w:t>
      </w:r>
    </w:p>
  </w:footnote>
  <w:footnote w:id="18">
    <w:p w14:paraId="77D19A42" w14:textId="77777777" w:rsidR="007E4CE2" w:rsidRDefault="007E4CE2" w:rsidP="007E4C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ГРУППА </w:t>
      </w:r>
      <w:r>
        <w:t>B</w:t>
      </w:r>
    </w:p>
  </w:footnote>
  <w:footnote w:id="19">
    <w:p w14:paraId="3F17D0A2" w14:textId="77777777" w:rsidR="007E4CE2" w:rsidRDefault="007E4CE2" w:rsidP="007E4C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ГРУППА </w:t>
      </w:r>
      <w:r>
        <w:t>B</w:t>
      </w:r>
    </w:p>
  </w:footnote>
  <w:footnote w:id="20">
    <w:p w14:paraId="0FABBE08" w14:textId="77777777" w:rsidR="007E4CE2" w:rsidRDefault="007E4CE2" w:rsidP="007E4C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ГРУППА </w:t>
      </w:r>
      <w:r>
        <w:t>B</w:t>
      </w:r>
    </w:p>
  </w:footnote>
  <w:footnote w:id="21">
    <w:p w14:paraId="4AA5F0F4" w14:textId="77777777" w:rsidR="007E4CE2" w:rsidRDefault="007E4CE2" w:rsidP="007E4C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ГРУППА </w:t>
      </w:r>
      <w:r>
        <w:t>B</w:t>
      </w:r>
    </w:p>
  </w:footnote>
  <w:footnote w:id="22">
    <w:p w14:paraId="5B199562" w14:textId="77777777" w:rsidR="007E4CE2" w:rsidRDefault="007E4CE2" w:rsidP="007E4C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ГРУППА </w:t>
      </w:r>
      <w:r>
        <w:t>B</w:t>
      </w:r>
    </w:p>
  </w:footnote>
  <w:footnote w:id="23">
    <w:p w14:paraId="7F84BB25" w14:textId="77777777" w:rsidR="007E4CE2" w:rsidRDefault="007E4CE2" w:rsidP="007E4CE2">
      <w:pPr>
        <w:pStyle w:val="FootnoteText"/>
      </w:pPr>
      <w:r>
        <w:t xml:space="preserve">АФРИКАНСКАЯ </w:t>
      </w:r>
      <w:r>
        <w:t>ГРУППА</w:t>
      </w:r>
    </w:p>
  </w:footnote>
  <w:footnote w:id="24">
    <w:p w14:paraId="220C85E3" w14:textId="77777777" w:rsidR="007E4CE2" w:rsidRDefault="007E4CE2" w:rsidP="007E4C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ИРАН</w:t>
      </w:r>
    </w:p>
  </w:footnote>
  <w:footnote w:id="25">
    <w:p w14:paraId="55790A4A" w14:textId="77777777" w:rsidR="007E4CE2" w:rsidRDefault="007E4CE2" w:rsidP="007E4C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РОССИЙСКАЯ ФЕДЕРАЦИЯ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6B32" w14:textId="77777777" w:rsidR="00A02DD8" w:rsidRDefault="00A02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5910" w14:textId="5F2755D8" w:rsidR="007E4CE2" w:rsidRDefault="007E4CE2" w:rsidP="007E4CE2">
    <w:pPr>
      <w:jc w:val="right"/>
    </w:pPr>
    <w:r>
      <w:t>SCT/45/10 Prov.</w:t>
    </w:r>
  </w:p>
  <w:p w14:paraId="4F1B8D62" w14:textId="77777777" w:rsidR="007E4CE2" w:rsidRDefault="007E4CE2" w:rsidP="007E4CE2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 w14:paraId="07943733" w14:textId="77777777" w:rsidR="007E4CE2" w:rsidRDefault="007E4CE2" w:rsidP="007E4CE2">
    <w:pPr>
      <w:pStyle w:val="Header"/>
      <w:jc w:val="right"/>
    </w:pPr>
  </w:p>
  <w:p w14:paraId="5CD1DDAF" w14:textId="77777777" w:rsidR="007E4CE2" w:rsidRDefault="007E4CE2" w:rsidP="007E4CE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1E0D" w14:textId="77777777" w:rsidR="00A02DD8" w:rsidRDefault="00A02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26E213B"/>
    <w:multiLevelType w:val="hybridMultilevel"/>
    <w:tmpl w:val="247897D2"/>
    <w:lvl w:ilvl="0" w:tplc="FEC2FCA4">
      <w:start w:val="1"/>
      <w:numFmt w:val="decimal"/>
      <w:lvlText w:val="%1."/>
      <w:lvlJc w:val="left"/>
      <w:pPr>
        <w:ind w:left="450" w:hanging="360"/>
      </w:pPr>
      <w:rPr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0027F"/>
    <w:multiLevelType w:val="hybridMultilevel"/>
    <w:tmpl w:val="3F7037E0"/>
    <w:lvl w:ilvl="0" w:tplc="4B6E4C3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BF29B4"/>
    <w:multiLevelType w:val="multilevel"/>
    <w:tmpl w:val="34BA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55A55"/>
    <w:multiLevelType w:val="hybridMultilevel"/>
    <w:tmpl w:val="5EAEC4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A38D5"/>
    <w:multiLevelType w:val="hybridMultilevel"/>
    <w:tmpl w:val="C75EFB16"/>
    <w:lvl w:ilvl="0" w:tplc="FC723B2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23621">
    <w:abstractNumId w:val="2"/>
  </w:num>
  <w:num w:numId="2" w16cid:durableId="1972321765">
    <w:abstractNumId w:val="6"/>
  </w:num>
  <w:num w:numId="3" w16cid:durableId="1344016737">
    <w:abstractNumId w:val="0"/>
  </w:num>
  <w:num w:numId="4" w16cid:durableId="1946647358">
    <w:abstractNumId w:val="7"/>
  </w:num>
  <w:num w:numId="5" w16cid:durableId="1049380694">
    <w:abstractNumId w:val="1"/>
  </w:num>
  <w:num w:numId="6" w16cid:durableId="836965304">
    <w:abstractNumId w:val="3"/>
  </w:num>
  <w:num w:numId="7" w16cid:durableId="1616280423">
    <w:abstractNumId w:val="4"/>
  </w:num>
  <w:num w:numId="8" w16cid:durableId="1015351290">
    <w:abstractNumId w:val="5"/>
  </w:num>
  <w:num w:numId="9" w16cid:durableId="15433987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2268436">
    <w:abstractNumId w:val="10"/>
  </w:num>
  <w:num w:numId="11" w16cid:durableId="1179738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57"/>
    <w:rsid w:val="00002363"/>
    <w:rsid w:val="00004AEA"/>
    <w:rsid w:val="00010526"/>
    <w:rsid w:val="00011F4E"/>
    <w:rsid w:val="0001647B"/>
    <w:rsid w:val="000202A0"/>
    <w:rsid w:val="00020C76"/>
    <w:rsid w:val="0002404D"/>
    <w:rsid w:val="00033B81"/>
    <w:rsid w:val="00043CAA"/>
    <w:rsid w:val="00056C5E"/>
    <w:rsid w:val="0005711F"/>
    <w:rsid w:val="00061C13"/>
    <w:rsid w:val="00066901"/>
    <w:rsid w:val="00075432"/>
    <w:rsid w:val="00095063"/>
    <w:rsid w:val="000968ED"/>
    <w:rsid w:val="00096B1A"/>
    <w:rsid w:val="00097EDC"/>
    <w:rsid w:val="000B1244"/>
    <w:rsid w:val="000B4141"/>
    <w:rsid w:val="000C4EF7"/>
    <w:rsid w:val="000F5E56"/>
    <w:rsid w:val="001024FE"/>
    <w:rsid w:val="001362EE"/>
    <w:rsid w:val="00142868"/>
    <w:rsid w:val="00143BFC"/>
    <w:rsid w:val="00166FB1"/>
    <w:rsid w:val="0017249F"/>
    <w:rsid w:val="0018083A"/>
    <w:rsid w:val="001832A6"/>
    <w:rsid w:val="00194743"/>
    <w:rsid w:val="001C6808"/>
    <w:rsid w:val="001D1DA3"/>
    <w:rsid w:val="001E0C12"/>
    <w:rsid w:val="001E7030"/>
    <w:rsid w:val="002041FB"/>
    <w:rsid w:val="002121FA"/>
    <w:rsid w:val="002218B7"/>
    <w:rsid w:val="002503DF"/>
    <w:rsid w:val="00254C7F"/>
    <w:rsid w:val="00256BFC"/>
    <w:rsid w:val="0026172A"/>
    <w:rsid w:val="002634C4"/>
    <w:rsid w:val="0028421D"/>
    <w:rsid w:val="00287AC6"/>
    <w:rsid w:val="00291DE7"/>
    <w:rsid w:val="002928D3"/>
    <w:rsid w:val="00296763"/>
    <w:rsid w:val="002A2B17"/>
    <w:rsid w:val="002B56DC"/>
    <w:rsid w:val="002F044C"/>
    <w:rsid w:val="002F1FE6"/>
    <w:rsid w:val="002F4E68"/>
    <w:rsid w:val="002F5177"/>
    <w:rsid w:val="00300EEF"/>
    <w:rsid w:val="0030631C"/>
    <w:rsid w:val="00312F7F"/>
    <w:rsid w:val="003228B7"/>
    <w:rsid w:val="00332626"/>
    <w:rsid w:val="00336395"/>
    <w:rsid w:val="003508A3"/>
    <w:rsid w:val="00352F9C"/>
    <w:rsid w:val="00363D8A"/>
    <w:rsid w:val="00365244"/>
    <w:rsid w:val="003673CF"/>
    <w:rsid w:val="00375502"/>
    <w:rsid w:val="003845C1"/>
    <w:rsid w:val="00390593"/>
    <w:rsid w:val="00394DB4"/>
    <w:rsid w:val="00397E7C"/>
    <w:rsid w:val="003A6F89"/>
    <w:rsid w:val="003B0C90"/>
    <w:rsid w:val="003B212B"/>
    <w:rsid w:val="003B38C1"/>
    <w:rsid w:val="003B5FF6"/>
    <w:rsid w:val="003B6155"/>
    <w:rsid w:val="003D352A"/>
    <w:rsid w:val="003E3762"/>
    <w:rsid w:val="003E5AD2"/>
    <w:rsid w:val="003F4808"/>
    <w:rsid w:val="00404F01"/>
    <w:rsid w:val="00407DB0"/>
    <w:rsid w:val="00421A8C"/>
    <w:rsid w:val="00423E3E"/>
    <w:rsid w:val="00427AF4"/>
    <w:rsid w:val="004400E2"/>
    <w:rsid w:val="00455A97"/>
    <w:rsid w:val="00461632"/>
    <w:rsid w:val="004647CE"/>
    <w:rsid w:val="004647DA"/>
    <w:rsid w:val="00474062"/>
    <w:rsid w:val="00477D6B"/>
    <w:rsid w:val="00481C21"/>
    <w:rsid w:val="004D39C4"/>
    <w:rsid w:val="004D6B98"/>
    <w:rsid w:val="00501996"/>
    <w:rsid w:val="00520C51"/>
    <w:rsid w:val="0052246E"/>
    <w:rsid w:val="0053057A"/>
    <w:rsid w:val="00530C32"/>
    <w:rsid w:val="00537200"/>
    <w:rsid w:val="00547077"/>
    <w:rsid w:val="0055555F"/>
    <w:rsid w:val="00560A29"/>
    <w:rsid w:val="005858EF"/>
    <w:rsid w:val="005927EA"/>
    <w:rsid w:val="005933CE"/>
    <w:rsid w:val="00594D27"/>
    <w:rsid w:val="00596435"/>
    <w:rsid w:val="005C7DBE"/>
    <w:rsid w:val="005E7070"/>
    <w:rsid w:val="00601760"/>
    <w:rsid w:val="00605827"/>
    <w:rsid w:val="00606617"/>
    <w:rsid w:val="00606EFD"/>
    <w:rsid w:val="00616C07"/>
    <w:rsid w:val="0062624F"/>
    <w:rsid w:val="00626925"/>
    <w:rsid w:val="00631FAB"/>
    <w:rsid w:val="00640D02"/>
    <w:rsid w:val="00642EF6"/>
    <w:rsid w:val="00646050"/>
    <w:rsid w:val="006713CA"/>
    <w:rsid w:val="006724B3"/>
    <w:rsid w:val="00676C5C"/>
    <w:rsid w:val="00680820"/>
    <w:rsid w:val="00695558"/>
    <w:rsid w:val="006A168B"/>
    <w:rsid w:val="006D10FF"/>
    <w:rsid w:val="006D5E0F"/>
    <w:rsid w:val="006D7570"/>
    <w:rsid w:val="006E0CF8"/>
    <w:rsid w:val="006F77A7"/>
    <w:rsid w:val="007058FB"/>
    <w:rsid w:val="0071374C"/>
    <w:rsid w:val="00737591"/>
    <w:rsid w:val="00746B3B"/>
    <w:rsid w:val="00750D64"/>
    <w:rsid w:val="00751749"/>
    <w:rsid w:val="00752FB7"/>
    <w:rsid w:val="00757B8E"/>
    <w:rsid w:val="00782CAC"/>
    <w:rsid w:val="007926B3"/>
    <w:rsid w:val="007A0523"/>
    <w:rsid w:val="007A5253"/>
    <w:rsid w:val="007A5A3C"/>
    <w:rsid w:val="007B1494"/>
    <w:rsid w:val="007B6A58"/>
    <w:rsid w:val="007C50C7"/>
    <w:rsid w:val="007D1613"/>
    <w:rsid w:val="007D3779"/>
    <w:rsid w:val="007D6B1F"/>
    <w:rsid w:val="007E1FF2"/>
    <w:rsid w:val="007E3DA5"/>
    <w:rsid w:val="007E4CE2"/>
    <w:rsid w:val="00810030"/>
    <w:rsid w:val="008113F0"/>
    <w:rsid w:val="008309A6"/>
    <w:rsid w:val="00836240"/>
    <w:rsid w:val="0084202E"/>
    <w:rsid w:val="00842927"/>
    <w:rsid w:val="0085293F"/>
    <w:rsid w:val="00854C35"/>
    <w:rsid w:val="008631D7"/>
    <w:rsid w:val="00870957"/>
    <w:rsid w:val="00872DE7"/>
    <w:rsid w:val="00873EE5"/>
    <w:rsid w:val="00893D4F"/>
    <w:rsid w:val="00895E48"/>
    <w:rsid w:val="008A4E55"/>
    <w:rsid w:val="008B2CC1"/>
    <w:rsid w:val="008B4B5E"/>
    <w:rsid w:val="008B60B2"/>
    <w:rsid w:val="008D4A73"/>
    <w:rsid w:val="008E1FB8"/>
    <w:rsid w:val="008E6821"/>
    <w:rsid w:val="008F5291"/>
    <w:rsid w:val="0090731E"/>
    <w:rsid w:val="00916EE2"/>
    <w:rsid w:val="00932466"/>
    <w:rsid w:val="0094633C"/>
    <w:rsid w:val="00966A22"/>
    <w:rsid w:val="0096722F"/>
    <w:rsid w:val="00970275"/>
    <w:rsid w:val="00972AC4"/>
    <w:rsid w:val="00980843"/>
    <w:rsid w:val="00984991"/>
    <w:rsid w:val="00991EA8"/>
    <w:rsid w:val="009B7C3C"/>
    <w:rsid w:val="009C03FD"/>
    <w:rsid w:val="009C7F52"/>
    <w:rsid w:val="009D1613"/>
    <w:rsid w:val="009E2791"/>
    <w:rsid w:val="009E3F6F"/>
    <w:rsid w:val="009F3BF9"/>
    <w:rsid w:val="009F499F"/>
    <w:rsid w:val="00A02DD8"/>
    <w:rsid w:val="00A15A3F"/>
    <w:rsid w:val="00A17ACE"/>
    <w:rsid w:val="00A2056B"/>
    <w:rsid w:val="00A25668"/>
    <w:rsid w:val="00A348D7"/>
    <w:rsid w:val="00A42DAF"/>
    <w:rsid w:val="00A44776"/>
    <w:rsid w:val="00A45BD8"/>
    <w:rsid w:val="00A53C54"/>
    <w:rsid w:val="00A75CC7"/>
    <w:rsid w:val="00A778BF"/>
    <w:rsid w:val="00A85B8E"/>
    <w:rsid w:val="00A90C75"/>
    <w:rsid w:val="00AB6424"/>
    <w:rsid w:val="00AC205C"/>
    <w:rsid w:val="00AC2D71"/>
    <w:rsid w:val="00AE40E0"/>
    <w:rsid w:val="00AE6272"/>
    <w:rsid w:val="00AF5C73"/>
    <w:rsid w:val="00B05A69"/>
    <w:rsid w:val="00B05A9C"/>
    <w:rsid w:val="00B06A72"/>
    <w:rsid w:val="00B23D9A"/>
    <w:rsid w:val="00B264F6"/>
    <w:rsid w:val="00B3114B"/>
    <w:rsid w:val="00B35992"/>
    <w:rsid w:val="00B369AF"/>
    <w:rsid w:val="00B40598"/>
    <w:rsid w:val="00B412FA"/>
    <w:rsid w:val="00B50B99"/>
    <w:rsid w:val="00B55808"/>
    <w:rsid w:val="00B62CD9"/>
    <w:rsid w:val="00B66FBD"/>
    <w:rsid w:val="00B82A8B"/>
    <w:rsid w:val="00B9734B"/>
    <w:rsid w:val="00BA7D16"/>
    <w:rsid w:val="00BE3322"/>
    <w:rsid w:val="00BE5F67"/>
    <w:rsid w:val="00BF6479"/>
    <w:rsid w:val="00C11BFE"/>
    <w:rsid w:val="00C129E8"/>
    <w:rsid w:val="00C17B8A"/>
    <w:rsid w:val="00C25A2F"/>
    <w:rsid w:val="00C34132"/>
    <w:rsid w:val="00C76B53"/>
    <w:rsid w:val="00C76D97"/>
    <w:rsid w:val="00C94629"/>
    <w:rsid w:val="00C95B3F"/>
    <w:rsid w:val="00C95F1D"/>
    <w:rsid w:val="00CA0F9C"/>
    <w:rsid w:val="00CA4591"/>
    <w:rsid w:val="00CA5B35"/>
    <w:rsid w:val="00CA64CD"/>
    <w:rsid w:val="00CB7B01"/>
    <w:rsid w:val="00CC0FE9"/>
    <w:rsid w:val="00CC7117"/>
    <w:rsid w:val="00CD4CB7"/>
    <w:rsid w:val="00CD55BF"/>
    <w:rsid w:val="00CE0D07"/>
    <w:rsid w:val="00CE65D4"/>
    <w:rsid w:val="00CF3691"/>
    <w:rsid w:val="00CF3ADF"/>
    <w:rsid w:val="00D17E98"/>
    <w:rsid w:val="00D20BE6"/>
    <w:rsid w:val="00D2728B"/>
    <w:rsid w:val="00D36F9F"/>
    <w:rsid w:val="00D45252"/>
    <w:rsid w:val="00D46BA4"/>
    <w:rsid w:val="00D51EBF"/>
    <w:rsid w:val="00D71B4D"/>
    <w:rsid w:val="00D91DE5"/>
    <w:rsid w:val="00D93D55"/>
    <w:rsid w:val="00D94C36"/>
    <w:rsid w:val="00DB416C"/>
    <w:rsid w:val="00DC39AE"/>
    <w:rsid w:val="00DD62CB"/>
    <w:rsid w:val="00DE411E"/>
    <w:rsid w:val="00DE45E4"/>
    <w:rsid w:val="00E0391F"/>
    <w:rsid w:val="00E061FC"/>
    <w:rsid w:val="00E13E7B"/>
    <w:rsid w:val="00E161A2"/>
    <w:rsid w:val="00E1703C"/>
    <w:rsid w:val="00E2641C"/>
    <w:rsid w:val="00E26C3B"/>
    <w:rsid w:val="00E335FE"/>
    <w:rsid w:val="00E4347D"/>
    <w:rsid w:val="00E5021F"/>
    <w:rsid w:val="00E54605"/>
    <w:rsid w:val="00E57A45"/>
    <w:rsid w:val="00E671A6"/>
    <w:rsid w:val="00E8667D"/>
    <w:rsid w:val="00E868A5"/>
    <w:rsid w:val="00E919F6"/>
    <w:rsid w:val="00EB61DD"/>
    <w:rsid w:val="00EC1AEA"/>
    <w:rsid w:val="00EC4180"/>
    <w:rsid w:val="00EC4E49"/>
    <w:rsid w:val="00ED36C4"/>
    <w:rsid w:val="00ED77FB"/>
    <w:rsid w:val="00EE6640"/>
    <w:rsid w:val="00F021A6"/>
    <w:rsid w:val="00F11D94"/>
    <w:rsid w:val="00F1294E"/>
    <w:rsid w:val="00F1627C"/>
    <w:rsid w:val="00F44C13"/>
    <w:rsid w:val="00F515C1"/>
    <w:rsid w:val="00F5644F"/>
    <w:rsid w:val="00F66152"/>
    <w:rsid w:val="00F710C9"/>
    <w:rsid w:val="00F918BD"/>
    <w:rsid w:val="00FA3BBC"/>
    <w:rsid w:val="00FA7EAE"/>
    <w:rsid w:val="00FB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1F7FC"/>
  <w15:docId w15:val="{867DFA58-2D89-4A18-8D44-1B9FD0BA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FF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87095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70957"/>
    <w:rPr>
      <w:color w:val="0000FF" w:themeColor="hyperlink"/>
      <w:u w:val="single"/>
    </w:rPr>
  </w:style>
  <w:style w:type="paragraph" w:customStyle="1" w:styleId="Default">
    <w:name w:val="Default"/>
    <w:uiPriority w:val="99"/>
    <w:rsid w:val="0087095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ndofdocument">
    <w:name w:val="End of document"/>
    <w:basedOn w:val="Normal"/>
    <w:rsid w:val="0087095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Revision">
    <w:name w:val="Revision"/>
    <w:hidden/>
    <w:uiPriority w:val="99"/>
    <w:semiHidden/>
    <w:rsid w:val="00EB61DD"/>
    <w:rPr>
      <w:rFonts w:ascii="Arial" w:eastAsia="SimSun" w:hAnsi="Arial" w:cs="Arial"/>
      <w:sz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4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F52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2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291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5291"/>
    <w:rPr>
      <w:rFonts w:ascii="Arial" w:eastAsia="SimSun" w:hAnsi="Arial" w:cs="Arial"/>
      <w:b/>
      <w:bCs/>
      <w:sz w:val="18"/>
      <w:lang w:val="ru-RU" w:eastAsia="zh-CN"/>
    </w:rPr>
  </w:style>
  <w:style w:type="paragraph" w:styleId="BalloonText">
    <w:name w:val="Balloon Text"/>
    <w:basedOn w:val="Normal"/>
    <w:link w:val="BalloonTextChar"/>
    <w:semiHidden/>
    <w:unhideWhenUsed/>
    <w:rsid w:val="00631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1FAB"/>
    <w:rPr>
      <w:rFonts w:ascii="Segoe UI" w:eastAsia="SimSun" w:hAnsi="Segoe UI" w:cs="Segoe UI"/>
      <w:sz w:val="18"/>
      <w:szCs w:val="18"/>
      <w:lang w:val="ru-RU" w:eastAsia="zh-CN"/>
    </w:rPr>
  </w:style>
  <w:style w:type="character" w:styleId="FollowedHyperlink">
    <w:name w:val="FollowedHyperlink"/>
    <w:basedOn w:val="DefaultParagraphFont"/>
    <w:semiHidden/>
    <w:unhideWhenUsed/>
    <w:rsid w:val="006D757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4CE2"/>
    <w:rPr>
      <w:rFonts w:ascii="Arial" w:eastAsia="SimSun" w:hAnsi="Arial" w:cs="Arial"/>
      <w:sz w:val="18"/>
      <w:lang w:val="ru-RU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E4CE2"/>
    <w:rPr>
      <w:rFonts w:ascii="Arial" w:eastAsia="SimSun" w:hAnsi="Arial" w:cs="Arial"/>
      <w:sz w:val="22"/>
      <w:lang w:val="ru-RU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E4CE2"/>
    <w:rPr>
      <w:vertAlign w:val="superscript"/>
    </w:rPr>
  </w:style>
  <w:style w:type="paragraph" w:customStyle="1" w:styleId="pf0">
    <w:name w:val="pf0"/>
    <w:basedOn w:val="Normal"/>
    <w:rsid w:val="007E4C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f01">
    <w:name w:val="cf01"/>
    <w:basedOn w:val="DefaultParagraphFont"/>
    <w:rsid w:val="007E4CE2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7E4C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4C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7CD2-244D-4E3A-8B0E-FF14BDB7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1619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SCCR/43/SUMMARY</vt:lpstr>
    </vt:vector>
  </TitlesOfParts>
  <Company>WIPO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SCCR/43/SUMMARY</dc:title>
  <dc:creator>HAIZEL Francesca</dc:creator>
  <cp:keywords>FOR OFFICIAL USE ONLY</cp:keywords>
  <cp:lastModifiedBy>HAIZEL Francesca</cp:lastModifiedBy>
  <cp:revision>2</cp:revision>
  <cp:lastPrinted>2011-02-15T11:56:00Z</cp:lastPrinted>
  <dcterms:created xsi:type="dcterms:W3CDTF">2024-04-30T15:28:00Z</dcterms:created>
  <dcterms:modified xsi:type="dcterms:W3CDTF">2024-04-30T15:28:00Z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2024-04-22T18:24:11Z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20c89082-9ebe-41ef-8a12-b8df9f87d80f</vt:lpwstr>
  </property>
  <property fmtid="{D5CDD505-2E9C-101B-9397-08002B2CF9AE}" pid="14" name="MSIP_Label_bfc084f7-b690-4c43-8ee6-d475b6d3461d_ContentBits">
    <vt:lpwstr>2</vt:lpwstr>
  </property>
</Properties>
</file>