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C9C3" w14:textId="77777777" w:rsidR="00A35FEC" w:rsidRDefault="00103987">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6811F6F2" wp14:editId="143B946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67D500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9E8F0DE" w14:textId="0625D160" w:rsidR="00A35FEC" w:rsidRPr="00D068FC" w:rsidRDefault="00103987">
      <w:pPr>
        <w:bidi w:val="0"/>
        <w:rPr>
          <w:rFonts w:ascii="Arial Black" w:hAnsi="Arial Black"/>
          <w:b/>
          <w:bCs/>
          <w:caps/>
          <w:sz w:val="15"/>
          <w:szCs w:val="15"/>
        </w:rPr>
      </w:pPr>
      <w:r w:rsidRPr="00D068FC">
        <w:rPr>
          <w:rFonts w:ascii="Arial Black" w:hAnsi="Arial Black"/>
          <w:b/>
          <w:bCs/>
          <w:caps/>
          <w:sz w:val="15"/>
          <w:szCs w:val="15"/>
        </w:rPr>
        <w:t>H/</w:t>
      </w:r>
      <w:r w:rsidR="00FB3C59" w:rsidRPr="00D068FC">
        <w:rPr>
          <w:rFonts w:ascii="Arial Black" w:hAnsi="Arial Black"/>
          <w:b/>
          <w:bCs/>
          <w:caps/>
          <w:sz w:val="15"/>
          <w:szCs w:val="15"/>
        </w:rPr>
        <w:t>A/4</w:t>
      </w:r>
      <w:r w:rsidR="00CC7D6F">
        <w:rPr>
          <w:rFonts w:ascii="Arial Black" w:hAnsi="Arial Black"/>
          <w:b/>
          <w:bCs/>
          <w:caps/>
          <w:sz w:val="15"/>
          <w:szCs w:val="15"/>
        </w:rPr>
        <w:t>5</w:t>
      </w:r>
      <w:r w:rsidR="00FB3C59" w:rsidRPr="00D068FC">
        <w:rPr>
          <w:rFonts w:ascii="Arial Black" w:hAnsi="Arial Black"/>
          <w:b/>
          <w:bCs/>
          <w:caps/>
          <w:sz w:val="15"/>
          <w:szCs w:val="15"/>
        </w:rPr>
        <w:t>/1</w:t>
      </w:r>
    </w:p>
    <w:p w14:paraId="186D42E0" w14:textId="77777777" w:rsidR="00A35FEC" w:rsidRPr="00D068FC" w:rsidRDefault="00103987">
      <w:pPr>
        <w:jc w:val="right"/>
        <w:rPr>
          <w:rFonts w:asciiTheme="minorHAnsi" w:hAnsiTheme="minorHAnsi" w:cstheme="minorHAnsi"/>
          <w:b/>
          <w:bCs/>
          <w:caps/>
          <w:sz w:val="15"/>
          <w:szCs w:val="15"/>
        </w:rPr>
      </w:pPr>
      <w:bookmarkStart w:id="0" w:name="Original"/>
      <w:r w:rsidRPr="00D068FC">
        <w:rPr>
          <w:rFonts w:asciiTheme="minorHAnsi" w:hAnsiTheme="minorHAnsi" w:cstheme="minorHAnsi" w:hint="cs"/>
          <w:b/>
          <w:bCs/>
          <w:caps/>
          <w:sz w:val="15"/>
          <w:szCs w:val="15"/>
          <w:rtl/>
        </w:rPr>
        <w:t>الأصل:</w:t>
      </w:r>
      <w:r w:rsidRPr="00D068FC">
        <w:rPr>
          <w:rFonts w:asciiTheme="minorHAnsi" w:hAnsiTheme="minorHAnsi" w:cstheme="minorHAnsi"/>
          <w:b/>
          <w:bCs/>
          <w:caps/>
          <w:sz w:val="15"/>
          <w:szCs w:val="15"/>
        </w:rPr>
        <w:t xml:space="preserve"> </w:t>
      </w:r>
      <w:r w:rsidRPr="00D068FC">
        <w:rPr>
          <w:rFonts w:ascii="Arial Black" w:hAnsi="Arial Black" w:hint="cs"/>
          <w:b/>
          <w:bCs/>
          <w:caps/>
          <w:sz w:val="15"/>
          <w:szCs w:val="15"/>
          <w:rtl/>
        </w:rPr>
        <w:t>بالإنكليزية</w:t>
      </w:r>
    </w:p>
    <w:p w14:paraId="32AB5721" w14:textId="5F5F33B0" w:rsidR="00A35FEC" w:rsidRPr="00CC7D6F" w:rsidRDefault="00103987">
      <w:pPr>
        <w:spacing w:after="1200"/>
        <w:jc w:val="right"/>
        <w:rPr>
          <w:rFonts w:asciiTheme="minorHAnsi" w:hAnsiTheme="minorHAnsi" w:cstheme="minorHAnsi"/>
          <w:b/>
          <w:bCs/>
          <w:caps/>
          <w:sz w:val="15"/>
          <w:szCs w:val="15"/>
          <w:rtl/>
          <w:lang w:bidi="ar-EG"/>
        </w:rPr>
      </w:pPr>
      <w:bookmarkStart w:id="1" w:name="Date"/>
      <w:bookmarkEnd w:id="0"/>
      <w:r w:rsidRPr="00CC7D6F">
        <w:rPr>
          <w:rFonts w:asciiTheme="minorHAnsi" w:hAnsiTheme="minorHAnsi" w:cstheme="minorHAnsi" w:hint="cs"/>
          <w:b/>
          <w:bCs/>
          <w:caps/>
          <w:sz w:val="15"/>
          <w:szCs w:val="15"/>
          <w:rtl/>
        </w:rPr>
        <w:t>التاريخ:</w:t>
      </w:r>
      <w:r w:rsidR="00CC7D6F" w:rsidRPr="00CC7D6F">
        <w:rPr>
          <w:rFonts w:asciiTheme="minorHAnsi" w:hAnsiTheme="minorHAnsi" w:cstheme="minorHAnsi" w:hint="cs"/>
          <w:b/>
          <w:bCs/>
          <w:caps/>
          <w:sz w:val="15"/>
          <w:szCs w:val="15"/>
          <w:rtl/>
        </w:rPr>
        <w:t xml:space="preserve"> 7 أبريل 2025</w:t>
      </w:r>
    </w:p>
    <w:p w14:paraId="723A58F6" w14:textId="20B5FD6C" w:rsidR="00A35FEC" w:rsidRDefault="00FB3C59">
      <w:pPr>
        <w:pStyle w:val="Heading1"/>
        <w:rPr>
          <w:rtl/>
          <w:lang w:eastAsia="en-US"/>
        </w:rPr>
      </w:pPr>
      <w:bookmarkStart w:id="2" w:name="_Hlk164953488"/>
      <w:bookmarkEnd w:id="1"/>
      <w:r>
        <w:rPr>
          <w:rFonts w:hint="cs"/>
          <w:rtl/>
          <w:lang w:eastAsia="en-US"/>
        </w:rPr>
        <w:t>الاتحاد الخاص للإيداع الدولي</w:t>
      </w:r>
      <w:r>
        <w:rPr>
          <w:rtl/>
          <w:lang w:eastAsia="en-US"/>
        </w:rPr>
        <w:t xml:space="preserve"> </w:t>
      </w:r>
      <w:r>
        <w:rPr>
          <w:rFonts w:hint="eastAsia"/>
          <w:rtl/>
          <w:lang w:eastAsia="en-US"/>
        </w:rPr>
        <w:t>للتصاميم</w:t>
      </w:r>
      <w:r>
        <w:rPr>
          <w:rtl/>
          <w:lang w:eastAsia="en-US"/>
        </w:rPr>
        <w:t xml:space="preserve"> </w:t>
      </w:r>
      <w:r>
        <w:rPr>
          <w:rFonts w:hint="eastAsia"/>
          <w:rtl/>
          <w:lang w:eastAsia="en-US"/>
        </w:rPr>
        <w:t>الصناعية</w:t>
      </w:r>
      <w:r>
        <w:rPr>
          <w:rFonts w:hint="cs"/>
          <w:rtl/>
          <w:lang w:eastAsia="en-US"/>
        </w:rPr>
        <w:t xml:space="preserve"> </w:t>
      </w:r>
      <w:bookmarkEnd w:id="2"/>
      <w:r>
        <w:rPr>
          <w:rFonts w:hint="cs"/>
          <w:rtl/>
          <w:lang w:eastAsia="en-US"/>
        </w:rPr>
        <w:t>(اتحاد لاهاي)</w:t>
      </w:r>
    </w:p>
    <w:p w14:paraId="61A77155" w14:textId="77777777" w:rsidR="00FB3C59" w:rsidRPr="002C7AC1" w:rsidRDefault="00FB3C59" w:rsidP="00FB3C59">
      <w:pPr>
        <w:keepNext/>
        <w:spacing w:after="480"/>
        <w:outlineLvl w:val="0"/>
        <w:rPr>
          <w:b/>
          <w:bCs/>
          <w:caps/>
          <w:kern w:val="32"/>
          <w:sz w:val="32"/>
          <w:szCs w:val="32"/>
          <w:lang w:eastAsia="en-US"/>
        </w:rPr>
      </w:pPr>
      <w:r>
        <w:rPr>
          <w:rFonts w:hint="cs"/>
          <w:b/>
          <w:bCs/>
          <w:caps/>
          <w:kern w:val="32"/>
          <w:sz w:val="32"/>
          <w:szCs w:val="32"/>
          <w:rtl/>
          <w:lang w:eastAsia="en-US"/>
        </w:rPr>
        <w:t>الجمعية</w:t>
      </w:r>
    </w:p>
    <w:p w14:paraId="4373DC9D" w14:textId="401F381B" w:rsidR="00A35FEC" w:rsidRDefault="00CC7D6F">
      <w:pPr>
        <w:outlineLvl w:val="1"/>
        <w:rPr>
          <w:rFonts w:asciiTheme="minorHAnsi" w:hAnsiTheme="minorHAnsi"/>
          <w:bCs/>
          <w:sz w:val="24"/>
          <w:szCs w:val="24"/>
        </w:rPr>
      </w:pPr>
      <w:r w:rsidRPr="00CC7D6F">
        <w:rPr>
          <w:rFonts w:asciiTheme="minorHAnsi" w:hAnsiTheme="minorHAnsi"/>
          <w:bCs/>
          <w:sz w:val="24"/>
          <w:szCs w:val="24"/>
          <w:rtl/>
        </w:rPr>
        <w:t>الدورة الخامسة والأربعون (الدورة العادية الخامسة والعشرون)</w:t>
      </w:r>
    </w:p>
    <w:p w14:paraId="4EE347A1" w14:textId="09F53BF0" w:rsidR="00A35FEC" w:rsidRDefault="00CC7D6F">
      <w:pPr>
        <w:spacing w:after="720"/>
        <w:outlineLvl w:val="1"/>
        <w:rPr>
          <w:rFonts w:asciiTheme="minorHAnsi" w:eastAsia="Times New Roman" w:hAnsiTheme="minorHAnsi" w:cstheme="minorHAnsi"/>
          <w:bCs/>
          <w:sz w:val="24"/>
          <w:szCs w:val="24"/>
          <w:lang w:eastAsia="en-US"/>
        </w:rPr>
      </w:pPr>
      <w:r w:rsidRPr="00CC7D6F">
        <w:rPr>
          <w:rFonts w:asciiTheme="minorHAnsi" w:eastAsia="Times New Roman" w:hAnsiTheme="minorHAnsi"/>
          <w:bCs/>
          <w:sz w:val="24"/>
          <w:szCs w:val="24"/>
          <w:rtl/>
          <w:lang w:eastAsia="en-US"/>
        </w:rPr>
        <w:t>جنيف، من 8 إلى 17 يوليو 2025</w:t>
      </w:r>
    </w:p>
    <w:p w14:paraId="003FC81B" w14:textId="012159E4" w:rsidR="00A35FEC" w:rsidRDefault="00CC7D6F">
      <w:pPr>
        <w:spacing w:after="360"/>
        <w:outlineLvl w:val="0"/>
        <w:rPr>
          <w:caps/>
          <w:sz w:val="24"/>
          <w:rtl/>
        </w:rPr>
      </w:pPr>
      <w:r w:rsidRPr="00CC7D6F">
        <w:rPr>
          <w:caps/>
          <w:sz w:val="24"/>
          <w:szCs w:val="24"/>
          <w:rtl/>
          <w:lang w:bidi="ar-SY"/>
        </w:rPr>
        <w:t>المشاركة في خدمة الويبو للنفاذ الرقمي (</w:t>
      </w:r>
      <w:r w:rsidRPr="00CC7D6F">
        <w:rPr>
          <w:caps/>
          <w:sz w:val="24"/>
          <w:szCs w:val="24"/>
          <w:lang w:bidi="ar-SY"/>
        </w:rPr>
        <w:t>DAS</w:t>
      </w:r>
      <w:r w:rsidRPr="00CC7D6F">
        <w:rPr>
          <w:caps/>
          <w:sz w:val="24"/>
          <w:szCs w:val="24"/>
          <w:rtl/>
          <w:lang w:bidi="ar-SY"/>
        </w:rPr>
        <w:t>)</w:t>
      </w:r>
    </w:p>
    <w:p w14:paraId="29EC5467" w14:textId="50B921F5" w:rsidR="00A35FEC" w:rsidRDefault="00103987">
      <w:pPr>
        <w:rPr>
          <w:rFonts w:asciiTheme="minorHAnsi" w:hAnsiTheme="minorHAnsi" w:cstheme="minorHAnsi"/>
          <w:iCs/>
          <w:rtl/>
          <w:lang w:val="fr-CH"/>
        </w:rPr>
      </w:pPr>
      <w:r>
        <w:rPr>
          <w:rFonts w:asciiTheme="minorHAnsi" w:hAnsiTheme="minorHAnsi" w:cstheme="minorHAnsi" w:hint="cs"/>
          <w:iCs/>
          <w:rtl/>
          <w:lang w:bidi="ar-EG"/>
        </w:rPr>
        <w:t xml:space="preserve">وثيقة </w:t>
      </w:r>
      <w:r>
        <w:rPr>
          <w:rFonts w:asciiTheme="minorHAnsi" w:hAnsiTheme="minorHAnsi" w:cstheme="minorHAnsi"/>
          <w:iCs/>
          <w:rtl/>
        </w:rPr>
        <w:t>من إعداد</w:t>
      </w:r>
      <w:r>
        <w:rPr>
          <w:rFonts w:hint="cs"/>
          <w:iCs/>
          <w:rtl/>
        </w:rPr>
        <w:t xml:space="preserve"> </w:t>
      </w:r>
      <w:r w:rsidR="00FB3C59">
        <w:rPr>
          <w:rFonts w:hint="cs"/>
          <w:iCs/>
          <w:rtl/>
        </w:rPr>
        <w:t>الأمانة</w:t>
      </w:r>
    </w:p>
    <w:p w14:paraId="6A6ECDC8" w14:textId="77777777" w:rsidR="00A35FEC" w:rsidRDefault="00A35FEC">
      <w:pPr>
        <w:pStyle w:val="ONUMA"/>
        <w:numPr>
          <w:ilvl w:val="0"/>
          <w:numId w:val="0"/>
        </w:numPr>
        <w:rPr>
          <w:rFonts w:eastAsia="SimSun"/>
        </w:rPr>
      </w:pPr>
    </w:p>
    <w:p w14:paraId="37D95C21" w14:textId="77777777" w:rsidR="00A35FEC" w:rsidRDefault="00103987">
      <w:pPr>
        <w:pStyle w:val="Heading2"/>
        <w:rPr>
          <w:rtl/>
        </w:rPr>
      </w:pPr>
      <w:r>
        <w:rPr>
          <w:rFonts w:hint="cs"/>
          <w:rtl/>
        </w:rPr>
        <w:t>معلومات أساسية</w:t>
      </w:r>
    </w:p>
    <w:p w14:paraId="3BAA0989" w14:textId="55A68B5D" w:rsidR="00CC7D6F" w:rsidRPr="007D024D" w:rsidRDefault="00CC7D6F" w:rsidP="00D82D71">
      <w:pPr>
        <w:pStyle w:val="ONUME"/>
        <w:rPr>
          <w:rtl/>
        </w:rPr>
      </w:pPr>
      <w:r>
        <w:rPr>
          <w:rFonts w:hint="cs"/>
          <w:rtl/>
        </w:rPr>
        <w:t xml:space="preserve">في دورته الثالثة عشرة المعقودة في الفترة من 21 إلى 23 أكتوبر 2024، نظر الفريق العامل المعني بالتطوير القانوني لنظام لاهاي للتسجيل الدولي للتصاميم الصناعية (المشار إليه فيما يلي باسم "الفريق العامل")، بالاستناد إلى الوثيقة </w:t>
      </w:r>
      <w:r>
        <w:t>H/LD/WG/13/2</w:t>
      </w:r>
      <w:r>
        <w:rPr>
          <w:rFonts w:hint="cs"/>
          <w:rtl/>
        </w:rPr>
        <w:t>، بشكل إيجابي في تقديم توصية تتعلق بخدمة الويبو للنفاذ الرقمي (المشار إليها فيما يلي باسم "خدمة النفاذ الرقمي") لاعتمادها من قبل جمعية اتحاد لاهاي (المشار إليها فيما يلي باسم "الجمعية")</w:t>
      </w:r>
      <w:r w:rsidRPr="00B2223C">
        <w:rPr>
          <w:rStyle w:val="FootnoteReference"/>
        </w:rPr>
        <w:footnoteReference w:id="2"/>
      </w:r>
      <w:r>
        <w:rPr>
          <w:rFonts w:hint="cs"/>
          <w:rtl/>
        </w:rPr>
        <w:t>.</w:t>
      </w:r>
    </w:p>
    <w:p w14:paraId="01CB031F" w14:textId="098A3BF8" w:rsidR="00CC7D6F" w:rsidRDefault="00CC7D6F" w:rsidP="00CC7D6F">
      <w:pPr>
        <w:pStyle w:val="ONUME"/>
      </w:pPr>
      <w:r>
        <w:rPr>
          <w:rFonts w:hint="cs"/>
          <w:rtl/>
        </w:rPr>
        <w:t>عملاً بالمادة 6(1) من وثيقة جنيف (1999) لاتفاق لاهاي بشأن التسجيل الدولي للتصاميم الصناعية (المشار إليها فيما يلي باسم "وثيقة جنيف")، يجوز أن يحتوي الطلب الدولي على إقرار يطالب فيه، بناء على المادة 4 من اتفاقية باريس لحماية الملكية الصناعية (المشار إليها فيما يلي باسم "اتفاقية باريس")، بأولوية طلب سابق واحد أو أكثر مودع في أحد البلدان الأطراف في تلك الاتفاقية أو أحد أعضاء منظمة التجارة العالمية أو بالنسبة إلى ذلك البلد أو العضو ("المطالبة بالأولوية").  وتشترط القاعدة 7(5)(ج) من اللائحة التنظيمية لوثيقة جنيف على المودعين الراغبين في الاستفادة من هذه الأولوية فقط أن يدرجوا في الطلب الدولي إقراراً بالمطالبة بأولوية ، إلى جانب البيانات اللازمة لتحديد الإيداع السابق.  ولا ينظم الإطار القانوني لاتفاق لاهاي مسألة تقديم نسخة من الإيداع السابق ("وثيقة الأولوية") إلى مكاتب الأطراف المتعاقدة المعينة</w:t>
      </w:r>
      <w:r>
        <w:rPr>
          <w:rStyle w:val="FootnoteReference"/>
        </w:rPr>
        <w:footnoteReference w:id="3"/>
      </w:r>
      <w:r>
        <w:rPr>
          <w:rFonts w:hint="cs"/>
          <w:rtl/>
        </w:rPr>
        <w:t>.</w:t>
      </w:r>
    </w:p>
    <w:p w14:paraId="135D8E12" w14:textId="071FF2CD" w:rsidR="00BC2F1F" w:rsidRDefault="00BC2F1F">
      <w:pPr>
        <w:bidi w:val="0"/>
        <w:rPr>
          <w:rtl/>
        </w:rPr>
      </w:pPr>
      <w:r>
        <w:rPr>
          <w:rtl/>
        </w:rPr>
        <w:br w:type="page"/>
      </w:r>
    </w:p>
    <w:p w14:paraId="628D71E2" w14:textId="3C9F5095" w:rsidR="00BC2F1F" w:rsidRDefault="00D82D71" w:rsidP="0069710D">
      <w:pPr>
        <w:pStyle w:val="ONUME"/>
      </w:pPr>
      <w:r>
        <w:rPr>
          <w:rFonts w:hint="cs"/>
          <w:rtl/>
        </w:rPr>
        <w:lastRenderedPageBreak/>
        <w:t>ورغم ذلك، أبلغ عدد متزايد من الأطراف المتعاقدة المكتب الدولي أنهم يطلبون تقديم وثيقة الأولوية مباشرة لهم في حال احتوى الطلب الدولي الذي تم تعيينهم فيه على مطالبة بالأولوية</w:t>
      </w:r>
      <w:r w:rsidR="00BC2F1F">
        <w:rPr>
          <w:rStyle w:val="FootnoteReference"/>
          <w:rtl/>
        </w:rPr>
        <w:footnoteReference w:id="4"/>
      </w:r>
      <w:r w:rsidR="00BC2F1F">
        <w:rPr>
          <w:rFonts w:hint="cs"/>
          <w:rtl/>
        </w:rPr>
        <w:t>.</w:t>
      </w:r>
    </w:p>
    <w:p w14:paraId="062AE967" w14:textId="19C62BDD" w:rsidR="00D82D71" w:rsidRPr="00712A10" w:rsidRDefault="00D82D71" w:rsidP="0069710D">
      <w:pPr>
        <w:pStyle w:val="ONUME"/>
        <w:rPr>
          <w:rtl/>
        </w:rPr>
      </w:pPr>
      <w:r>
        <w:rPr>
          <w:rFonts w:hint="cs"/>
          <w:rtl/>
        </w:rPr>
        <w:t>وفي هذا السياق، من المهم التذكير بأن الإيداع والإدارة المركزيين للتسجيل الدولي هما من المبادئ الأساسية لنظام لاهاي، وميزتان هامتان للمستخدمين.  ولذلك، يبدو أن تقديم الوثائق الإضافية مباشرة للمكاتب يتعارض مع روح نظام لاهاي ويشكل عبئاً وتكاليفاً إضافية على مستخدميه</w:t>
      </w:r>
      <w:r>
        <w:rPr>
          <w:rStyle w:val="FootnoteReference"/>
        </w:rPr>
        <w:footnoteReference w:id="5"/>
      </w:r>
      <w:r>
        <w:rPr>
          <w:rFonts w:hint="cs"/>
          <w:rtl/>
        </w:rPr>
        <w:t>.</w:t>
      </w:r>
    </w:p>
    <w:p w14:paraId="3748D5C2" w14:textId="76227F72" w:rsidR="00D82D71" w:rsidRDefault="00D82D71" w:rsidP="00D82D71">
      <w:pPr>
        <w:pStyle w:val="ONUME"/>
        <w:tabs>
          <w:tab w:val="left" w:pos="2430"/>
        </w:tabs>
        <w:rPr>
          <w:rtl/>
        </w:rPr>
      </w:pPr>
      <w:r>
        <w:rPr>
          <w:rFonts w:hint="cs"/>
          <w:rtl/>
        </w:rPr>
        <w:t>ولمعالجة النقاط المذكورة أعلاه، شجّع الفريق العامل مكاتب الأطراف المتعاقدة على المشاركة في خدمة النفاذ الرقمي فيما يتعلق بوثائق الأولوية لطلبات التصاميم، ووافق على إضفاء طابع رسمي على ذلك عن طريق توصية من جمعية اتحاد لاهاي</w:t>
      </w:r>
      <w:r>
        <w:rPr>
          <w:rStyle w:val="FootnoteReference"/>
          <w:lang w:eastAsia="en-US"/>
        </w:rPr>
        <w:footnoteReference w:id="6"/>
      </w:r>
      <w:r>
        <w:rPr>
          <w:rFonts w:hint="cs"/>
          <w:rtl/>
        </w:rPr>
        <w:t>.  وعلى وجه الخصوص، ينبغي على المكاتب التي تطلب بشكل منهجي وثيقة الأولوية إن كان التسجيل الدولي يتضمن مطالبة بالأولوية، أن تنظر جدياً في المشاركة في خدمة النفاذ الرقمي بوصفها "مكتب نفاذ"</w:t>
      </w:r>
      <w:r>
        <w:rPr>
          <w:rStyle w:val="FootnoteReference"/>
        </w:rPr>
        <w:footnoteReference w:id="7"/>
      </w:r>
      <w:r>
        <w:rPr>
          <w:rFonts w:hint="cs"/>
          <w:rtl/>
        </w:rPr>
        <w:t xml:space="preserve">. </w:t>
      </w:r>
    </w:p>
    <w:p w14:paraId="003D35F1" w14:textId="5FE45123" w:rsidR="00D82D71" w:rsidRPr="009E18A4" w:rsidRDefault="00D82D71" w:rsidP="00D82D71">
      <w:pPr>
        <w:pStyle w:val="ONUME"/>
        <w:rPr>
          <w:rtl/>
        </w:rPr>
      </w:pPr>
      <w:r>
        <w:rPr>
          <w:rFonts w:hint="cs"/>
          <w:rtl/>
        </w:rPr>
        <w:t>خدمة الويبو للنفاذ الرقمي (</w:t>
      </w:r>
      <w:r>
        <w:t>DAS</w:t>
      </w:r>
      <w:r>
        <w:rPr>
          <w:rFonts w:hint="cs"/>
          <w:rtl/>
        </w:rPr>
        <w:t>) هي خدمة إلكترونية تسمح بتبادل وثائق الأولوية بأمان بين مكاتب الملكية الفكرية المشاركة.</w:t>
      </w:r>
      <w:r>
        <w:rPr>
          <w:rFonts w:hint="cs"/>
          <w:color w:val="000000"/>
          <w:rtl/>
        </w:rPr>
        <w:t xml:space="preserve">  ومن المعروف أن الخدمة هي الأداة الأكثر كفاءة لتبادل وثائق الأولوية بين المكاتب، ويمكن أن تخفف العبء على المكاتب والمستخدمين في تقديم الوثائق وتبادلها.  </w:t>
      </w:r>
      <w:r>
        <w:rPr>
          <w:rFonts w:hint="cs"/>
          <w:rtl/>
        </w:rPr>
        <w:t xml:space="preserve">ويمكن للمكاتب تنفيذ خدمة النفاذ الرقمي بسهولة نسبية بالاستفادة من "بوابة المكاتب لخدمة النفاذ الرقمي" التي تمكنها من تحميل الوثائق وتنزيلها عبر واجهة إلكترونية دون الحاجة إلى أي تعديلات على نظم تكنولوجيا المعلومات الداخلية للمكاتب.  ويمكن للمكاتب أن تنضم إلى خدمة النفاذ الرقمي عن طريق إرسال إخطار إلى المكتب الدولي، ووضع الإجراءات التشغيلية اللازمة للسماح لمودعي الطلبات بالاستفادة من الخدمة.  </w:t>
      </w:r>
      <w:r>
        <w:rPr>
          <w:rFonts w:hint="cs"/>
          <w:color w:val="000000"/>
          <w:rtl/>
        </w:rPr>
        <w:t>وحتى وقت نشر هذه الوثيقة، لم يكن هناك سوى 20 مكتباً مشاركاً في خدمة النفاذ الرقمي بشأن وثائق الأولوية لطلبات التصاميم، من أصل 82 مكتباً من الأطراف المتعاقدة في لاهاي</w:t>
      </w:r>
      <w:r>
        <w:rPr>
          <w:rStyle w:val="FootnoteReference"/>
          <w:color w:val="000000"/>
        </w:rPr>
        <w:footnoteReference w:id="8"/>
      </w:r>
      <w:r>
        <w:rPr>
          <w:rFonts w:hint="cs"/>
          <w:color w:val="000000"/>
          <w:rtl/>
        </w:rPr>
        <w:t>.</w:t>
      </w:r>
    </w:p>
    <w:p w14:paraId="7B9733CF" w14:textId="2CF6C963" w:rsidR="00FB3C59" w:rsidRDefault="00D82D71" w:rsidP="00FB3C59">
      <w:pPr>
        <w:pStyle w:val="Heading2"/>
        <w:rPr>
          <w:rtl/>
        </w:rPr>
      </w:pPr>
      <w:r w:rsidRPr="00D82D71">
        <w:rPr>
          <w:rtl/>
        </w:rPr>
        <w:t>الاقتراح</w:t>
      </w:r>
    </w:p>
    <w:p w14:paraId="6B89E259" w14:textId="77777777" w:rsidR="00D82D71" w:rsidRPr="00534A43" w:rsidRDefault="00D82D71" w:rsidP="00D82D71">
      <w:pPr>
        <w:pStyle w:val="ONUME"/>
        <w:rPr>
          <w:rtl/>
        </w:rPr>
      </w:pPr>
      <w:r>
        <w:rPr>
          <w:rFonts w:hint="cs"/>
          <w:rtl/>
        </w:rPr>
        <w:t>يقترح نص التوصية التالية لاعتمادها من قبل جمعية اتحاد لاهاي:</w:t>
      </w:r>
    </w:p>
    <w:p w14:paraId="7DCAB3F4" w14:textId="406B8F2E" w:rsidR="00D82D71" w:rsidRDefault="00D82D71" w:rsidP="00D82D71">
      <w:pPr>
        <w:pStyle w:val="BodyText"/>
        <w:ind w:left="562"/>
      </w:pPr>
      <w:r>
        <w:rPr>
          <w:rFonts w:hint="cs"/>
          <w:rtl/>
        </w:rPr>
        <w:t>"تُشجَّع مكاتب الأطراف المتعاقدة على المشاركة في خدمة الويبو للنفاذ الرقمي (</w:t>
      </w:r>
      <w:r>
        <w:t>WIPO DAS</w:t>
      </w:r>
      <w:r>
        <w:rPr>
          <w:rFonts w:hint="cs"/>
          <w:rtl/>
        </w:rPr>
        <w:t>) فيما يتعلق بوثائق الأولوية لطلبات التصاميم."</w:t>
      </w:r>
    </w:p>
    <w:p w14:paraId="47023582" w14:textId="77777777" w:rsidR="00D82D71" w:rsidRPr="003E082E" w:rsidRDefault="00D82D71" w:rsidP="00D82D71">
      <w:pPr>
        <w:pStyle w:val="ONUME"/>
        <w:rPr>
          <w:rtl/>
        </w:rPr>
      </w:pPr>
      <w:r>
        <w:rPr>
          <w:rFonts w:hint="cs"/>
          <w:rtl/>
        </w:rPr>
        <w:t>ويقترح اعتماد هذه التوصية بأثر فوري.  وفي حال اعتمدت جمعية اتحاد لاهاي هذه التوصية، فسيذكّر بها عن طريق حاشية تحريرية مقترنة بنص البند 408(أ) من التعليمات الإدارية لتطبيق اتفاق لاهاي</w:t>
      </w:r>
      <w:r>
        <w:rPr>
          <w:rStyle w:val="FootnoteReference"/>
        </w:rPr>
        <w:footnoteReference w:id="9"/>
      </w:r>
      <w:r>
        <w:rPr>
          <w:rFonts w:hint="cs"/>
          <w:rtl/>
        </w:rPr>
        <w:t xml:space="preserve">.  وعلاوة على ذلك، سيشير المكتب الدولي إلى تلك التوصية في مناقشات ما قبل الانضمام وما بعد الانضمام مع مكاتب الأطراف المتعاقدة التي لم تشارك بعد في خدمة الويبو للنفاذ الرقمي.  </w:t>
      </w:r>
    </w:p>
    <w:p w14:paraId="6FD18A55" w14:textId="397B5A4F" w:rsidR="00D82D71" w:rsidRPr="00D82D71" w:rsidRDefault="00D82D71" w:rsidP="00D82D71">
      <w:pPr>
        <w:pStyle w:val="ONUME"/>
        <w:ind w:left="5530"/>
        <w:rPr>
          <w:i/>
          <w:iCs/>
          <w:rtl/>
        </w:rPr>
      </w:pPr>
      <w:r w:rsidRPr="00D82D71">
        <w:rPr>
          <w:rFonts w:hint="cs"/>
          <w:i/>
          <w:iCs/>
          <w:rtl/>
        </w:rPr>
        <w:t>إن جمعية اتحاد لاهاي مدعوة إلى اعتماد التوصية الواردة في الفقرة 7 أعلاه، بأثر فوري.</w:t>
      </w:r>
    </w:p>
    <w:p w14:paraId="1F8262B8" w14:textId="4C5BBB06" w:rsidR="00A35FEC" w:rsidRDefault="00F969D5" w:rsidP="00D82D71">
      <w:pPr>
        <w:pStyle w:val="Endofdocument-Annex"/>
        <w:spacing w:before="480"/>
        <w:rPr>
          <w:rFonts w:asciiTheme="minorHAnsi" w:hAnsiTheme="minorHAnsi" w:cstheme="minorHAnsi"/>
        </w:rPr>
      </w:pPr>
      <w:r>
        <w:rPr>
          <w:rFonts w:asciiTheme="minorHAnsi" w:hAnsiTheme="minorHAnsi" w:cstheme="minorHAnsi"/>
          <w:rtl/>
        </w:rPr>
        <w:t>‏[</w:t>
      </w:r>
      <w:r>
        <w:rPr>
          <w:rFonts w:asciiTheme="minorHAnsi" w:hAnsiTheme="minorHAnsi" w:cstheme="minorHAnsi" w:hint="cs"/>
          <w:rtl/>
        </w:rPr>
        <w:t>نهاية</w:t>
      </w:r>
      <w:r w:rsidR="00D82D71">
        <w:rPr>
          <w:rFonts w:asciiTheme="minorHAnsi" w:hAnsiTheme="minorHAnsi" w:cstheme="minorHAnsi" w:hint="cs"/>
          <w:rtl/>
        </w:rPr>
        <w:t xml:space="preserve"> </w:t>
      </w:r>
      <w:r>
        <w:rPr>
          <w:rFonts w:asciiTheme="minorHAnsi" w:hAnsiTheme="minorHAnsi" w:cstheme="minorHAnsi" w:hint="cs"/>
          <w:rtl/>
        </w:rPr>
        <w:t>الوثيقة</w:t>
      </w:r>
      <w:r>
        <w:rPr>
          <w:rFonts w:asciiTheme="minorHAnsi" w:hAnsiTheme="minorHAnsi" w:cstheme="minorHAnsi"/>
          <w:rtl/>
        </w:rPr>
        <w:t>]</w:t>
      </w:r>
    </w:p>
    <w:sectPr w:rsidR="00A35FEC" w:rsidSect="00BC2F1F">
      <w:headerReference w:type="default" r:id="rId12"/>
      <w:endnotePr>
        <w:numFmt w:val="decimal"/>
      </w:endnotePr>
      <w:type w:val="continuous"/>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3F8B" w14:textId="77777777" w:rsidR="00CA0F03" w:rsidRDefault="00CA0F03">
      <w:r>
        <w:separator/>
      </w:r>
    </w:p>
  </w:endnote>
  <w:endnote w:type="continuationSeparator" w:id="0">
    <w:p w14:paraId="25E67DF7" w14:textId="77777777" w:rsidR="00CA0F03" w:rsidRDefault="00CA0F03">
      <w:r>
        <w:separator/>
      </w:r>
    </w:p>
    <w:p w14:paraId="167B2501" w14:textId="77777777" w:rsidR="00CA0F03" w:rsidRDefault="00CA0F03">
      <w:pPr>
        <w:spacing w:after="60"/>
        <w:rPr>
          <w:sz w:val="17"/>
        </w:rPr>
      </w:pPr>
      <w:r>
        <w:rPr>
          <w:sz w:val="17"/>
        </w:rPr>
        <w:t>[Endnote continued from previous page]</w:t>
      </w:r>
    </w:p>
  </w:endnote>
  <w:endnote w:type="continuationNotice" w:id="1">
    <w:p w14:paraId="056D707E" w14:textId="77777777" w:rsidR="00CA0F03" w:rsidRDefault="00CA0F03">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abic Typesetting">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5137" w14:textId="77777777" w:rsidR="00CA0F03" w:rsidRDefault="00CA0F03">
      <w:r>
        <w:separator/>
      </w:r>
    </w:p>
  </w:footnote>
  <w:footnote w:type="continuationSeparator" w:id="0">
    <w:p w14:paraId="339C39C4" w14:textId="77777777" w:rsidR="00CA0F03" w:rsidRDefault="00CA0F03">
      <w:r>
        <w:separator/>
      </w:r>
    </w:p>
    <w:p w14:paraId="0B60F145" w14:textId="77777777" w:rsidR="00CA0F03" w:rsidRDefault="00CA0F03">
      <w:pPr>
        <w:spacing w:after="60"/>
        <w:rPr>
          <w:sz w:val="17"/>
          <w:szCs w:val="17"/>
        </w:rPr>
      </w:pPr>
      <w:r>
        <w:rPr>
          <w:sz w:val="17"/>
          <w:szCs w:val="17"/>
        </w:rPr>
        <w:t>[Footnote continued from previous page]</w:t>
      </w:r>
    </w:p>
  </w:footnote>
  <w:footnote w:type="continuationNotice" w:id="1">
    <w:p w14:paraId="2BB65BD0" w14:textId="77777777" w:rsidR="00CA0F03" w:rsidRDefault="00CA0F03">
      <w:pPr>
        <w:pStyle w:val="Footer"/>
      </w:pPr>
    </w:p>
  </w:footnote>
  <w:footnote w:id="2">
    <w:p w14:paraId="64435D9A" w14:textId="49946BB4" w:rsidR="00CC7D6F" w:rsidRPr="00CB6B5F" w:rsidRDefault="00CC7D6F" w:rsidP="00CC7D6F">
      <w:pPr>
        <w:pStyle w:val="FootnoteText"/>
        <w:rPr>
          <w:rtl/>
        </w:rPr>
      </w:pPr>
      <w:r>
        <w:rPr>
          <w:rStyle w:val="FootnoteReference"/>
        </w:rPr>
        <w:footnoteRef/>
      </w:r>
      <w:r w:rsidR="00BC2F1F">
        <w:rPr>
          <w:rtl/>
        </w:rPr>
        <w:tab/>
      </w:r>
      <w:r>
        <w:rPr>
          <w:rFonts w:hint="cs"/>
          <w:rtl/>
        </w:rPr>
        <w:t xml:space="preserve">انظر(ي) الفقرة 9”1” من الوثيقة </w:t>
      </w:r>
      <w:hyperlink r:id="rId1" w:history="1">
        <w:r>
          <w:rPr>
            <w:rStyle w:val="Hyperlink"/>
          </w:rPr>
          <w:t>H/LD/WG/13/6</w:t>
        </w:r>
      </w:hyperlink>
      <w:r>
        <w:rPr>
          <w:rFonts w:hint="cs"/>
          <w:rtl/>
        </w:rPr>
        <w:t>.</w:t>
      </w:r>
    </w:p>
  </w:footnote>
  <w:footnote w:id="3">
    <w:p w14:paraId="076AD6A3" w14:textId="06B390E4" w:rsidR="00CC7D6F" w:rsidRDefault="00CC7D6F" w:rsidP="00CC7D6F">
      <w:pPr>
        <w:pStyle w:val="FootnoteText"/>
        <w:rPr>
          <w:rtl/>
        </w:rPr>
      </w:pPr>
      <w:r>
        <w:rPr>
          <w:rStyle w:val="FootnoteReference"/>
        </w:rPr>
        <w:footnoteRef/>
      </w:r>
      <w:r w:rsidR="00BC2F1F">
        <w:rPr>
          <w:rtl/>
        </w:rPr>
        <w:tab/>
      </w:r>
      <w:r>
        <w:rPr>
          <w:rFonts w:hint="cs"/>
          <w:rtl/>
        </w:rPr>
        <w:t xml:space="preserve">إلا أن هذا لا يمنع المكتب من أن يطلب من المالك، في حالة معينة، تقديم وثيقة أولوية إليه، مثلاً في حال رأى المكتب في سياق الرفض أن وثيقة الأولوية ضرورية لتحديد الجدة، بسبب كشف خلال فترة الأولوية (انظر(ي) الوثيقة </w:t>
      </w:r>
      <w:hyperlink r:id="rId2" w:history="1">
        <w:r>
          <w:rPr>
            <w:rStyle w:val="Hyperlink"/>
          </w:rPr>
          <w:t>H/DC/6</w:t>
        </w:r>
      </w:hyperlink>
      <w:r>
        <w:rPr>
          <w:rFonts w:hint="cs"/>
          <w:rtl/>
        </w:rPr>
        <w:t xml:space="preserve">، الملاحظة </w:t>
      </w:r>
      <w:r>
        <w:t>R7.12</w:t>
      </w:r>
      <w:r>
        <w:rPr>
          <w:rFonts w:hint="cs"/>
          <w:rtl/>
        </w:rPr>
        <w:t>).</w:t>
      </w:r>
    </w:p>
  </w:footnote>
  <w:footnote w:id="4">
    <w:p w14:paraId="46E32863" w14:textId="0EBF9A9C" w:rsidR="00BC2F1F" w:rsidRDefault="00BC2F1F" w:rsidP="00BC2F1F">
      <w:pPr>
        <w:pStyle w:val="FootnoteText"/>
        <w:rPr>
          <w:lang w:bidi="ar-SY"/>
        </w:rPr>
      </w:pPr>
      <w:r>
        <w:rPr>
          <w:rStyle w:val="FootnoteReference"/>
        </w:rPr>
        <w:footnoteRef/>
      </w:r>
      <w:r>
        <w:rPr>
          <w:rtl/>
        </w:rPr>
        <w:tab/>
      </w:r>
      <w:r w:rsidRPr="00BC2F1F">
        <w:rPr>
          <w:rFonts w:hint="cs"/>
          <w:rtl/>
        </w:rPr>
        <w:t xml:space="preserve">تم إجراء استبيان بشأن هذا الموضوع في عام 2024.  </w:t>
      </w:r>
      <w:r>
        <w:rPr>
          <w:rFonts w:hint="cs"/>
          <w:rtl/>
        </w:rPr>
        <w:t>و</w:t>
      </w:r>
      <w:r w:rsidRPr="00BC2F1F">
        <w:rPr>
          <w:rFonts w:hint="cs"/>
          <w:rtl/>
        </w:rPr>
        <w:t xml:space="preserve">يرد ملخص لنتائج هذا الاستبيان في الوثيقة </w:t>
      </w:r>
      <w:hyperlink r:id="rId3" w:history="1">
        <w:r w:rsidRPr="00BC2F1F">
          <w:rPr>
            <w:rStyle w:val="Hyperlink"/>
          </w:rPr>
          <w:t>H/LD/WG/13/2</w:t>
        </w:r>
      </w:hyperlink>
      <w:r>
        <w:rPr>
          <w:rFonts w:hint="cs"/>
          <w:rtl/>
        </w:rPr>
        <w:t>.</w:t>
      </w:r>
    </w:p>
  </w:footnote>
  <w:footnote w:id="5">
    <w:p w14:paraId="26A90097" w14:textId="4289A2FE" w:rsidR="00D82D71" w:rsidRPr="00E54AC1" w:rsidRDefault="00D82D71" w:rsidP="00D82D71">
      <w:pPr>
        <w:pStyle w:val="FootnoteText"/>
        <w:rPr>
          <w:rtl/>
        </w:rPr>
      </w:pPr>
      <w:r>
        <w:rPr>
          <w:rStyle w:val="FootnoteReference"/>
        </w:rPr>
        <w:footnoteRef/>
      </w:r>
      <w:r>
        <w:rPr>
          <w:rFonts w:hint="cs"/>
          <w:rtl/>
        </w:rPr>
        <w:tab/>
        <w:t xml:space="preserve">لمزيد من المعلومات، انظر(ي) الوثيقة  </w:t>
      </w:r>
      <w:hyperlink r:id="rId4" w:history="1">
        <w:r>
          <w:rPr>
            <w:rStyle w:val="Hyperlink"/>
          </w:rPr>
          <w:t>H/LD/WG/13/2</w:t>
        </w:r>
      </w:hyperlink>
      <w:r>
        <w:rPr>
          <w:rFonts w:hint="cs"/>
          <w:rtl/>
        </w:rPr>
        <w:t>.</w:t>
      </w:r>
    </w:p>
  </w:footnote>
  <w:footnote w:id="6">
    <w:p w14:paraId="3C88554E" w14:textId="43B7210D" w:rsidR="00D82D71" w:rsidRPr="00D40141" w:rsidRDefault="00D82D71" w:rsidP="00D82D71">
      <w:pPr>
        <w:pStyle w:val="FootnoteText"/>
        <w:rPr>
          <w:rtl/>
        </w:rPr>
      </w:pPr>
      <w:r>
        <w:rPr>
          <w:rStyle w:val="FootnoteReference"/>
        </w:rPr>
        <w:footnoteRef/>
      </w:r>
      <w:r>
        <w:rPr>
          <w:rFonts w:hint="cs"/>
          <w:rtl/>
        </w:rPr>
        <w:tab/>
        <w:t>انظر(ي) الحاشية رقم 1.  علاوة على ذلك، طلب الفريق العامل أيضا إلى المكتب الدولي أن يتشاور مع مكاتب الأطراف المتعاقدة المعنية بهدف تحديد الحلول البديلة الممكنة لتبادل وثائق الأولوية (انظر(ي) الوثيقة </w:t>
      </w:r>
      <w:hyperlink r:id="rId5" w:history="1">
        <w:r>
          <w:rPr>
            <w:rStyle w:val="Hyperlink"/>
          </w:rPr>
          <w:t>H/LD/WG/13/6</w:t>
        </w:r>
      </w:hyperlink>
      <w:r>
        <w:rPr>
          <w:rFonts w:hint="cs"/>
          <w:rtl/>
        </w:rPr>
        <w:t>، الفقرة</w:t>
      </w:r>
      <w:r w:rsidR="00BC2F1F">
        <w:rPr>
          <w:rFonts w:hint="cs"/>
          <w:rtl/>
        </w:rPr>
        <w:t xml:space="preserve"> 9"3"</w:t>
      </w:r>
      <w:r>
        <w:rPr>
          <w:rFonts w:hint="cs"/>
          <w:rtl/>
        </w:rPr>
        <w:t xml:space="preserve">).  </w:t>
      </w:r>
    </w:p>
  </w:footnote>
  <w:footnote w:id="7">
    <w:p w14:paraId="553D70DE" w14:textId="20F5D3B5" w:rsidR="00D82D71" w:rsidRPr="00FF2428" w:rsidRDefault="00D82D71" w:rsidP="00D82D71">
      <w:pPr>
        <w:pStyle w:val="FootnoteText"/>
        <w:rPr>
          <w:rtl/>
        </w:rPr>
      </w:pPr>
      <w:r>
        <w:rPr>
          <w:rStyle w:val="FootnoteReference"/>
        </w:rPr>
        <w:footnoteRef/>
      </w:r>
      <w:r w:rsidR="00BC2F1F">
        <w:rPr>
          <w:rtl/>
        </w:rPr>
        <w:tab/>
      </w:r>
      <w:r>
        <w:rPr>
          <w:rFonts w:hint="cs"/>
          <w:rtl/>
        </w:rPr>
        <w:t xml:space="preserve">انظر الفقرة 33 من الوثيقة </w:t>
      </w:r>
      <w:hyperlink r:id="rId6" w:history="1">
        <w:r>
          <w:rPr>
            <w:rStyle w:val="Hyperlink"/>
            <w:rFonts w:hint="cs"/>
            <w:rtl/>
          </w:rPr>
          <w:t xml:space="preserve">/ </w:t>
        </w:r>
        <w:r>
          <w:rPr>
            <w:rStyle w:val="Hyperlink"/>
          </w:rPr>
          <w:t>LD/WG/13/2</w:t>
        </w:r>
      </w:hyperlink>
      <w:r>
        <w:rPr>
          <w:rFonts w:hint="cs"/>
          <w:rtl/>
        </w:rPr>
        <w:t>.</w:t>
      </w:r>
    </w:p>
  </w:footnote>
  <w:footnote w:id="8">
    <w:p w14:paraId="311FE531" w14:textId="30690FE9" w:rsidR="00D82D71" w:rsidRPr="002A7773" w:rsidRDefault="00D82D71" w:rsidP="00D82D71">
      <w:pPr>
        <w:pStyle w:val="FootnoteText"/>
        <w:rPr>
          <w:rtl/>
        </w:rPr>
      </w:pPr>
      <w:r>
        <w:rPr>
          <w:rStyle w:val="FootnoteReference"/>
        </w:rPr>
        <w:footnoteRef/>
      </w:r>
      <w:r>
        <w:rPr>
          <w:rFonts w:hint="cs"/>
          <w:rtl/>
        </w:rPr>
        <w:tab/>
      </w:r>
      <w:r>
        <w:rPr>
          <w:rFonts w:hint="cs"/>
          <w:rtl/>
        </w:rPr>
        <w:t xml:space="preserve">ولمزيد من المعلومات، انظر(ي) قائمة المكاتب المشاركة في الخدمة  على الرابط: </w:t>
      </w:r>
      <w:hyperlink r:id="rId7" w:history="1">
        <w:r>
          <w:rPr>
            <w:rStyle w:val="Hyperlink"/>
          </w:rPr>
          <w:t>https://www.wipo.int/das/en/participating_offices/index.html</w:t>
        </w:r>
      </w:hyperlink>
      <w:r>
        <w:rPr>
          <w:rFonts w:hint="cs"/>
          <w:rtl/>
        </w:rPr>
        <w:t xml:space="preserve">. </w:t>
      </w:r>
    </w:p>
  </w:footnote>
  <w:footnote w:id="9">
    <w:p w14:paraId="3ACBA3A1" w14:textId="5A6266AF" w:rsidR="00D82D71" w:rsidRPr="00C61972" w:rsidRDefault="00D82D71" w:rsidP="00D82D71">
      <w:pPr>
        <w:pStyle w:val="FootnoteText"/>
        <w:rPr>
          <w:rtl/>
        </w:rPr>
      </w:pPr>
      <w:r>
        <w:rPr>
          <w:rStyle w:val="FootnoteReference"/>
        </w:rPr>
        <w:footnoteRef/>
      </w:r>
      <w:r>
        <w:rPr>
          <w:rFonts w:hint="cs"/>
          <w:rtl/>
        </w:rPr>
        <w:tab/>
      </w:r>
      <w:r>
        <w:rPr>
          <w:rFonts w:hint="cs"/>
          <w:rtl/>
        </w:rPr>
        <w:t xml:space="preserve">البند 408(أ) من التعليمات الإدارية:  </w:t>
      </w:r>
      <w:r w:rsidR="007F479B">
        <w:rPr>
          <w:rFonts w:hint="cs"/>
          <w:rtl/>
        </w:rPr>
        <w:t>"</w:t>
      </w:r>
      <w:r>
        <w:rPr>
          <w:rFonts w:hint="cs"/>
          <w:rtl/>
        </w:rPr>
        <w:t>في حال تقدّم مُودِع الطلب بإعلان بناء على القاعدة 7(5)(ج) مطالباً بأولوية إيداع سابق في الطلب الدولي، جاز أن تُشفَع تلك المطالبة بشفرة تسمح باسترجاع ذلك الإيداع في إحدى المكتبات الرقمية الخاصة بخدمة النفاذ الرقمي إلى وثائق الأولوية</w:t>
      </w:r>
      <w:r w:rsidR="007F479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CFB36" w14:textId="77777777" w:rsidR="00BC2F1F" w:rsidRDefault="00BC2F1F" w:rsidP="00BC2F1F">
    <w:pPr>
      <w:bidi w:val="0"/>
      <w:rPr>
        <w:rFonts w:asciiTheme="minorBidi" w:hAnsiTheme="minorBidi" w:cstheme="minorBidi"/>
        <w:caps/>
        <w:rtl/>
      </w:rPr>
    </w:pPr>
    <w:r w:rsidRPr="00BC2F1F">
      <w:rPr>
        <w:rFonts w:asciiTheme="minorBidi" w:hAnsiTheme="minorBidi" w:cstheme="minorBidi"/>
        <w:caps/>
      </w:rPr>
      <w:t>H/A/45/1</w:t>
    </w:r>
  </w:p>
  <w:p w14:paraId="4DD63258" w14:textId="52141BA3" w:rsidR="00BC2F1F" w:rsidRPr="00BC2F1F" w:rsidRDefault="00BC2F1F" w:rsidP="00BC2F1F">
    <w:pPr>
      <w:bidi w:val="0"/>
      <w:rPr>
        <w:rFonts w:asciiTheme="minorBidi" w:hAnsiTheme="minorBidi" w:cstheme="minorBidi"/>
        <w:caps/>
      </w:rPr>
    </w:pPr>
    <w:r w:rsidRPr="00BC2F1F">
      <w:rPr>
        <w:rFonts w:asciiTheme="minorBidi" w:hAnsiTheme="minorBidi" w:cstheme="minorBidi"/>
        <w:caps/>
      </w:rPr>
      <w:fldChar w:fldCharType="begin"/>
    </w:r>
    <w:r w:rsidRPr="00BC2F1F">
      <w:rPr>
        <w:rFonts w:asciiTheme="minorBidi" w:hAnsiTheme="minorBidi" w:cstheme="minorBidi"/>
        <w:caps/>
      </w:rPr>
      <w:instrText xml:space="preserve"> PAGE   \* MERGEFORMAT </w:instrText>
    </w:r>
    <w:r w:rsidRPr="00BC2F1F">
      <w:rPr>
        <w:rFonts w:asciiTheme="minorBidi" w:hAnsiTheme="minorBidi" w:cstheme="minorBidi"/>
        <w:caps/>
      </w:rPr>
      <w:fldChar w:fldCharType="separate"/>
    </w:r>
    <w:r w:rsidRPr="00BC2F1F">
      <w:rPr>
        <w:rFonts w:asciiTheme="minorBidi" w:hAnsiTheme="minorBidi" w:cstheme="minorBidi"/>
        <w:caps/>
        <w:noProof/>
      </w:rPr>
      <w:t>1</w:t>
    </w:r>
    <w:r w:rsidRPr="00BC2F1F">
      <w:rPr>
        <w:rFonts w:asciiTheme="minorBidi" w:hAnsiTheme="minorBidi" w:cstheme="minorBidi"/>
        <w:caps/>
        <w:noProof/>
      </w:rPr>
      <w:fldChar w:fldCharType="end"/>
    </w:r>
  </w:p>
  <w:p w14:paraId="687BFAAA" w14:textId="77777777" w:rsidR="00BC2F1F" w:rsidRDefault="00BC2F1F" w:rsidP="00BC2F1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9E3"/>
    <w:multiLevelType w:val="multilevel"/>
    <w:tmpl w:val="28AC9C3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A7286F"/>
    <w:multiLevelType w:val="hybridMultilevel"/>
    <w:tmpl w:val="C2083CE4"/>
    <w:lvl w:ilvl="0" w:tplc="EF6A575C">
      <w:start w:val="2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04BAC912"/>
    <w:lvl w:ilvl="0">
      <w:start w:val="1"/>
      <w:numFmt w:val="decimal"/>
      <w:pStyle w:val="ONUMA"/>
      <w:lvlText w:val="%1."/>
      <w:lvlJc w:val="left"/>
      <w:pPr>
        <w:ind w:left="0" w:firstLine="0"/>
      </w:pPr>
      <w:rPr>
        <w:rFonts w:asciiTheme="minorHAnsi" w:hAnsiTheme="minorHAnsi" w:cstheme="minorHAns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 w15:restartNumberingAfterBreak="0">
    <w:nsid w:val="7B861617"/>
    <w:multiLevelType w:val="multilevel"/>
    <w:tmpl w:val="3488A2E8"/>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064796086">
    <w:abstractNumId w:val="5"/>
  </w:num>
  <w:num w:numId="2" w16cid:durableId="196742166">
    <w:abstractNumId w:val="0"/>
  </w:num>
  <w:num w:numId="3" w16cid:durableId="537935586">
    <w:abstractNumId w:val="1"/>
  </w:num>
  <w:num w:numId="4" w16cid:durableId="1488671824">
    <w:abstractNumId w:val="6"/>
  </w:num>
  <w:num w:numId="5" w16cid:durableId="1459295006">
    <w:abstractNumId w:val="7"/>
  </w:num>
  <w:num w:numId="6" w16cid:durableId="505677039">
    <w:abstractNumId w:val="2"/>
  </w:num>
  <w:num w:numId="7" w16cid:durableId="260916404">
    <w:abstractNumId w:val="3"/>
  </w:num>
  <w:num w:numId="8" w16cid:durableId="522936403">
    <w:abstractNumId w:val="6"/>
  </w:num>
  <w:num w:numId="9" w16cid:durableId="601499815">
    <w:abstractNumId w:val="6"/>
  </w:num>
  <w:num w:numId="10" w16cid:durableId="2125538450">
    <w:abstractNumId w:val="4"/>
  </w:num>
  <w:num w:numId="11" w16cid:durableId="1705980663">
    <w:abstractNumId w:val="0"/>
  </w:num>
  <w:num w:numId="12" w16cid:durableId="1061515280">
    <w:abstractNumId w:val="0"/>
  </w:num>
  <w:num w:numId="13" w16cid:durableId="91594395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EC"/>
    <w:rsid w:val="00025595"/>
    <w:rsid w:val="0006674E"/>
    <w:rsid w:val="000745B0"/>
    <w:rsid w:val="000C633F"/>
    <w:rsid w:val="00103987"/>
    <w:rsid w:val="0015504A"/>
    <w:rsid w:val="0026402D"/>
    <w:rsid w:val="0027601D"/>
    <w:rsid w:val="002E3638"/>
    <w:rsid w:val="00353E63"/>
    <w:rsid w:val="00364E53"/>
    <w:rsid w:val="00412614"/>
    <w:rsid w:val="00445C0F"/>
    <w:rsid w:val="004B23CE"/>
    <w:rsid w:val="004D798B"/>
    <w:rsid w:val="004E64E4"/>
    <w:rsid w:val="004E6B61"/>
    <w:rsid w:val="004E6BD1"/>
    <w:rsid w:val="004E77D5"/>
    <w:rsid w:val="005511B4"/>
    <w:rsid w:val="005863C8"/>
    <w:rsid w:val="00660E6C"/>
    <w:rsid w:val="006902F9"/>
    <w:rsid w:val="007C3D64"/>
    <w:rsid w:val="007E4A9F"/>
    <w:rsid w:val="007F479B"/>
    <w:rsid w:val="00805632"/>
    <w:rsid w:val="008156A3"/>
    <w:rsid w:val="00864F9E"/>
    <w:rsid w:val="009300ED"/>
    <w:rsid w:val="00933F2A"/>
    <w:rsid w:val="00995A3B"/>
    <w:rsid w:val="009C75F1"/>
    <w:rsid w:val="00A35FEC"/>
    <w:rsid w:val="00B47B25"/>
    <w:rsid w:val="00B63E80"/>
    <w:rsid w:val="00B93D3C"/>
    <w:rsid w:val="00BA46FD"/>
    <w:rsid w:val="00BC2F1F"/>
    <w:rsid w:val="00BE0364"/>
    <w:rsid w:val="00C06DBF"/>
    <w:rsid w:val="00CA0F03"/>
    <w:rsid w:val="00CC7D6F"/>
    <w:rsid w:val="00CF29D0"/>
    <w:rsid w:val="00D068FC"/>
    <w:rsid w:val="00D60DA1"/>
    <w:rsid w:val="00D724FC"/>
    <w:rsid w:val="00D82D71"/>
    <w:rsid w:val="00DE10C1"/>
    <w:rsid w:val="00DF59ED"/>
    <w:rsid w:val="00E06F9D"/>
    <w:rsid w:val="00E53B21"/>
    <w:rsid w:val="00ED57C0"/>
    <w:rsid w:val="00EF36F3"/>
    <w:rsid w:val="00F70AA4"/>
    <w:rsid w:val="00F8745A"/>
    <w:rsid w:val="00F969D5"/>
    <w:rsid w:val="00FB3C5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39FE8"/>
  <w15:docId w15:val="{282BC476-5D6A-46A3-97E2-211C8A56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ONUMA"/>
    <w:next w:val="Normal"/>
    <w:link w:val="Heading2Char"/>
    <w:qFormat/>
    <w:pPr>
      <w:numPr>
        <w:numId w:val="0"/>
      </w:numPr>
      <w:spacing w:before="240" w:after="240"/>
      <w:outlineLvl w:val="1"/>
    </w:pPr>
    <w:rPr>
      <w:rFonts w:eastAsia="SimSun"/>
      <w:b/>
      <w:bCs/>
      <w:sz w:val="24"/>
      <w:szCs w:val="24"/>
    </w:rPr>
  </w:style>
  <w:style w:type="paragraph" w:styleId="Heading3">
    <w:name w:val="heading 3"/>
    <w:basedOn w:val="Normal"/>
    <w:next w:val="Normal"/>
    <w:link w:val="Heading3Char"/>
    <w:autoRedefine/>
    <w:qFormat/>
    <w:rsid w:val="00B63E80"/>
    <w:pPr>
      <w:keepNext/>
      <w:spacing w:before="240" w:after="240"/>
      <w:outlineLvl w:val="2"/>
    </w:pPr>
    <w:rPr>
      <w:rFonts w:ascii="Calibri" w:eastAsia="Calibri" w:hAnsi="Calibri"/>
      <w:b/>
      <w:u w:val="single"/>
      <w:lang w:eastAsia="en-US"/>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pPr>
      <w:tabs>
        <w:tab w:val="center" w:pos="4320"/>
        <w:tab w:val="right" w:pos="8640"/>
      </w:tabs>
    </w:pPr>
  </w:style>
  <w:style w:type="paragraph" w:styleId="FootnoteText">
    <w:name w:val="footnote text"/>
    <w:basedOn w:val="Normal"/>
    <w:link w:val="FootnoteTextChar"/>
    <w:pPr>
      <w:keepLines/>
    </w:pPr>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rPr>
      <w:rFonts w:ascii="Arial" w:eastAsia="SimSun" w:hAnsi="Arial" w:cs="Calibri"/>
      <w:sz w:val="18"/>
      <w:szCs w:val="18"/>
      <w:lang w:val="en-US" w:eastAsia="zh-CN"/>
    </w:rPr>
  </w:style>
  <w:style w:type="paragraph" w:styleId="ListParagraph">
    <w:name w:val="List Paragraph"/>
    <w:aliases w:val="First level list"/>
    <w:basedOn w:val="Normal"/>
    <w:link w:val="ListParagraphChar"/>
    <w:uiPriority w:val="34"/>
    <w:qFormat/>
    <w:pPr>
      <w:bidi w:val="0"/>
      <w:ind w:left="720"/>
      <w:contextualSpacing/>
    </w:pPr>
    <w:rPr>
      <w:rFonts w:eastAsia="Times New Roman" w:cs="Arial"/>
      <w:szCs w:val="20"/>
      <w:lang w:eastAsia="en-US"/>
    </w:rPr>
  </w:style>
  <w:style w:type="character" w:customStyle="1" w:styleId="ListParagraphChar">
    <w:name w:val="List Paragraph Char"/>
    <w:aliases w:val="First level list Char"/>
    <w:basedOn w:val="DefaultParagraphFont"/>
    <w:link w:val="ListParagraph"/>
    <w:uiPriority w:val="34"/>
    <w:rPr>
      <w:rFonts w:ascii="Arial" w:hAnsi="Arial" w:cs="Arial"/>
      <w:sz w:val="22"/>
      <w:lang w:val="en-US" w:eastAsia="en-US"/>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table" w:customStyle="1" w:styleId="TableGrid1">
    <w:name w:val="Table Grid1"/>
    <w:basedOn w:val="TableNormal"/>
    <w:next w:val="TableGrid"/>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Pr>
      <w:rFonts w:ascii="Arial" w:eastAsia="SimSun" w:hAnsi="Arial" w:cs="Calibri"/>
      <w:sz w:val="22"/>
      <w:szCs w:val="22"/>
      <w:lang w:val="en-US" w:eastAsia="zh-CN"/>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numbering" w:customStyle="1" w:styleId="Aucuneliste1">
    <w:name w:val="Aucune liste1"/>
    <w:next w:val="NoList"/>
    <w:uiPriority w:val="99"/>
    <w:semiHidden/>
    <w:unhideWhenUsed/>
  </w:style>
  <w:style w:type="character" w:customStyle="1" w:styleId="Heading1Char">
    <w:name w:val="Heading 1 Char"/>
    <w:basedOn w:val="DefaultParagraphFont"/>
    <w:link w:val="Heading1"/>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Pr>
      <w:rFonts w:ascii="Arial" w:eastAsia="SimSun" w:hAnsi="Arial" w:cs="Calibri"/>
      <w:b/>
      <w:bCs/>
      <w:sz w:val="24"/>
      <w:szCs w:val="24"/>
      <w:lang w:val="en-US" w:eastAsia="en-US"/>
    </w:rPr>
  </w:style>
  <w:style w:type="character" w:customStyle="1" w:styleId="Heading3Char">
    <w:name w:val="Heading 3 Char"/>
    <w:basedOn w:val="DefaultParagraphFont"/>
    <w:link w:val="Heading3"/>
    <w:rsid w:val="00B63E80"/>
    <w:rPr>
      <w:rFonts w:ascii="Calibri" w:eastAsia="Calibri" w:hAnsi="Calibri" w:cs="Calibri"/>
      <w:b/>
      <w:sz w:val="22"/>
      <w:szCs w:val="22"/>
      <w:u w:val="single"/>
      <w:lang w:val="en-US" w:eastAsia="en-US"/>
    </w:rPr>
  </w:style>
  <w:style w:type="character" w:customStyle="1" w:styleId="Heading4Char">
    <w:name w:val="Heading 4 Char"/>
    <w:basedOn w:val="DefaultParagraphFont"/>
    <w:link w:val="Heading4"/>
    <w:rPr>
      <w:rFonts w:ascii="Arial" w:eastAsia="SimSun" w:hAnsi="Arial" w:cs="Calibri"/>
      <w:bCs/>
      <w:i/>
      <w:sz w:val="24"/>
      <w:szCs w:val="24"/>
      <w:lang w:val="en-US" w:eastAsia="zh-CN"/>
    </w:rPr>
  </w:style>
  <w:style w:type="character" w:customStyle="1" w:styleId="SalutationChar">
    <w:name w:val="Salutation Char"/>
    <w:basedOn w:val="DefaultParagraphFont"/>
    <w:link w:val="Salutation"/>
    <w:semiHidden/>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Pr>
      <w:rFonts w:ascii="Arial" w:eastAsia="SimSun" w:hAnsi="Arial" w:cs="Calibri"/>
      <w:sz w:val="22"/>
      <w:szCs w:val="22"/>
      <w:lang w:val="en-US" w:eastAsia="zh-CN"/>
    </w:rPr>
  </w:style>
  <w:style w:type="paragraph" w:customStyle="1" w:styleId="NormalParaAR">
    <w:name w:val="Normal_Para_AR"/>
    <w:pPr>
      <w:bidi/>
      <w:spacing w:after="240" w:line="360" w:lineRule="exact"/>
    </w:pPr>
    <w:rPr>
      <w:rFonts w:ascii="Arabic Typesetting" w:hAnsi="Arabic Typesetting" w:cs="Arabic Typesetting"/>
      <w:sz w:val="36"/>
      <w:szCs w:val="36"/>
      <w:lang w:val="en-US" w:eastAsia="en-US"/>
    </w:rPr>
  </w:style>
  <w:style w:type="character" w:customStyle="1" w:styleId="EndnoteTextChar">
    <w:name w:val="Endnote Text Char"/>
    <w:basedOn w:val="DefaultParagraphFont"/>
    <w:link w:val="EndnoteText"/>
    <w:semiHidden/>
    <w:rPr>
      <w:rFonts w:ascii="Arial" w:eastAsia="SimSun" w:hAnsi="Arial" w:cs="Calibri"/>
      <w:sz w:val="18"/>
      <w:szCs w:val="18"/>
      <w:lang w:val="en-US" w:eastAsia="zh-CN"/>
    </w:rPr>
  </w:style>
  <w:style w:type="character" w:customStyle="1" w:styleId="CommentTextChar">
    <w:name w:val="Comment Text Char"/>
    <w:basedOn w:val="DefaultParagraphFont"/>
    <w:link w:val="CommentText"/>
    <w:semiHidden/>
    <w:rPr>
      <w:rFonts w:ascii="Arial" w:eastAsia="SimSun" w:hAnsi="Arial" w:cs="Calibri"/>
      <w:sz w:val="18"/>
      <w:szCs w:val="22"/>
      <w:lang w:val="en-US" w:eastAsia="zh-CN"/>
    </w:rPr>
  </w:style>
  <w:style w:type="paragraph" w:customStyle="1" w:styleId="NumberedParaAR">
    <w:name w:val="Numbered_Para_AR"/>
    <w:basedOn w:val="NormalParaAR"/>
    <w:pPr>
      <w:numPr>
        <w:numId w:val="6"/>
      </w:numPr>
    </w:pPr>
  </w:style>
  <w:style w:type="paragraph" w:customStyle="1" w:styleId="DocumentCodeAR">
    <w:name w:val="Document_Code_AR"/>
    <w:basedOn w:val="Normal"/>
    <w:next w:val="DocumentLanguageAR"/>
    <w:pPr>
      <w:bidi w:val="0"/>
      <w:jc w:val="right"/>
    </w:pPr>
    <w:rPr>
      <w:rFonts w:ascii="Arial Black" w:hAnsi="Arial Black" w:cs="Arabic Typesetting"/>
      <w:b/>
      <w:bCs/>
      <w:sz w:val="16"/>
      <w:szCs w:val="16"/>
    </w:rPr>
  </w:style>
  <w:style w:type="paragraph" w:customStyle="1" w:styleId="DocumentLanguageAR">
    <w:name w:val="Document_Language_AR"/>
    <w:basedOn w:val="Normal"/>
    <w:next w:val="DocumentDateAR"/>
    <w:pPr>
      <w:bidi w:val="0"/>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pPr>
      <w:bidi w:val="0"/>
      <w:jc w:val="right"/>
    </w:pPr>
    <w:rPr>
      <w:rFonts w:ascii="Arabic Typesetting" w:hAnsi="Arabic Typesetting" w:cs="Arabic Typesetting"/>
      <w:b/>
      <w:bCs/>
      <w:sz w:val="30"/>
      <w:szCs w:val="30"/>
    </w:rPr>
  </w:style>
  <w:style w:type="paragraph" w:customStyle="1" w:styleId="MeetingTitleAR">
    <w:name w:val="Meeting_Title_AR"/>
    <w:basedOn w:val="Normal"/>
    <w:next w:val="NormalParaAR"/>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pPr>
      <w:bidi w:val="0"/>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pPr>
      <w:bidi w:val="0"/>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pPr>
      <w:ind w:left="5534"/>
    </w:pPr>
    <w:rPr>
      <w:i/>
      <w:iCs/>
    </w:rPr>
  </w:style>
  <w:style w:type="paragraph" w:customStyle="1" w:styleId="EndofDocumentAR">
    <w:name w:val="End_of_Document_AR"/>
    <w:basedOn w:val="NormalParaAR"/>
    <w:next w:val="NormalParaAR"/>
    <w:pPr>
      <w:ind w:left="5534"/>
    </w:pPr>
  </w:style>
  <w:style w:type="character" w:styleId="PageNumber">
    <w:name w:val="page number"/>
    <w:basedOn w:val="DefaultParagraphFont"/>
  </w:style>
  <w:style w:type="character" w:customStyle="1" w:styleId="StyleFootnoteReferenceLatinArabicTypesettingLatin17pt">
    <w:name w:val="Style Footnote Reference + (Latin) Arabic Typesetting (Latin) 17 pt"/>
    <w:rPr>
      <w:rFonts w:ascii="Arabic Typesetting" w:hAnsi="Arabic Typesetting" w:cs="Arabic Typesetting"/>
      <w:sz w:val="34"/>
      <w:szCs w:val="34"/>
      <w:vertAlign w:val="superscript"/>
    </w:rPr>
  </w:style>
  <w:style w:type="paragraph" w:customStyle="1" w:styleId="StyleHeading4NotItalic">
    <w:name w:val="Style Heading 4 + Not Italic"/>
    <w:basedOn w:val="Heading4"/>
    <w:pPr>
      <w:keepLines/>
      <w:spacing w:before="0" w:after="0" w:line="480" w:lineRule="exact"/>
      <w:jc w:val="center"/>
    </w:pPr>
    <w:rPr>
      <w:rFonts w:ascii="Arabic Typesetting" w:eastAsia="Times New Roman" w:hAnsi="Arabic Typesetting" w:cs="Arabic Typesetting"/>
      <w:bCs w:val="0"/>
      <w:sz w:val="48"/>
      <w:szCs w:val="48"/>
      <w:lang w:eastAsia="en-US" w:bidi="ar-EG"/>
    </w:rPr>
  </w:style>
  <w:style w:type="paragraph" w:customStyle="1" w:styleId="StyleHeading4After12pt">
    <w:name w:val="Style Heading 4 + After:  12 pt"/>
    <w:basedOn w:val="Heading4"/>
    <w:pPr>
      <w:keepLines/>
      <w:bidi w:val="0"/>
      <w:spacing w:before="0" w:after="240" w:line="480" w:lineRule="exact"/>
      <w:jc w:val="center"/>
    </w:pPr>
    <w:rPr>
      <w:rFonts w:ascii="Arabic Typesetting" w:eastAsia="Times New Roman" w:hAnsi="Arabic Typesetting" w:cs="Arabic Typesetting"/>
      <w:bCs w:val="0"/>
      <w:sz w:val="48"/>
      <w:szCs w:val="48"/>
      <w:lang w:eastAsia="en-US" w:bidi="ar-EG"/>
    </w:rPr>
  </w:style>
  <w:style w:type="paragraph" w:customStyle="1" w:styleId="StyleHeading4After12pt0">
    <w:name w:val="Style Heading 4 +  After:  12 pt"/>
    <w:basedOn w:val="StyleHeading4NotItalic"/>
    <w:pPr>
      <w:bidi w:val="0"/>
      <w:spacing w:after="240"/>
    </w:pPr>
    <w:rPr>
      <w:i w:val="0"/>
      <w:iCs/>
    </w:rPr>
  </w:style>
  <w:style w:type="paragraph" w:styleId="Title">
    <w:name w:val="Title"/>
    <w:basedOn w:val="NormalParaAR"/>
    <w:next w:val="Normal"/>
    <w:link w:val="TitleChar"/>
    <w:qFormat/>
    <w:pPr>
      <w:spacing w:after="0" w:line="480" w:lineRule="exact"/>
      <w:jc w:val="center"/>
    </w:pPr>
    <w:rPr>
      <w:sz w:val="48"/>
      <w:szCs w:val="48"/>
      <w:lang w:bidi="ar-EG"/>
    </w:rPr>
  </w:style>
  <w:style w:type="character" w:customStyle="1" w:styleId="TitleChar">
    <w:name w:val="Title Char"/>
    <w:basedOn w:val="DefaultParagraphFont"/>
    <w:link w:val="Title"/>
    <w:rPr>
      <w:rFonts w:ascii="Arabic Typesetting" w:hAnsi="Arabic Typesetting" w:cs="Arabic Typesetting"/>
      <w:sz w:val="48"/>
      <w:szCs w:val="48"/>
      <w:lang w:val="en-US" w:eastAsia="en-US" w:bidi="ar-EG"/>
    </w:rPr>
  </w:style>
  <w:style w:type="paragraph" w:customStyle="1" w:styleId="Heading5">
    <w:name w:val="Heading 5."/>
    <w:basedOn w:val="NormalParaAR"/>
    <w:qFormat/>
    <w:pPr>
      <w:spacing w:line="480" w:lineRule="exact"/>
      <w:ind w:firstLine="6520"/>
    </w:pPr>
    <w:rPr>
      <w:i/>
      <w:iCs/>
      <w:sz w:val="48"/>
      <w:szCs w:val="48"/>
      <w:lang w:bidi="ar-EG"/>
    </w:rPr>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basedOn w:val="DefaultParagraphFont"/>
    <w:unhideWhenUsed/>
    <w:rPr>
      <w:color w:val="0000FF" w:themeColor="hyperlink"/>
      <w:u w:val="single"/>
    </w:rPr>
  </w:style>
  <w:style w:type="character" w:customStyle="1" w:styleId="Mentionnonrsolue1">
    <w:name w:val="Mention non résolue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DE10C1"/>
    <w:rPr>
      <w:color w:val="605E5C"/>
      <w:shd w:val="clear" w:color="auto" w:fill="E1DFDD"/>
    </w:rPr>
  </w:style>
  <w:style w:type="character" w:styleId="EndnoteReference">
    <w:name w:val="endnote reference"/>
    <w:basedOn w:val="DefaultParagraphFont"/>
    <w:semiHidden/>
    <w:unhideWhenUsed/>
    <w:rsid w:val="00F969D5"/>
    <w:rPr>
      <w:vertAlign w:val="superscript"/>
    </w:rPr>
  </w:style>
  <w:style w:type="paragraph" w:styleId="Revision">
    <w:name w:val="Revision"/>
    <w:hidden/>
    <w:uiPriority w:val="99"/>
    <w:semiHidden/>
    <w:rsid w:val="00F969D5"/>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2049">
      <w:bodyDiv w:val="1"/>
      <w:marLeft w:val="0"/>
      <w:marRight w:val="0"/>
      <w:marTop w:val="0"/>
      <w:marBottom w:val="0"/>
      <w:divBdr>
        <w:top w:val="none" w:sz="0" w:space="0" w:color="auto"/>
        <w:left w:val="none" w:sz="0" w:space="0" w:color="auto"/>
        <w:bottom w:val="none" w:sz="0" w:space="0" w:color="auto"/>
        <w:right w:val="none" w:sz="0" w:space="0" w:color="auto"/>
      </w:divBdr>
    </w:div>
    <w:div w:id="796068718">
      <w:bodyDiv w:val="1"/>
      <w:marLeft w:val="0"/>
      <w:marRight w:val="0"/>
      <w:marTop w:val="0"/>
      <w:marBottom w:val="0"/>
      <w:divBdr>
        <w:top w:val="none" w:sz="0" w:space="0" w:color="auto"/>
        <w:left w:val="none" w:sz="0" w:space="0" w:color="auto"/>
        <w:bottom w:val="none" w:sz="0" w:space="0" w:color="auto"/>
        <w:right w:val="none" w:sz="0" w:space="0" w:color="auto"/>
      </w:divBdr>
    </w:div>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 w:id="14765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hague/ar/h_ld_wg_13/h_ld_wg_13_2.pdf" TargetMode="External"/><Relationship Id="rId7" Type="http://schemas.openxmlformats.org/officeDocument/2006/relationships/hyperlink" Target="https://www.wipo.int/das/en/participating_offices/index.html" TargetMode="External"/><Relationship Id="rId2" Type="http://schemas.openxmlformats.org/officeDocument/2006/relationships/hyperlink" Target="https://www.wipo.int/edocs/mdocs/diplconf/ar/h_dc/h_dc_6.pdf" TargetMode="External"/><Relationship Id="rId1" Type="http://schemas.openxmlformats.org/officeDocument/2006/relationships/hyperlink" Target="https://www.wipo.int/edocs/mdocs/hague/ar/h_ld_wg_13/h_ld_wg_13_6.pdf" TargetMode="External"/><Relationship Id="rId6" Type="http://schemas.openxmlformats.org/officeDocument/2006/relationships/hyperlink" Target="https://www.wipo.int/edocs/mdocs/hague/ar/h_ld_wg_13/h_ld_wg_13_2.pdf" TargetMode="External"/><Relationship Id="rId5" Type="http://schemas.openxmlformats.org/officeDocument/2006/relationships/hyperlink" Target="https://www.wipo.int/edocs/mdocs/hague/ar/h_ld_wg_13/h_ld_wg_13_6.pdf" TargetMode="External"/><Relationship Id="rId4" Type="http://schemas.openxmlformats.org/officeDocument/2006/relationships/hyperlink" Target="https://www.wipo.int/edocs/mdocs/hague/ar/h_ld_wg_13/h_ld_wg_13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B5F0-06EB-4458-B8C1-CBD1782A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H/A/44/1 (Arabic)</vt:lpstr>
      <vt:lpstr>H/LD/WG/12/2 (Arabic)</vt:lpstr>
    </vt:vector>
  </TitlesOfParts>
  <Company>WIPO</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H/A/45/1</dc:title>
  <dc:creator>WIPO</dc:creator>
  <cp:keywords>FOR OFFICIAL USE ONLY</cp:keywords>
  <cp:lastModifiedBy>RUSSO Antonella</cp:lastModifiedBy>
  <cp:revision>10</cp:revision>
  <cp:lastPrinted>2025-04-01T14:21:00Z</cp:lastPrinted>
  <dcterms:created xsi:type="dcterms:W3CDTF">2025-03-12T23:04:00Z</dcterms:created>
  <dcterms:modified xsi:type="dcterms:W3CDTF">2025-04-01T14:29:00Z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2023-09-19T12:40:24Z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ec10c165-dc0b-492c-b3e6-94e9005d0b36</vt:lpwstr>
  </property>
  <property fmtid="{D5CDD505-2E9C-101B-9397-08002B2CF9AE}" pid="13" name="MSIP_Label_20773ee6-353b-4fb9-a59d-0b94c8c67bea_ContentBits">
    <vt:lpwstr>0</vt:lpwstr>
  </property>
</Properties>
</file>