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CB89" w14:textId="77777777" w:rsidR="008B2CC1" w:rsidRPr="008B2CC1" w:rsidRDefault="00873EE5" w:rsidP="00F11D94">
      <w:pPr>
        <w:spacing w:after="120"/>
        <w:jc w:val="right"/>
      </w:pPr>
      <w:r>
        <w:rPr>
          <w:noProof/>
          <w:sz w:val="28"/>
          <w:szCs w:val="28"/>
          <w:lang w:val="fr-CH" w:eastAsia="fr-CH"/>
        </w:rPr>
        <w:drawing>
          <wp:inline distT="0" distB="0" distL="0" distR="0" wp14:anchorId="3A4A2DC7" wp14:editId="4ACAFB3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68154C18" wp14:editId="1415150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4A6C9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50F07A8" w14:textId="60A72AF7" w:rsidR="008B2CC1" w:rsidRPr="001024FE" w:rsidRDefault="000676A8" w:rsidP="001024FE">
      <w:pPr>
        <w:jc w:val="right"/>
        <w:rPr>
          <w:rFonts w:ascii="Arial Black" w:hAnsi="Arial Black"/>
          <w:caps/>
          <w:sz w:val="15"/>
          <w:szCs w:val="15"/>
        </w:rPr>
      </w:pPr>
      <w:r w:rsidRPr="000676A8">
        <w:rPr>
          <w:rFonts w:ascii="Arial Black" w:hAnsi="Arial Black"/>
          <w:caps/>
          <w:sz w:val="15"/>
          <w:szCs w:val="15"/>
        </w:rPr>
        <w:t>H/A/4</w:t>
      </w:r>
      <w:r w:rsidR="00D97C3F">
        <w:rPr>
          <w:rFonts w:ascii="Arial Black" w:hAnsi="Arial Black"/>
          <w:caps/>
          <w:sz w:val="15"/>
          <w:szCs w:val="15"/>
        </w:rPr>
        <w:t>5</w:t>
      </w:r>
      <w:r w:rsidRPr="000676A8">
        <w:rPr>
          <w:rFonts w:ascii="Arial Black" w:hAnsi="Arial Black"/>
          <w:caps/>
          <w:sz w:val="15"/>
          <w:szCs w:val="15"/>
        </w:rPr>
        <w:t>/</w:t>
      </w:r>
      <w:bookmarkStart w:id="0" w:name="Code"/>
      <w:bookmarkEnd w:id="0"/>
      <w:r w:rsidR="004331FA">
        <w:rPr>
          <w:rFonts w:ascii="Arial Black" w:hAnsi="Arial Black"/>
          <w:caps/>
          <w:sz w:val="15"/>
          <w:szCs w:val="15"/>
        </w:rPr>
        <w:t>1</w:t>
      </w:r>
    </w:p>
    <w:p w14:paraId="5CA59D68" w14:textId="0828262B"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331FA">
        <w:rPr>
          <w:rFonts w:ascii="Arial Black" w:hAnsi="Arial Black"/>
          <w:caps/>
          <w:sz w:val="15"/>
          <w:szCs w:val="15"/>
        </w:rPr>
        <w:t>ENGLISH</w:t>
      </w:r>
    </w:p>
    <w:bookmarkEnd w:id="1"/>
    <w:p w14:paraId="589495D7" w14:textId="074CEA5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4331FA">
        <w:rPr>
          <w:rFonts w:ascii="Arial Black" w:hAnsi="Arial Black"/>
          <w:caps/>
          <w:sz w:val="15"/>
          <w:szCs w:val="15"/>
        </w:rPr>
        <w:t>APRIL 7, 2025</w:t>
      </w:r>
    </w:p>
    <w:bookmarkEnd w:id="2"/>
    <w:p w14:paraId="57454AFF" w14:textId="77777777" w:rsidR="008B2CC1" w:rsidRPr="003845C1" w:rsidRDefault="000676A8" w:rsidP="00CE65D4">
      <w:pPr>
        <w:spacing w:after="600"/>
        <w:rPr>
          <w:b/>
          <w:sz w:val="28"/>
          <w:szCs w:val="28"/>
        </w:rPr>
      </w:pPr>
      <w:r w:rsidRPr="000676A8">
        <w:rPr>
          <w:b/>
          <w:sz w:val="28"/>
          <w:szCs w:val="28"/>
        </w:rPr>
        <w:t>Special Union for the International Deposit of Industrial Designs (Hague Union)</w:t>
      </w:r>
    </w:p>
    <w:p w14:paraId="185AF613" w14:textId="77777777" w:rsidR="00A85B8E" w:rsidRPr="00A85B8E" w:rsidRDefault="00A85B8E" w:rsidP="00AF5C73">
      <w:pPr>
        <w:spacing w:after="720"/>
        <w:rPr>
          <w:b/>
          <w:sz w:val="28"/>
          <w:szCs w:val="28"/>
        </w:rPr>
      </w:pPr>
      <w:r w:rsidRPr="00A85B8E">
        <w:rPr>
          <w:b/>
          <w:sz w:val="28"/>
          <w:szCs w:val="28"/>
        </w:rPr>
        <w:t>Assembly</w:t>
      </w:r>
    </w:p>
    <w:p w14:paraId="749EFDC8" w14:textId="77777777" w:rsidR="008B2CC1" w:rsidRPr="003845C1" w:rsidRDefault="000676A8" w:rsidP="008B2CC1">
      <w:pPr>
        <w:rPr>
          <w:b/>
          <w:sz w:val="24"/>
          <w:szCs w:val="24"/>
        </w:rPr>
      </w:pPr>
      <w:r w:rsidRPr="000676A8">
        <w:rPr>
          <w:b/>
          <w:sz w:val="24"/>
          <w:szCs w:val="24"/>
        </w:rPr>
        <w:t>Forty-</w:t>
      </w:r>
      <w:r w:rsidR="00D04600">
        <w:rPr>
          <w:b/>
          <w:sz w:val="24"/>
          <w:szCs w:val="24"/>
        </w:rPr>
        <w:t>F</w:t>
      </w:r>
      <w:r w:rsidR="00D97C3F">
        <w:rPr>
          <w:b/>
          <w:sz w:val="24"/>
          <w:szCs w:val="24"/>
        </w:rPr>
        <w:t>ifth</w:t>
      </w:r>
      <w:r w:rsidR="00D04600" w:rsidRPr="000676A8">
        <w:rPr>
          <w:b/>
          <w:sz w:val="24"/>
          <w:szCs w:val="24"/>
        </w:rPr>
        <w:t xml:space="preserve"> </w:t>
      </w:r>
      <w:r w:rsidRPr="000676A8">
        <w:rPr>
          <w:b/>
          <w:sz w:val="24"/>
          <w:szCs w:val="24"/>
        </w:rPr>
        <w:t>(2</w:t>
      </w:r>
      <w:r w:rsidR="00D97C3F">
        <w:rPr>
          <w:b/>
          <w:sz w:val="24"/>
          <w:szCs w:val="24"/>
        </w:rPr>
        <w:t>5</w:t>
      </w:r>
      <w:r w:rsidRPr="00340E12">
        <w:rPr>
          <w:b/>
          <w:sz w:val="24"/>
          <w:szCs w:val="24"/>
          <w:vertAlign w:val="superscript"/>
        </w:rPr>
        <w:t>th</w:t>
      </w:r>
      <w:r w:rsidRPr="000676A8">
        <w:rPr>
          <w:b/>
          <w:sz w:val="24"/>
          <w:szCs w:val="24"/>
        </w:rPr>
        <w:t xml:space="preserve"> </w:t>
      </w:r>
      <w:r w:rsidR="00B369B1">
        <w:rPr>
          <w:b/>
          <w:sz w:val="24"/>
          <w:szCs w:val="24"/>
        </w:rPr>
        <w:t>O</w:t>
      </w:r>
      <w:r w:rsidR="00D04600" w:rsidRPr="000676A8">
        <w:rPr>
          <w:b/>
          <w:sz w:val="24"/>
          <w:szCs w:val="24"/>
        </w:rPr>
        <w:t>rdinary</w:t>
      </w:r>
      <w:r w:rsidRPr="000676A8">
        <w:rPr>
          <w:b/>
          <w:sz w:val="24"/>
          <w:szCs w:val="24"/>
        </w:rPr>
        <w:t>) Session</w:t>
      </w:r>
    </w:p>
    <w:p w14:paraId="127ADB6B" w14:textId="77777777" w:rsidR="008B2CC1" w:rsidRPr="009F3BF9" w:rsidRDefault="000676A8" w:rsidP="00CE65D4">
      <w:pPr>
        <w:spacing w:after="720"/>
      </w:pPr>
      <w:r w:rsidRPr="000676A8">
        <w:rPr>
          <w:b/>
          <w:sz w:val="24"/>
          <w:szCs w:val="24"/>
        </w:rPr>
        <w:t xml:space="preserve">Geneva, July </w:t>
      </w:r>
      <w:r w:rsidR="00D97C3F">
        <w:rPr>
          <w:b/>
          <w:sz w:val="24"/>
          <w:szCs w:val="24"/>
        </w:rPr>
        <w:t>8</w:t>
      </w:r>
      <w:r w:rsidRPr="000676A8">
        <w:rPr>
          <w:b/>
          <w:sz w:val="24"/>
          <w:szCs w:val="24"/>
        </w:rPr>
        <w:t xml:space="preserve"> to </w:t>
      </w:r>
      <w:r w:rsidR="00D04600">
        <w:rPr>
          <w:b/>
          <w:sz w:val="24"/>
          <w:szCs w:val="24"/>
        </w:rPr>
        <w:t>1</w:t>
      </w:r>
      <w:r w:rsidR="00D97C3F">
        <w:rPr>
          <w:b/>
          <w:sz w:val="24"/>
          <w:szCs w:val="24"/>
        </w:rPr>
        <w:t>7</w:t>
      </w:r>
      <w:r w:rsidRPr="000676A8">
        <w:rPr>
          <w:b/>
          <w:sz w:val="24"/>
          <w:szCs w:val="24"/>
        </w:rPr>
        <w:t>, 202</w:t>
      </w:r>
      <w:r w:rsidR="00D97C3F">
        <w:rPr>
          <w:b/>
          <w:sz w:val="24"/>
          <w:szCs w:val="24"/>
        </w:rPr>
        <w:t>5</w:t>
      </w:r>
    </w:p>
    <w:p w14:paraId="0E4051CB" w14:textId="2CC686E3" w:rsidR="008B2CC1" w:rsidRPr="009F3BF9" w:rsidRDefault="004331FA" w:rsidP="00CE65D4">
      <w:pPr>
        <w:spacing w:after="360"/>
        <w:rPr>
          <w:caps/>
          <w:sz w:val="24"/>
        </w:rPr>
      </w:pPr>
      <w:bookmarkStart w:id="3" w:name="TitleOfDoc"/>
      <w:r>
        <w:rPr>
          <w:caps/>
          <w:sz w:val="24"/>
        </w:rPr>
        <w:t>PARTICIPATION IN THE WIPO DIGITAL ACCESS SERVICE (DAS)</w:t>
      </w:r>
    </w:p>
    <w:p w14:paraId="548E9BE2" w14:textId="57317B4B" w:rsidR="008B2CC1" w:rsidRDefault="004331FA" w:rsidP="00CE65D4">
      <w:pPr>
        <w:spacing w:after="960"/>
        <w:rPr>
          <w:i/>
        </w:rPr>
      </w:pPr>
      <w:bookmarkStart w:id="4" w:name="Prepared"/>
      <w:bookmarkEnd w:id="3"/>
      <w:r>
        <w:rPr>
          <w:i/>
        </w:rPr>
        <w:t>Document prepared by the Secretariat</w:t>
      </w:r>
    </w:p>
    <w:p w14:paraId="622D9586" w14:textId="77777777" w:rsidR="004331FA" w:rsidRPr="00712A10" w:rsidRDefault="004331FA" w:rsidP="004331FA">
      <w:pPr>
        <w:pStyle w:val="Heading1"/>
        <w:spacing w:after="240"/>
        <w:rPr>
          <w:szCs w:val="22"/>
        </w:rPr>
      </w:pPr>
      <w:r>
        <w:rPr>
          <w:szCs w:val="22"/>
        </w:rPr>
        <w:t>background</w:t>
      </w:r>
    </w:p>
    <w:p w14:paraId="09CE124B" w14:textId="14D74C3D" w:rsidR="004331FA" w:rsidRPr="007D024D" w:rsidRDefault="004331FA" w:rsidP="004331FA">
      <w:pPr>
        <w:pStyle w:val="ONUME"/>
      </w:pPr>
      <w:r>
        <w:t>A</w:t>
      </w:r>
      <w:r w:rsidRPr="00B2223C">
        <w:t>t its t</w:t>
      </w:r>
      <w:r>
        <w:t>hirteen</w:t>
      </w:r>
      <w:r w:rsidRPr="00B2223C">
        <w:t xml:space="preserve">th session held </w:t>
      </w:r>
      <w:r>
        <w:t>from</w:t>
      </w:r>
      <w:r w:rsidRPr="00B2223C">
        <w:t xml:space="preserve"> </w:t>
      </w:r>
      <w:r>
        <w:t>October 21 to 23</w:t>
      </w:r>
      <w:r w:rsidRPr="00B2223C">
        <w:t>, 202</w:t>
      </w:r>
      <w:r>
        <w:t>4</w:t>
      </w:r>
      <w:r w:rsidRPr="00B2223C">
        <w:t>,</w:t>
      </w:r>
      <w:r>
        <w:t xml:space="preserve"> t</w:t>
      </w:r>
      <w:r w:rsidRPr="00844A33">
        <w:t>he Working Group on the</w:t>
      </w:r>
      <w:r>
        <w:t> </w:t>
      </w:r>
      <w:r w:rsidRPr="00844A33">
        <w:t>Legal Development of the Hague System for the International Registration</w:t>
      </w:r>
      <w:r w:rsidRPr="00B2223C">
        <w:t xml:space="preserve"> of Industrial Designs (hereinafter referred to as the </w:t>
      </w:r>
      <w:r>
        <w:t>“</w:t>
      </w:r>
      <w:r w:rsidRPr="00B2223C">
        <w:t xml:space="preserve">Working Group”), </w:t>
      </w:r>
      <w:r w:rsidR="004C4B54">
        <w:t>drawing</w:t>
      </w:r>
      <w:r w:rsidRPr="00B2223C">
        <w:t xml:space="preserve"> on document</w:t>
      </w:r>
      <w:r>
        <w:t> </w:t>
      </w:r>
      <w:r w:rsidRPr="00B2223C">
        <w:t>H/LD/WG/1</w:t>
      </w:r>
      <w:r>
        <w:t>3</w:t>
      </w:r>
      <w:r w:rsidRPr="00B2223C">
        <w:t xml:space="preserve">/2, considered favorably the submission of </w:t>
      </w:r>
      <w:r>
        <w:t xml:space="preserve">a recommendation that relates to the </w:t>
      </w:r>
      <w:r w:rsidRPr="00666541">
        <w:t>WIPO Digital Access Service (hereinafter referred to as</w:t>
      </w:r>
      <w:r>
        <w:t> </w:t>
      </w:r>
      <w:r w:rsidRPr="00666541">
        <w:t>“WIPO DAS”)</w:t>
      </w:r>
      <w:r w:rsidR="00F27FBC">
        <w:t xml:space="preserve"> </w:t>
      </w:r>
      <w:r w:rsidR="00F27FBC" w:rsidRPr="00B2223C">
        <w:t xml:space="preserve">for adoption </w:t>
      </w:r>
      <w:r w:rsidR="00F27FBC">
        <w:t>by</w:t>
      </w:r>
      <w:r w:rsidR="00F27FBC" w:rsidRPr="00B2223C">
        <w:t xml:space="preserve"> the Assembly of the Hague Union (hereinafter referred to as the </w:t>
      </w:r>
      <w:r w:rsidR="00F27FBC">
        <w:t>“</w:t>
      </w:r>
      <w:r w:rsidR="00F27FBC" w:rsidRPr="00B2223C">
        <w:t>Assembly”)</w:t>
      </w:r>
      <w:r w:rsidRPr="00D10BC1">
        <w:rPr>
          <w:rStyle w:val="FootnoteReference"/>
        </w:rPr>
        <w:t xml:space="preserve"> </w:t>
      </w:r>
      <w:r w:rsidRPr="00B2223C">
        <w:rPr>
          <w:rStyle w:val="FootnoteReference"/>
        </w:rPr>
        <w:footnoteReference w:id="2"/>
      </w:r>
      <w:r>
        <w:t>.</w:t>
      </w:r>
    </w:p>
    <w:p w14:paraId="41A08E34" w14:textId="66E167C3" w:rsidR="004331FA" w:rsidRDefault="004331FA" w:rsidP="004331FA">
      <w:pPr>
        <w:pStyle w:val="ONUME"/>
      </w:pPr>
      <w:r>
        <w:t>P</w:t>
      </w:r>
      <w:r w:rsidRPr="00851B78">
        <w:t xml:space="preserve">ursuant to Article 6(1) of the Geneva Act (1999) of the Hague Agreement </w:t>
      </w:r>
      <w:r w:rsidRPr="00D10BC1">
        <w:t xml:space="preserve">Concerning the International Registration of Industrial Designs </w:t>
      </w:r>
      <w:r w:rsidRPr="00851B78">
        <w:t>(hereinafter referred to as the “</w:t>
      </w:r>
      <w:r>
        <w:t>Geneva</w:t>
      </w:r>
      <w:r w:rsidRPr="00851B78">
        <w:t xml:space="preserve"> Act”), an international application may contain a declaration claiming, under Article 4 of the Paris</w:t>
      </w:r>
      <w:r w:rsidR="00F27FBC">
        <w:t xml:space="preserve"> </w:t>
      </w:r>
      <w:r w:rsidRPr="00851B78">
        <w:t>Convention for the Protection of Industrial Property (hereinafter referred to as the “Paris Convention”), the priority of one or more applications filed in or for any country party to the Paris Convention or any member of the World Trade Organization (</w:t>
      </w:r>
      <w:r w:rsidR="00DB6132">
        <w:t>“</w:t>
      </w:r>
      <w:r w:rsidRPr="00851B78">
        <w:t xml:space="preserve">priority claim”).  </w:t>
      </w:r>
      <w:r>
        <w:t>R</w:t>
      </w:r>
      <w:r w:rsidRPr="00851B78">
        <w:t>ule</w:t>
      </w:r>
      <w:r>
        <w:t> </w:t>
      </w:r>
      <w:r w:rsidRPr="00851B78">
        <w:t xml:space="preserve">7(5)(c) of the Regulations Under the </w:t>
      </w:r>
      <w:r>
        <w:t xml:space="preserve">Geneva </w:t>
      </w:r>
      <w:r w:rsidRPr="00851B78">
        <w:t>Act</w:t>
      </w:r>
      <w:r>
        <w:t xml:space="preserve"> only requires a</w:t>
      </w:r>
      <w:r w:rsidRPr="00851B78">
        <w:t>pplicants wishing to take advantage of such priority</w:t>
      </w:r>
      <w:r>
        <w:t xml:space="preserve"> to </w:t>
      </w:r>
      <w:r w:rsidRPr="00851B78">
        <w:t xml:space="preserve">include in the international application a claim to that </w:t>
      </w:r>
      <w:r w:rsidR="00497F06" w:rsidRPr="00851B78">
        <w:t>effect, together with the</w:t>
      </w:r>
    </w:p>
    <w:p w14:paraId="477C3B41" w14:textId="29C44EE8" w:rsidR="004331FA" w:rsidRPr="003D541B" w:rsidRDefault="000716F2" w:rsidP="004331FA">
      <w:pPr>
        <w:pStyle w:val="ONUME"/>
        <w:numPr>
          <w:ilvl w:val="0"/>
          <w:numId w:val="0"/>
        </w:numPr>
      </w:pPr>
      <w:r>
        <w:lastRenderedPageBreak/>
        <w:t>i</w:t>
      </w:r>
      <w:r w:rsidRPr="00851B78">
        <w:t>ndications</w:t>
      </w:r>
      <w:r>
        <w:t xml:space="preserve"> </w:t>
      </w:r>
      <w:r w:rsidR="004331FA" w:rsidRPr="00851B78">
        <w:t>necessary to identify the earlier filing.</w:t>
      </w:r>
      <w:r w:rsidR="004331FA">
        <w:t xml:space="preserve"> </w:t>
      </w:r>
      <w:r w:rsidR="004C4B54">
        <w:t xml:space="preserve"> </w:t>
      </w:r>
      <w:r w:rsidR="004331FA" w:rsidRPr="00D10BC1">
        <w:rPr>
          <w:szCs w:val="22"/>
        </w:rPr>
        <w:t>The Hague legal framework does not regulate the submission of a copy of the earlier filing (“priority document”) to Offices of designated Contracting Parties</w:t>
      </w:r>
      <w:r w:rsidR="004331FA">
        <w:rPr>
          <w:rStyle w:val="FootnoteReference"/>
          <w:szCs w:val="22"/>
        </w:rPr>
        <w:footnoteReference w:id="3"/>
      </w:r>
      <w:r w:rsidR="004331FA" w:rsidRPr="00D10BC1">
        <w:rPr>
          <w:szCs w:val="22"/>
        </w:rPr>
        <w:t>.</w:t>
      </w:r>
    </w:p>
    <w:p w14:paraId="03FA08B4" w14:textId="77777777" w:rsidR="004331FA" w:rsidRDefault="004331FA" w:rsidP="000716F2">
      <w:pPr>
        <w:pStyle w:val="ONUME"/>
      </w:pPr>
      <w:r>
        <w:t xml:space="preserve">Nevertheless, a growing number of Contracting Parties </w:t>
      </w:r>
      <w:r w:rsidRPr="00851B78">
        <w:t xml:space="preserve">have informed the International Bureau that they require the submission of </w:t>
      </w:r>
      <w:r>
        <w:t>the</w:t>
      </w:r>
      <w:r w:rsidRPr="00851B78">
        <w:t xml:space="preserve"> priority document</w:t>
      </w:r>
      <w:r>
        <w:t xml:space="preserve"> directly to them if the international application in which they are designated contains a priority claim</w:t>
      </w:r>
      <w:r w:rsidRPr="00E96C42">
        <w:rPr>
          <w:rStyle w:val="FootnoteReference"/>
        </w:rPr>
        <w:footnoteReference w:id="4"/>
      </w:r>
      <w:r>
        <w:t xml:space="preserve">.  </w:t>
      </w:r>
    </w:p>
    <w:p w14:paraId="2A2C9DEF" w14:textId="77777777" w:rsidR="004331FA" w:rsidRPr="00712A10" w:rsidRDefault="004331FA" w:rsidP="004331FA">
      <w:pPr>
        <w:pStyle w:val="ONUME"/>
      </w:pPr>
      <w:r>
        <w:t>In this context, it is important to recall that the centralized filing and management of an international registration is one of the basic principles of the Hague System and constitutes an important advantage for users.  Therefore, the direct submission of additional documents to Offices appears to be contrary to the spirit of the Hague System and poses extra burden and costs on its users</w:t>
      </w:r>
      <w:r>
        <w:rPr>
          <w:rStyle w:val="FootnoteReference"/>
        </w:rPr>
        <w:footnoteReference w:id="5"/>
      </w:r>
      <w:r w:rsidRPr="00C77E25">
        <w:t>.</w:t>
      </w:r>
    </w:p>
    <w:p w14:paraId="0CB3AAAD" w14:textId="0CEA7A80" w:rsidR="004331FA" w:rsidRDefault="00F27FBC" w:rsidP="004331FA">
      <w:pPr>
        <w:pStyle w:val="ONUME"/>
        <w:tabs>
          <w:tab w:val="left" w:pos="2430"/>
        </w:tabs>
      </w:pPr>
      <w:r>
        <w:rPr>
          <w:lang w:eastAsia="en-US"/>
        </w:rPr>
        <w:t>T</w:t>
      </w:r>
      <w:r w:rsidR="004331FA">
        <w:rPr>
          <w:lang w:eastAsia="en-US"/>
        </w:rPr>
        <w:t>o address the above points, the Working Group encouraged the participation of Offices of Contracting Parties in WIPO DAS with respect to priority documents for design applications, and agreed that this be formalized by means of a recommendation by the Assembly of the Hague Union</w:t>
      </w:r>
      <w:r w:rsidR="004331FA">
        <w:rPr>
          <w:rStyle w:val="FootnoteReference"/>
          <w:lang w:eastAsia="en-US"/>
        </w:rPr>
        <w:footnoteReference w:id="6"/>
      </w:r>
      <w:r w:rsidR="004331FA">
        <w:rPr>
          <w:lang w:eastAsia="en-US"/>
        </w:rPr>
        <w:t>.  In particular, Offices that systematically require the priority document if an international registration contains a priority claim should strongly consider participating in WIPO DAS as an “</w:t>
      </w:r>
      <w:r w:rsidR="004331FA">
        <w:rPr>
          <w:szCs w:val="22"/>
        </w:rPr>
        <w:t>Accessing Office</w:t>
      </w:r>
      <w:r w:rsidR="004331FA" w:rsidRPr="00534A43">
        <w:rPr>
          <w:szCs w:val="22"/>
        </w:rPr>
        <w:t>”</w:t>
      </w:r>
      <w:r w:rsidR="004331FA">
        <w:rPr>
          <w:rStyle w:val="FootnoteReference"/>
          <w:szCs w:val="22"/>
        </w:rPr>
        <w:footnoteReference w:id="7"/>
      </w:r>
      <w:r w:rsidR="004331FA">
        <w:rPr>
          <w:szCs w:val="22"/>
        </w:rPr>
        <w:t>.</w:t>
      </w:r>
      <w:r w:rsidR="004331FA">
        <w:rPr>
          <w:lang w:eastAsia="en-US"/>
        </w:rPr>
        <w:t xml:space="preserve"> </w:t>
      </w:r>
    </w:p>
    <w:p w14:paraId="63A761F2" w14:textId="76D49570" w:rsidR="004331FA" w:rsidRPr="009E18A4" w:rsidRDefault="004331FA" w:rsidP="004331FA">
      <w:pPr>
        <w:pStyle w:val="ONUME"/>
        <w:rPr>
          <w:lang w:eastAsia="en-US"/>
        </w:rPr>
      </w:pPr>
      <w:r w:rsidRPr="00E96C42">
        <w:t>WIPO DAS</w:t>
      </w:r>
      <w:r w:rsidRPr="0083415D">
        <w:rPr>
          <w:color w:val="000000"/>
        </w:rPr>
        <w:t xml:space="preserve"> is an electronic system allowing priority documents to be securely exchanged between participating </w:t>
      </w:r>
      <w:r w:rsidR="00F27FBC">
        <w:rPr>
          <w:color w:val="000000"/>
        </w:rPr>
        <w:t>i</w:t>
      </w:r>
      <w:r w:rsidR="004C4B54">
        <w:rPr>
          <w:color w:val="000000"/>
        </w:rPr>
        <w:t xml:space="preserve">ntellectual </w:t>
      </w:r>
      <w:r w:rsidR="00F27FBC">
        <w:rPr>
          <w:color w:val="000000"/>
        </w:rPr>
        <w:t>p</w:t>
      </w:r>
      <w:r w:rsidR="004C4B54">
        <w:rPr>
          <w:color w:val="000000"/>
        </w:rPr>
        <w:t>roperty</w:t>
      </w:r>
      <w:r w:rsidRPr="0083415D">
        <w:rPr>
          <w:color w:val="000000"/>
        </w:rPr>
        <w:t xml:space="preserve"> Offices. </w:t>
      </w:r>
      <w:r>
        <w:rPr>
          <w:color w:val="000000"/>
        </w:rPr>
        <w:t xml:space="preserve"> </w:t>
      </w:r>
      <w:r w:rsidRPr="00846F8F">
        <w:rPr>
          <w:color w:val="000000"/>
        </w:rPr>
        <w:t xml:space="preserve">WIPO DAS is </w:t>
      </w:r>
      <w:r>
        <w:rPr>
          <w:color w:val="000000"/>
        </w:rPr>
        <w:t xml:space="preserve">recognized as </w:t>
      </w:r>
      <w:r w:rsidRPr="009714A7">
        <w:rPr>
          <w:color w:val="000000"/>
        </w:rPr>
        <w:t>the most efficient tool to exchange priority documents between Offices and can reduce the burden on Offices and users to furnish and exchange documents.</w:t>
      </w:r>
      <w:r>
        <w:rPr>
          <w:color w:val="000000"/>
        </w:rPr>
        <w:t xml:space="preserve">  </w:t>
      </w:r>
      <w:r w:rsidRPr="009E18A4">
        <w:rPr>
          <w:lang w:eastAsia="en-US"/>
        </w:rPr>
        <w:t xml:space="preserve">Offices may implement </w:t>
      </w:r>
      <w:r>
        <w:rPr>
          <w:lang w:eastAsia="en-US"/>
        </w:rPr>
        <w:t xml:space="preserve">WIPO DAS </w:t>
      </w:r>
      <w:r w:rsidRPr="009E18A4">
        <w:rPr>
          <w:lang w:eastAsia="en-US"/>
        </w:rPr>
        <w:t>relatively easily by making use of the “DAS Office Portal” which enables them to upload and download documents through a web interface without any need for modifications to domestic IT systems.  Offices can join WIPO DAS by simply sending a notification to the International Bureau, and by putting in place the necessary operational procedures to allow applicants to utilize the service.</w:t>
      </w:r>
      <w:r>
        <w:rPr>
          <w:lang w:eastAsia="en-US"/>
        </w:rPr>
        <w:t xml:space="preserve">  </w:t>
      </w:r>
      <w:r w:rsidRPr="001A6FEE">
        <w:rPr>
          <w:color w:val="000000"/>
        </w:rPr>
        <w:t xml:space="preserve">At the time of </w:t>
      </w:r>
      <w:r>
        <w:rPr>
          <w:color w:val="000000"/>
        </w:rPr>
        <w:t xml:space="preserve">posting </w:t>
      </w:r>
      <w:r w:rsidR="006560F5">
        <w:rPr>
          <w:color w:val="000000"/>
        </w:rPr>
        <w:t xml:space="preserve">of </w:t>
      </w:r>
      <w:r w:rsidRPr="001A6FEE">
        <w:rPr>
          <w:color w:val="000000"/>
        </w:rPr>
        <w:t>this document, only 20 Offices of the 82 Hague Contracting Parties participate in WIPO DAS with respect to priority documents for design applications</w:t>
      </w:r>
      <w:r>
        <w:rPr>
          <w:rStyle w:val="FootnoteReference"/>
          <w:color w:val="000000"/>
        </w:rPr>
        <w:footnoteReference w:id="8"/>
      </w:r>
      <w:r w:rsidRPr="001A6FEE">
        <w:rPr>
          <w:color w:val="000000"/>
        </w:rPr>
        <w:t>.</w:t>
      </w:r>
    </w:p>
    <w:p w14:paraId="27657C79" w14:textId="77777777" w:rsidR="004331FA" w:rsidRPr="009D43CF" w:rsidRDefault="004331FA" w:rsidP="004331FA">
      <w:pPr>
        <w:pStyle w:val="Heading1"/>
        <w:spacing w:before="360" w:after="240"/>
        <w:rPr>
          <w:szCs w:val="22"/>
        </w:rPr>
      </w:pPr>
      <w:r w:rsidRPr="00712A10">
        <w:rPr>
          <w:szCs w:val="22"/>
        </w:rPr>
        <w:t>proposal</w:t>
      </w:r>
    </w:p>
    <w:p w14:paraId="7B64F596" w14:textId="77777777" w:rsidR="004331FA" w:rsidRPr="00534A43" w:rsidRDefault="004331FA" w:rsidP="00DB6132">
      <w:pPr>
        <w:pStyle w:val="ONUME"/>
        <w:tabs>
          <w:tab w:val="clear" w:pos="567"/>
        </w:tabs>
        <w:rPr>
          <w:szCs w:val="22"/>
        </w:rPr>
      </w:pPr>
      <w:r>
        <w:rPr>
          <w:szCs w:val="22"/>
        </w:rPr>
        <w:t>The</w:t>
      </w:r>
      <w:r w:rsidRPr="00534A43">
        <w:rPr>
          <w:szCs w:val="22"/>
        </w:rPr>
        <w:t xml:space="preserve"> following text of a recommendation is </w:t>
      </w:r>
      <w:r>
        <w:rPr>
          <w:szCs w:val="22"/>
        </w:rPr>
        <w:t>t</w:t>
      </w:r>
      <w:r w:rsidRPr="00534A43">
        <w:rPr>
          <w:szCs w:val="22"/>
        </w:rPr>
        <w:t>he</w:t>
      </w:r>
      <w:r>
        <w:rPr>
          <w:szCs w:val="22"/>
        </w:rPr>
        <w:t xml:space="preserve">refore </w:t>
      </w:r>
      <w:r w:rsidRPr="00534A43">
        <w:rPr>
          <w:szCs w:val="22"/>
        </w:rPr>
        <w:t>proposed for adoption by the Assembly of the Hague Union:</w:t>
      </w:r>
    </w:p>
    <w:p w14:paraId="6B2E6E35" w14:textId="60AD7531" w:rsidR="004331FA" w:rsidRDefault="004331FA" w:rsidP="00CF54B8">
      <w:pPr>
        <w:pStyle w:val="ONUME"/>
        <w:numPr>
          <w:ilvl w:val="0"/>
          <w:numId w:val="0"/>
        </w:numPr>
        <w:ind w:firstLine="567"/>
        <w:rPr>
          <w:szCs w:val="22"/>
        </w:rPr>
      </w:pPr>
      <w:r w:rsidRPr="00534A43">
        <w:rPr>
          <w:szCs w:val="22"/>
        </w:rPr>
        <w:t xml:space="preserve">“Offices of Contracting Parties are encouraged to participate in </w:t>
      </w:r>
      <w:r>
        <w:rPr>
          <w:szCs w:val="22"/>
        </w:rPr>
        <w:t xml:space="preserve">the WIPO Digital Access </w:t>
      </w:r>
      <w:r w:rsidR="00DB6132">
        <w:rPr>
          <w:szCs w:val="22"/>
        </w:rPr>
        <w:tab/>
      </w:r>
      <w:r>
        <w:rPr>
          <w:szCs w:val="22"/>
        </w:rPr>
        <w:t>Service (</w:t>
      </w:r>
      <w:r w:rsidRPr="00534A43">
        <w:rPr>
          <w:szCs w:val="22"/>
        </w:rPr>
        <w:t>WIPO DAS</w:t>
      </w:r>
      <w:r>
        <w:rPr>
          <w:szCs w:val="22"/>
        </w:rPr>
        <w:t>)</w:t>
      </w:r>
      <w:r w:rsidRPr="00534A43">
        <w:rPr>
          <w:szCs w:val="22"/>
        </w:rPr>
        <w:t xml:space="preserve"> with respect to priority documents for design applications.”</w:t>
      </w:r>
      <w:r>
        <w:rPr>
          <w:szCs w:val="22"/>
        </w:rPr>
        <w:br w:type="page"/>
      </w:r>
    </w:p>
    <w:p w14:paraId="6F46C4B0" w14:textId="2369BA66" w:rsidR="004331FA" w:rsidRPr="003E082E" w:rsidRDefault="004331FA" w:rsidP="004331FA">
      <w:pPr>
        <w:pStyle w:val="ONUME"/>
        <w:rPr>
          <w:szCs w:val="22"/>
        </w:rPr>
      </w:pPr>
      <w:r>
        <w:lastRenderedPageBreak/>
        <w:t xml:space="preserve">It is proposed that this recommendation be </w:t>
      </w:r>
      <w:r w:rsidRPr="00957636">
        <w:t>adopted with immediate effect.</w:t>
      </w:r>
      <w:r>
        <w:t xml:space="preserve">  </w:t>
      </w:r>
      <w:r w:rsidRPr="002C04A9">
        <w:t>If the Assembly of the Hague Union adopt</w:t>
      </w:r>
      <w:r>
        <w:t>s</w:t>
      </w:r>
      <w:r w:rsidRPr="002C04A9">
        <w:t xml:space="preserve"> this recommendation, it w</w:t>
      </w:r>
      <w:r>
        <w:t>ill</w:t>
      </w:r>
      <w:r w:rsidRPr="002C04A9">
        <w:t xml:space="preserve"> be recalled by means of an editorial footnote in association with the text of Section 408(a)</w:t>
      </w:r>
      <w:r>
        <w:t xml:space="preserve"> </w:t>
      </w:r>
      <w:r w:rsidRPr="00DB433D">
        <w:rPr>
          <w:szCs w:val="22"/>
        </w:rPr>
        <w:t xml:space="preserve">of the </w:t>
      </w:r>
      <w:r>
        <w:rPr>
          <w:szCs w:val="22"/>
        </w:rPr>
        <w:t xml:space="preserve">Administrative Instructions </w:t>
      </w:r>
      <w:r w:rsidRPr="00736538">
        <w:rPr>
          <w:szCs w:val="22"/>
        </w:rPr>
        <w:t>for the Application of the Hague Agreement</w:t>
      </w:r>
      <w:r>
        <w:rPr>
          <w:rStyle w:val="FootnoteReference"/>
          <w:szCs w:val="22"/>
        </w:rPr>
        <w:footnoteReference w:id="9"/>
      </w:r>
      <w:r w:rsidRPr="002C04A9">
        <w:t>.</w:t>
      </w:r>
      <w:r>
        <w:t xml:space="preserve">  Furthermore, t</w:t>
      </w:r>
      <w:r w:rsidRPr="008C2C7E">
        <w:t>he I</w:t>
      </w:r>
      <w:r>
        <w:t xml:space="preserve">nternational </w:t>
      </w:r>
      <w:r w:rsidRPr="008C2C7E">
        <w:t>B</w:t>
      </w:r>
      <w:r>
        <w:t>ureau</w:t>
      </w:r>
      <w:r w:rsidRPr="008C2C7E">
        <w:t xml:space="preserve"> </w:t>
      </w:r>
      <w:r>
        <w:t xml:space="preserve">will </w:t>
      </w:r>
      <w:proofErr w:type="gramStart"/>
      <w:r>
        <w:t>make reference</w:t>
      </w:r>
      <w:proofErr w:type="gramEnd"/>
      <w:r>
        <w:t xml:space="preserve"> to that recommendation </w:t>
      </w:r>
      <w:r w:rsidRPr="008C2C7E">
        <w:t xml:space="preserve">in </w:t>
      </w:r>
      <w:r>
        <w:t xml:space="preserve">both pre-accession and </w:t>
      </w:r>
      <w:r w:rsidRPr="008C2C7E">
        <w:t>post</w:t>
      </w:r>
      <w:r>
        <w:t>-a</w:t>
      </w:r>
      <w:r w:rsidRPr="008C2C7E">
        <w:t xml:space="preserve">ccession discussions with </w:t>
      </w:r>
      <w:r>
        <w:t>O</w:t>
      </w:r>
      <w:r w:rsidRPr="008C2C7E">
        <w:t xml:space="preserve">ffices of Contracting Parties </w:t>
      </w:r>
      <w:r>
        <w:t xml:space="preserve">which do not yet participate in WIPO </w:t>
      </w:r>
      <w:r w:rsidRPr="008C2C7E">
        <w:t xml:space="preserve">DAS.  </w:t>
      </w:r>
    </w:p>
    <w:p w14:paraId="270F9B6B" w14:textId="26F9D93D" w:rsidR="004331FA" w:rsidRDefault="004331FA" w:rsidP="00D46052">
      <w:pPr>
        <w:pStyle w:val="ONUME"/>
        <w:numPr>
          <w:ilvl w:val="0"/>
          <w:numId w:val="0"/>
        </w:numPr>
        <w:tabs>
          <w:tab w:val="left" w:pos="6300"/>
        </w:tabs>
        <w:spacing w:after="600"/>
        <w:ind w:left="5530"/>
        <w:rPr>
          <w:i/>
        </w:rPr>
      </w:pPr>
      <w:r>
        <w:rPr>
          <w:i/>
          <w:szCs w:val="22"/>
        </w:rPr>
        <w:t>9.</w:t>
      </w:r>
      <w:r>
        <w:rPr>
          <w:i/>
          <w:szCs w:val="22"/>
        </w:rPr>
        <w:tab/>
      </w:r>
      <w:r w:rsidRPr="000A62F0">
        <w:rPr>
          <w:i/>
          <w:szCs w:val="22"/>
        </w:rPr>
        <w:t xml:space="preserve">The Assembly of the Hague Union is invited to adopt the recommendation set </w:t>
      </w:r>
      <w:r w:rsidRPr="00957636">
        <w:rPr>
          <w:i/>
          <w:szCs w:val="22"/>
        </w:rPr>
        <w:t>out in</w:t>
      </w:r>
      <w:r w:rsidR="00DD754C">
        <w:rPr>
          <w:i/>
          <w:szCs w:val="22"/>
        </w:rPr>
        <w:t xml:space="preserve">   </w:t>
      </w:r>
      <w:r w:rsidRPr="00957636">
        <w:rPr>
          <w:i/>
          <w:szCs w:val="22"/>
        </w:rPr>
        <w:t xml:space="preserve"> </w:t>
      </w:r>
      <w:r w:rsidRPr="00117D88">
        <w:rPr>
          <w:i/>
          <w:szCs w:val="22"/>
        </w:rPr>
        <w:t>paragraph</w:t>
      </w:r>
      <w:r w:rsidR="00DD754C">
        <w:rPr>
          <w:i/>
          <w:szCs w:val="22"/>
        </w:rPr>
        <w:t xml:space="preserve"> </w:t>
      </w:r>
      <w:r w:rsidRPr="00117D88">
        <w:rPr>
          <w:i/>
          <w:szCs w:val="22"/>
        </w:rPr>
        <w:t>7,</w:t>
      </w:r>
      <w:r w:rsidRPr="00957636">
        <w:rPr>
          <w:i/>
          <w:szCs w:val="22"/>
        </w:rPr>
        <w:t xml:space="preserve"> above, with immediate effect.</w:t>
      </w:r>
    </w:p>
    <w:p w14:paraId="7DFEFD59" w14:textId="016184B2" w:rsidR="002928D3" w:rsidRPr="00CB6661" w:rsidRDefault="006560F5" w:rsidP="00D46052">
      <w:pPr>
        <w:spacing w:after="960"/>
        <w:ind w:left="5530"/>
        <w:rPr>
          <w:iCs/>
        </w:rPr>
      </w:pPr>
      <w:r w:rsidRPr="00CB6661">
        <w:rPr>
          <w:iCs/>
        </w:rPr>
        <w:t>[End of document]</w:t>
      </w:r>
      <w:bookmarkEnd w:id="4"/>
    </w:p>
    <w:sectPr w:rsidR="002928D3" w:rsidRPr="00CB6661" w:rsidSect="004331FA">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A734" w14:textId="77777777" w:rsidR="00E449EB" w:rsidRDefault="00E449EB">
      <w:r>
        <w:separator/>
      </w:r>
    </w:p>
  </w:endnote>
  <w:endnote w:type="continuationSeparator" w:id="0">
    <w:p w14:paraId="621371C6" w14:textId="77777777" w:rsidR="00E449EB" w:rsidRDefault="00E449EB" w:rsidP="003B38C1">
      <w:r>
        <w:separator/>
      </w:r>
    </w:p>
    <w:p w14:paraId="1F00A0B5" w14:textId="77777777" w:rsidR="00E449EB" w:rsidRPr="003B38C1" w:rsidRDefault="00E449EB" w:rsidP="003B38C1">
      <w:pPr>
        <w:spacing w:after="60"/>
        <w:rPr>
          <w:sz w:val="17"/>
        </w:rPr>
      </w:pPr>
      <w:r>
        <w:rPr>
          <w:sz w:val="17"/>
        </w:rPr>
        <w:t>[Endnote continued from previous page]</w:t>
      </w:r>
    </w:p>
  </w:endnote>
  <w:endnote w:type="continuationNotice" w:id="1">
    <w:p w14:paraId="12C72A37" w14:textId="77777777" w:rsidR="00E449EB" w:rsidRPr="003B38C1" w:rsidRDefault="00E449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9F9A" w14:textId="77777777" w:rsidR="00E449EB" w:rsidRDefault="00E449EB">
      <w:r>
        <w:separator/>
      </w:r>
    </w:p>
  </w:footnote>
  <w:footnote w:type="continuationSeparator" w:id="0">
    <w:p w14:paraId="5D0FACCA" w14:textId="77777777" w:rsidR="00E449EB" w:rsidRDefault="00E449EB" w:rsidP="008B60B2">
      <w:r>
        <w:separator/>
      </w:r>
    </w:p>
    <w:p w14:paraId="3D64B2F9" w14:textId="77777777" w:rsidR="00E449EB" w:rsidRPr="00ED77FB" w:rsidRDefault="00E449EB" w:rsidP="008B60B2">
      <w:pPr>
        <w:spacing w:after="60"/>
        <w:rPr>
          <w:sz w:val="17"/>
          <w:szCs w:val="17"/>
        </w:rPr>
      </w:pPr>
      <w:r w:rsidRPr="00ED77FB">
        <w:rPr>
          <w:sz w:val="17"/>
          <w:szCs w:val="17"/>
        </w:rPr>
        <w:t>[Footnote continued from previous page]</w:t>
      </w:r>
    </w:p>
  </w:footnote>
  <w:footnote w:type="continuationNotice" w:id="1">
    <w:p w14:paraId="4A23A0F8" w14:textId="77777777" w:rsidR="00E449EB" w:rsidRPr="00ED77FB" w:rsidRDefault="00E449EB" w:rsidP="008B60B2">
      <w:pPr>
        <w:spacing w:before="60"/>
        <w:jc w:val="right"/>
        <w:rPr>
          <w:sz w:val="17"/>
          <w:szCs w:val="17"/>
        </w:rPr>
      </w:pPr>
      <w:r w:rsidRPr="00ED77FB">
        <w:rPr>
          <w:sz w:val="17"/>
          <w:szCs w:val="17"/>
        </w:rPr>
        <w:t>[Footnote continued on next page]</w:t>
      </w:r>
    </w:p>
  </w:footnote>
  <w:footnote w:id="2">
    <w:p w14:paraId="0F83B71A" w14:textId="391A4E26" w:rsidR="004331FA" w:rsidRPr="00CB6B5F" w:rsidRDefault="004331FA" w:rsidP="004331FA">
      <w:pPr>
        <w:pStyle w:val="FootnoteText"/>
      </w:pPr>
      <w:r>
        <w:rPr>
          <w:rStyle w:val="FootnoteReference"/>
        </w:rPr>
        <w:footnoteRef/>
      </w:r>
      <w:r>
        <w:tab/>
        <w:t xml:space="preserve">See document </w:t>
      </w:r>
      <w:hyperlink r:id="rId1" w:history="1">
        <w:r w:rsidRPr="00C80775">
          <w:rPr>
            <w:rStyle w:val="Hyperlink"/>
          </w:rPr>
          <w:t>H/LD/WG/13/6</w:t>
        </w:r>
      </w:hyperlink>
      <w:r>
        <w:t>,</w:t>
      </w:r>
      <w:r w:rsidRPr="00F53061">
        <w:t xml:space="preserve"> </w:t>
      </w:r>
      <w:r>
        <w:t>paragraph 9(i)</w:t>
      </w:r>
      <w:r w:rsidRPr="00F53061">
        <w:t>.</w:t>
      </w:r>
    </w:p>
  </w:footnote>
  <w:footnote w:id="3">
    <w:p w14:paraId="4B140B4E" w14:textId="21E72977" w:rsidR="004331FA" w:rsidRDefault="004331FA" w:rsidP="004331FA">
      <w:pPr>
        <w:pStyle w:val="FootnoteText"/>
      </w:pPr>
      <w:r>
        <w:rPr>
          <w:rStyle w:val="FootnoteReference"/>
        </w:rPr>
        <w:footnoteRef/>
      </w:r>
      <w:r>
        <w:tab/>
      </w:r>
      <w:r>
        <w:rPr>
          <w:szCs w:val="22"/>
        </w:rPr>
        <w:t>However,</w:t>
      </w:r>
      <w:r w:rsidRPr="00C77E25">
        <w:rPr>
          <w:szCs w:val="22"/>
        </w:rPr>
        <w:t xml:space="preserve"> </w:t>
      </w:r>
      <w:r>
        <w:rPr>
          <w:szCs w:val="22"/>
        </w:rPr>
        <w:t xml:space="preserve">this </w:t>
      </w:r>
      <w:r w:rsidRPr="00C77E25">
        <w:rPr>
          <w:szCs w:val="22"/>
        </w:rPr>
        <w:t xml:space="preserve">does not preclude an Office from requesting the holder, in a particular case, to furnish a priority document to it, for example if </w:t>
      </w:r>
      <w:r>
        <w:rPr>
          <w:szCs w:val="22"/>
        </w:rPr>
        <w:t>an</w:t>
      </w:r>
      <w:r w:rsidRPr="00C77E25">
        <w:rPr>
          <w:szCs w:val="22"/>
        </w:rPr>
        <w:t xml:space="preserve"> Office considers </w:t>
      </w:r>
      <w:r>
        <w:rPr>
          <w:szCs w:val="22"/>
        </w:rPr>
        <w:t xml:space="preserve">in the context of a refusal </w:t>
      </w:r>
      <w:r w:rsidRPr="00C77E25">
        <w:rPr>
          <w:szCs w:val="22"/>
        </w:rPr>
        <w:t>that the priority document is necessary in order to determine novelty, because</w:t>
      </w:r>
      <w:r>
        <w:rPr>
          <w:szCs w:val="22"/>
        </w:rPr>
        <w:t xml:space="preserve"> </w:t>
      </w:r>
      <w:r w:rsidRPr="00C77E25">
        <w:rPr>
          <w:szCs w:val="22"/>
        </w:rPr>
        <w:t>of a disclosure intervening during the priority period</w:t>
      </w:r>
      <w:r>
        <w:rPr>
          <w:szCs w:val="22"/>
        </w:rPr>
        <w:t xml:space="preserve"> (</w:t>
      </w:r>
      <w:r>
        <w:t xml:space="preserve">see </w:t>
      </w:r>
      <w:r w:rsidRPr="00C77E25">
        <w:t xml:space="preserve">document </w:t>
      </w:r>
      <w:hyperlink r:id="rId2" w:history="1">
        <w:r w:rsidRPr="00FA2FB6">
          <w:rPr>
            <w:rStyle w:val="Hyperlink"/>
          </w:rPr>
          <w:t>H/DC/6</w:t>
        </w:r>
      </w:hyperlink>
      <w:r w:rsidRPr="00C77E25">
        <w:t xml:space="preserve">, </w:t>
      </w:r>
      <w:r>
        <w:t>N</w:t>
      </w:r>
      <w:r w:rsidRPr="00C77E25">
        <w:t>ote R7.12</w:t>
      </w:r>
      <w:r>
        <w:t>).</w:t>
      </w:r>
    </w:p>
  </w:footnote>
  <w:footnote w:id="4">
    <w:p w14:paraId="5B028547" w14:textId="5DC5F852" w:rsidR="004331FA" w:rsidRDefault="004331FA" w:rsidP="004331FA">
      <w:pPr>
        <w:pStyle w:val="FootnoteText"/>
      </w:pPr>
      <w:r>
        <w:rPr>
          <w:rStyle w:val="FootnoteReference"/>
        </w:rPr>
        <w:footnoteRef/>
      </w:r>
      <w:r>
        <w:tab/>
        <w:t xml:space="preserve">A survey on this subject was carried out in 2024.  A summary of the outcome of this survey is contained in </w:t>
      </w:r>
      <w:r w:rsidRPr="00851B78">
        <w:t>document</w:t>
      </w:r>
      <w:hyperlink r:id="rId3" w:history="1">
        <w:r w:rsidRPr="00FA2FB6">
          <w:rPr>
            <w:rStyle w:val="Hyperlink"/>
          </w:rPr>
          <w:t xml:space="preserve"> H/LD/WG/13/2</w:t>
        </w:r>
      </w:hyperlink>
      <w:r>
        <w:t>.</w:t>
      </w:r>
    </w:p>
  </w:footnote>
  <w:footnote w:id="5">
    <w:p w14:paraId="0ABFDBBF" w14:textId="7EB5A485" w:rsidR="004331FA" w:rsidRPr="00E54AC1" w:rsidRDefault="004331FA" w:rsidP="004331FA">
      <w:pPr>
        <w:pStyle w:val="FootnoteText"/>
        <w:rPr>
          <w:lang w:val="en-GB"/>
        </w:rPr>
      </w:pPr>
      <w:r>
        <w:rPr>
          <w:rStyle w:val="FootnoteReference"/>
        </w:rPr>
        <w:footnoteRef/>
      </w:r>
      <w:r>
        <w:rPr>
          <w:lang w:val="en-GB"/>
        </w:rPr>
        <w:tab/>
        <w:t xml:space="preserve">For more information, see </w:t>
      </w:r>
      <w:r w:rsidRPr="00E54AC1">
        <w:rPr>
          <w:lang w:val="en-GB"/>
        </w:rPr>
        <w:t xml:space="preserve">document </w:t>
      </w:r>
      <w:hyperlink r:id="rId4" w:history="1">
        <w:r w:rsidRPr="00FA2FB6">
          <w:rPr>
            <w:rStyle w:val="Hyperlink"/>
            <w:lang w:val="en-GB"/>
          </w:rPr>
          <w:t>H/LD/WG/13/2</w:t>
        </w:r>
      </w:hyperlink>
      <w:r w:rsidRPr="00E54AC1">
        <w:rPr>
          <w:lang w:val="en-GB"/>
        </w:rPr>
        <w:t>.</w:t>
      </w:r>
    </w:p>
  </w:footnote>
  <w:footnote w:id="6">
    <w:p w14:paraId="7D5DF7E3" w14:textId="4ADB088C" w:rsidR="004331FA" w:rsidRPr="00D40141" w:rsidRDefault="004331FA" w:rsidP="004331FA">
      <w:pPr>
        <w:pStyle w:val="FootnoteText"/>
      </w:pPr>
      <w:r>
        <w:rPr>
          <w:rStyle w:val="FootnoteReference"/>
        </w:rPr>
        <w:footnoteRef/>
      </w:r>
      <w:r w:rsidRPr="00E54AC1">
        <w:tab/>
        <w:t xml:space="preserve">See footnote 1. </w:t>
      </w:r>
      <w:r>
        <w:t xml:space="preserve"> Furthermore, t</w:t>
      </w:r>
      <w:r w:rsidRPr="00E54AC1">
        <w:t xml:space="preserve">he Working Group also requested </w:t>
      </w:r>
      <w:r>
        <w:t xml:space="preserve">that </w:t>
      </w:r>
      <w:r w:rsidRPr="00E54AC1">
        <w:t>the International Bureau consu</w:t>
      </w:r>
      <w:r>
        <w:t xml:space="preserve">lt with Offices of Contracting Parties concerned with a view to identifying possible alternative solutions for the exchange of priority documents (see document </w:t>
      </w:r>
      <w:hyperlink r:id="rId5" w:history="1">
        <w:r w:rsidRPr="00FA2FB6">
          <w:rPr>
            <w:rStyle w:val="Hyperlink"/>
          </w:rPr>
          <w:t>H/LD/WG/13/6</w:t>
        </w:r>
      </w:hyperlink>
      <w:r>
        <w:t>,</w:t>
      </w:r>
      <w:r w:rsidRPr="00F53061">
        <w:t xml:space="preserve"> </w:t>
      </w:r>
      <w:r>
        <w:t>paragraph 9(iii)).</w:t>
      </w:r>
      <w:r w:rsidRPr="00E54AC1">
        <w:t xml:space="preserve">  </w:t>
      </w:r>
    </w:p>
  </w:footnote>
  <w:footnote w:id="7">
    <w:p w14:paraId="18FBC6F0" w14:textId="6FF30360" w:rsidR="004331FA" w:rsidRPr="00FF2428" w:rsidRDefault="004331FA" w:rsidP="004331FA">
      <w:pPr>
        <w:pStyle w:val="FootnoteText"/>
      </w:pPr>
      <w:r>
        <w:rPr>
          <w:rStyle w:val="FootnoteReference"/>
        </w:rPr>
        <w:footnoteRef/>
      </w:r>
      <w:r w:rsidRPr="00FF2428">
        <w:tab/>
        <w:t xml:space="preserve">See document </w:t>
      </w:r>
      <w:hyperlink r:id="rId6" w:history="1">
        <w:r w:rsidRPr="00FA2FB6">
          <w:rPr>
            <w:rStyle w:val="Hyperlink"/>
          </w:rPr>
          <w:t>H/LD/WG/13/2</w:t>
        </w:r>
      </w:hyperlink>
      <w:r w:rsidRPr="00FF2428">
        <w:t>, paragraph 33.</w:t>
      </w:r>
    </w:p>
  </w:footnote>
  <w:footnote w:id="8">
    <w:p w14:paraId="0E0BA840" w14:textId="104907FC" w:rsidR="004331FA" w:rsidRPr="002A7773" w:rsidRDefault="004331FA" w:rsidP="004331FA">
      <w:pPr>
        <w:pStyle w:val="FootnoteText"/>
      </w:pPr>
      <w:r w:rsidRPr="002A7773">
        <w:rPr>
          <w:rStyle w:val="FootnoteReference"/>
        </w:rPr>
        <w:footnoteRef/>
      </w:r>
      <w:r w:rsidRPr="002A7773">
        <w:tab/>
      </w:r>
      <w:r>
        <w:t xml:space="preserve">For more information, see the WIPO DAS Participating Offices at: </w:t>
      </w:r>
      <w:hyperlink r:id="rId7" w:history="1">
        <w:r w:rsidRPr="00FA2FB6">
          <w:rPr>
            <w:rStyle w:val="Hyperlink"/>
          </w:rPr>
          <w:t>https://www.wipo.int/das/en/participating_offices/index.html</w:t>
        </w:r>
      </w:hyperlink>
      <w:r w:rsidRPr="002A7773">
        <w:t>.</w:t>
      </w:r>
    </w:p>
  </w:footnote>
  <w:footnote w:id="9">
    <w:p w14:paraId="70426887" w14:textId="77777777" w:rsidR="004331FA" w:rsidRPr="00C61972" w:rsidRDefault="004331FA" w:rsidP="004331FA">
      <w:pPr>
        <w:pStyle w:val="FootnoteText"/>
      </w:pPr>
      <w:r>
        <w:rPr>
          <w:rStyle w:val="FootnoteReference"/>
        </w:rPr>
        <w:footnoteRef/>
      </w:r>
      <w:r>
        <w:tab/>
        <w:t>Section 408(a)</w:t>
      </w:r>
      <w:r w:rsidRPr="0025025D">
        <w:rPr>
          <w:szCs w:val="22"/>
        </w:rPr>
        <w:t xml:space="preserve"> </w:t>
      </w:r>
      <w:r>
        <w:t>reads:  “</w:t>
      </w:r>
      <w:r w:rsidRPr="00957636">
        <w:t>Where the applicant has made a declaration under Rule 7(5)(c) claiming priority of an earlier filing in the international application, that claim may be accompanied by a code allowing to retrieve that filing in a Digital Access Service for Priority Documents (DAS) digital library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65AA" w14:textId="5AC8B8CD" w:rsidR="00EC4E49" w:rsidRDefault="004331FA" w:rsidP="00477D6B">
    <w:pPr>
      <w:jc w:val="right"/>
    </w:pPr>
    <w:bookmarkStart w:id="5" w:name="Code2"/>
    <w:bookmarkEnd w:id="5"/>
    <w:r>
      <w:t>H/A/45/1</w:t>
    </w:r>
  </w:p>
  <w:p w14:paraId="45C81215" w14:textId="77777777" w:rsidR="00EC4E49" w:rsidRDefault="00EC4E49" w:rsidP="0029259A">
    <w:pPr>
      <w:spacing w:after="44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670E26"/>
    <w:multiLevelType w:val="hybridMultilevel"/>
    <w:tmpl w:val="2BC6D0CA"/>
    <w:lvl w:ilvl="0" w:tplc="D410E184">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745038">
    <w:abstractNumId w:val="2"/>
  </w:num>
  <w:num w:numId="2" w16cid:durableId="2125538450">
    <w:abstractNumId w:val="5"/>
  </w:num>
  <w:num w:numId="3" w16cid:durableId="1602568926">
    <w:abstractNumId w:val="0"/>
  </w:num>
  <w:num w:numId="4" w16cid:durableId="1572429343">
    <w:abstractNumId w:val="6"/>
  </w:num>
  <w:num w:numId="5" w16cid:durableId="504394857">
    <w:abstractNumId w:val="1"/>
  </w:num>
  <w:num w:numId="6" w16cid:durableId="218833895">
    <w:abstractNumId w:val="3"/>
  </w:num>
  <w:num w:numId="7" w16cid:durableId="141551782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FA"/>
    <w:rsid w:val="0001647B"/>
    <w:rsid w:val="00043CAA"/>
    <w:rsid w:val="00051AAE"/>
    <w:rsid w:val="000676A8"/>
    <w:rsid w:val="000716F2"/>
    <w:rsid w:val="000734FB"/>
    <w:rsid w:val="00075432"/>
    <w:rsid w:val="0008614D"/>
    <w:rsid w:val="000968ED"/>
    <w:rsid w:val="000F5E56"/>
    <w:rsid w:val="001024FE"/>
    <w:rsid w:val="00106295"/>
    <w:rsid w:val="001362EE"/>
    <w:rsid w:val="00142868"/>
    <w:rsid w:val="001832A6"/>
    <w:rsid w:val="001921A2"/>
    <w:rsid w:val="001C6808"/>
    <w:rsid w:val="002121FA"/>
    <w:rsid w:val="002634C4"/>
    <w:rsid w:val="00267E45"/>
    <w:rsid w:val="0029259A"/>
    <w:rsid w:val="002928D3"/>
    <w:rsid w:val="002F1FE6"/>
    <w:rsid w:val="002F4E68"/>
    <w:rsid w:val="00305378"/>
    <w:rsid w:val="00312F7F"/>
    <w:rsid w:val="003228B7"/>
    <w:rsid w:val="00340E12"/>
    <w:rsid w:val="003508A3"/>
    <w:rsid w:val="00366D08"/>
    <w:rsid w:val="003673CF"/>
    <w:rsid w:val="003845C1"/>
    <w:rsid w:val="003A6F89"/>
    <w:rsid w:val="003B38C1"/>
    <w:rsid w:val="003D2D8F"/>
    <w:rsid w:val="003D352A"/>
    <w:rsid w:val="00401820"/>
    <w:rsid w:val="00414B38"/>
    <w:rsid w:val="00415C3A"/>
    <w:rsid w:val="00423E3E"/>
    <w:rsid w:val="00427AF4"/>
    <w:rsid w:val="004331FA"/>
    <w:rsid w:val="004400E2"/>
    <w:rsid w:val="00446313"/>
    <w:rsid w:val="00461632"/>
    <w:rsid w:val="004647DA"/>
    <w:rsid w:val="00474062"/>
    <w:rsid w:val="00474C95"/>
    <w:rsid w:val="00477D6B"/>
    <w:rsid w:val="00482223"/>
    <w:rsid w:val="00497F06"/>
    <w:rsid w:val="004C4B54"/>
    <w:rsid w:val="004D39C4"/>
    <w:rsid w:val="005021FB"/>
    <w:rsid w:val="0053057A"/>
    <w:rsid w:val="00560A29"/>
    <w:rsid w:val="0058157F"/>
    <w:rsid w:val="0058752A"/>
    <w:rsid w:val="00594D27"/>
    <w:rsid w:val="005E2767"/>
    <w:rsid w:val="00601760"/>
    <w:rsid w:val="00605827"/>
    <w:rsid w:val="00646050"/>
    <w:rsid w:val="006560F5"/>
    <w:rsid w:val="006654BD"/>
    <w:rsid w:val="006713CA"/>
    <w:rsid w:val="00676C5C"/>
    <w:rsid w:val="00695558"/>
    <w:rsid w:val="006D2D76"/>
    <w:rsid w:val="006D441D"/>
    <w:rsid w:val="006D5E0F"/>
    <w:rsid w:val="006E6E2C"/>
    <w:rsid w:val="007058FB"/>
    <w:rsid w:val="00734734"/>
    <w:rsid w:val="00772811"/>
    <w:rsid w:val="00790810"/>
    <w:rsid w:val="007B6A58"/>
    <w:rsid w:val="007D1613"/>
    <w:rsid w:val="0086418A"/>
    <w:rsid w:val="00873EE5"/>
    <w:rsid w:val="008B2CC1"/>
    <w:rsid w:val="008B4B5E"/>
    <w:rsid w:val="008B60B2"/>
    <w:rsid w:val="008C2998"/>
    <w:rsid w:val="008D4BCE"/>
    <w:rsid w:val="0090731E"/>
    <w:rsid w:val="00916EE2"/>
    <w:rsid w:val="00943702"/>
    <w:rsid w:val="00966A22"/>
    <w:rsid w:val="0096722F"/>
    <w:rsid w:val="00980843"/>
    <w:rsid w:val="009E2791"/>
    <w:rsid w:val="009E3F6F"/>
    <w:rsid w:val="009F3BF9"/>
    <w:rsid w:val="009F499F"/>
    <w:rsid w:val="00A0281F"/>
    <w:rsid w:val="00A42DAF"/>
    <w:rsid w:val="00A45BD8"/>
    <w:rsid w:val="00A778BF"/>
    <w:rsid w:val="00A85B8E"/>
    <w:rsid w:val="00AC205C"/>
    <w:rsid w:val="00AD2B52"/>
    <w:rsid w:val="00AF5C73"/>
    <w:rsid w:val="00B05A69"/>
    <w:rsid w:val="00B17ADC"/>
    <w:rsid w:val="00B22383"/>
    <w:rsid w:val="00B32996"/>
    <w:rsid w:val="00B369B1"/>
    <w:rsid w:val="00B40598"/>
    <w:rsid w:val="00B50B99"/>
    <w:rsid w:val="00B62CD9"/>
    <w:rsid w:val="00B74849"/>
    <w:rsid w:val="00B74FB4"/>
    <w:rsid w:val="00B77D9E"/>
    <w:rsid w:val="00B9734B"/>
    <w:rsid w:val="00BD1F91"/>
    <w:rsid w:val="00C003D5"/>
    <w:rsid w:val="00C00C68"/>
    <w:rsid w:val="00C11BFE"/>
    <w:rsid w:val="00C46022"/>
    <w:rsid w:val="00C94629"/>
    <w:rsid w:val="00CA5D43"/>
    <w:rsid w:val="00CB6661"/>
    <w:rsid w:val="00CE65D4"/>
    <w:rsid w:val="00CF54B8"/>
    <w:rsid w:val="00D04600"/>
    <w:rsid w:val="00D11490"/>
    <w:rsid w:val="00D27425"/>
    <w:rsid w:val="00D45252"/>
    <w:rsid w:val="00D46052"/>
    <w:rsid w:val="00D71B4D"/>
    <w:rsid w:val="00D93D55"/>
    <w:rsid w:val="00D97C3F"/>
    <w:rsid w:val="00DB5283"/>
    <w:rsid w:val="00DB6132"/>
    <w:rsid w:val="00DD754C"/>
    <w:rsid w:val="00DE745D"/>
    <w:rsid w:val="00E161A2"/>
    <w:rsid w:val="00E335FE"/>
    <w:rsid w:val="00E449EB"/>
    <w:rsid w:val="00E5021F"/>
    <w:rsid w:val="00E54560"/>
    <w:rsid w:val="00E671A6"/>
    <w:rsid w:val="00E81643"/>
    <w:rsid w:val="00EC4E49"/>
    <w:rsid w:val="00ED77FB"/>
    <w:rsid w:val="00F021A6"/>
    <w:rsid w:val="00F11D94"/>
    <w:rsid w:val="00F27FBC"/>
    <w:rsid w:val="00F3637C"/>
    <w:rsid w:val="00F66152"/>
    <w:rsid w:val="00F81DE9"/>
    <w:rsid w:val="00FF20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6A088"/>
  <w15:docId w15:val="{E91CA00D-B97A-411F-B6B1-31A254FF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4331FA"/>
    <w:rPr>
      <w:rFonts w:ascii="Arial" w:eastAsia="SimSun" w:hAnsi="Arial" w:cs="Arial"/>
      <w:sz w:val="18"/>
      <w:lang w:val="en-US" w:eastAsia="zh-CN"/>
    </w:rPr>
  </w:style>
  <w:style w:type="character" w:styleId="FootnoteReference">
    <w:name w:val="footnote reference"/>
    <w:basedOn w:val="DefaultParagraphFont"/>
    <w:uiPriority w:val="99"/>
    <w:rsid w:val="004331FA"/>
    <w:rPr>
      <w:vertAlign w:val="superscript"/>
    </w:rPr>
  </w:style>
  <w:style w:type="character" w:styleId="Hyperlink">
    <w:name w:val="Hyperlink"/>
    <w:basedOn w:val="DefaultParagraphFont"/>
    <w:rsid w:val="004331FA"/>
    <w:rPr>
      <w:color w:val="0000FF" w:themeColor="hyperlink"/>
      <w:u w:val="single"/>
    </w:rPr>
  </w:style>
  <w:style w:type="paragraph" w:styleId="Revision">
    <w:name w:val="Revision"/>
    <w:hidden/>
    <w:uiPriority w:val="99"/>
    <w:semiHidden/>
    <w:rsid w:val="006560F5"/>
    <w:rPr>
      <w:rFonts w:ascii="Arial" w:eastAsia="SimSun" w:hAnsi="Arial" w:cs="Arial"/>
      <w:sz w:val="22"/>
      <w:lang w:val="en-US" w:eastAsia="zh-CN"/>
    </w:rPr>
  </w:style>
  <w:style w:type="character" w:styleId="CommentReference">
    <w:name w:val="annotation reference"/>
    <w:basedOn w:val="DefaultParagraphFont"/>
    <w:semiHidden/>
    <w:unhideWhenUsed/>
    <w:rsid w:val="00D27425"/>
    <w:rPr>
      <w:sz w:val="16"/>
      <w:szCs w:val="16"/>
    </w:rPr>
  </w:style>
  <w:style w:type="paragraph" w:styleId="CommentSubject">
    <w:name w:val="annotation subject"/>
    <w:basedOn w:val="CommentText"/>
    <w:next w:val="CommentText"/>
    <w:link w:val="CommentSubjectChar"/>
    <w:semiHidden/>
    <w:unhideWhenUsed/>
    <w:rsid w:val="00D27425"/>
    <w:rPr>
      <w:b/>
      <w:bCs/>
      <w:sz w:val="20"/>
    </w:rPr>
  </w:style>
  <w:style w:type="character" w:customStyle="1" w:styleId="CommentTextChar">
    <w:name w:val="Comment Text Char"/>
    <w:basedOn w:val="DefaultParagraphFont"/>
    <w:link w:val="CommentText"/>
    <w:semiHidden/>
    <w:rsid w:val="00D2742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27425"/>
    <w:rPr>
      <w:rFonts w:ascii="Arial" w:eastAsia="SimSun" w:hAnsi="Arial" w:cs="Arial"/>
      <w:b/>
      <w:bCs/>
      <w:sz w:val="18"/>
      <w:lang w:val="en-US" w:eastAsia="zh-CN"/>
    </w:rPr>
  </w:style>
  <w:style w:type="character" w:styleId="FollowedHyperlink">
    <w:name w:val="FollowedHyperlink"/>
    <w:basedOn w:val="DefaultParagraphFont"/>
    <w:semiHidden/>
    <w:unhideWhenUsed/>
    <w:rsid w:val="00DE7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en/h_ld_wg_13/h_ld_wg_13_2.pdf" TargetMode="External"/><Relationship Id="rId7" Type="http://schemas.openxmlformats.org/officeDocument/2006/relationships/hyperlink" Target="https://www.wipo.int/das/en/participating_offices/index.html" TargetMode="External"/><Relationship Id="rId2" Type="http://schemas.openxmlformats.org/officeDocument/2006/relationships/hyperlink" Target="https://www.wipo.int/edocs/mdocs/diplconf/en/h_dc/h_dc_6.pdf" TargetMode="External"/><Relationship Id="rId1" Type="http://schemas.openxmlformats.org/officeDocument/2006/relationships/hyperlink" Target="https://www.wipo.int/edocs/mdocs/hague/en/h_ld_wg_13/h_ld_wg_13_6.pdf" TargetMode="External"/><Relationship Id="rId6" Type="http://schemas.openxmlformats.org/officeDocument/2006/relationships/hyperlink" Target="https://www.wipo.int/edocs/mdocs/hague/en/h_ld_wg_13/h_ld_wg_13_2.pdf" TargetMode="External"/><Relationship Id="rId5" Type="http://schemas.openxmlformats.org/officeDocument/2006/relationships/hyperlink" Target="https://www.wipo.int/edocs/mdocs/hague/en/h_ld_wg_13/h_ld_wg_13_6.pdf" TargetMode="External"/><Relationship Id="rId4" Type="http://schemas.openxmlformats.org/officeDocument/2006/relationships/hyperlink" Target="https://www.wipo.int/edocs/mdocs/hague/en/h_ld_wg_13/h_ld_wg_13_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EE477-BBE4-4506-BBA5-F20AD3A4E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E3A79-C958-4AFF-B3DF-B2FA22F756EF}">
  <ds:schemaRefs>
    <ds:schemaRef ds:uri="http://schemas.openxmlformats.org/officeDocument/2006/bibliography"/>
  </ds:schemaRefs>
</ds:datastoreItem>
</file>

<file path=customXml/itemProps3.xml><?xml version="1.0" encoding="utf-8"?>
<ds:datastoreItem xmlns:ds="http://schemas.openxmlformats.org/officeDocument/2006/customXml" ds:itemID="{5C7031E0-5E40-4FD7-8263-20BA8942D0B8}">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b1a73aef-ce8f-442d-a5fc-a13bc475f3fd"/>
    <ds:schemaRef ds:uri="781c9f64-295c-457e-9e5f-c4eb841d690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2F381E-1E82-4579-B105-5DCF0E8BE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H_A_45 (E).dotm</Template>
  <TotalTime>11</TotalTime>
  <Pages>3</Pages>
  <Words>745</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H/A/45/1 (English)</vt:lpstr>
    </vt:vector>
  </TitlesOfParts>
  <Company>WIPO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H/A/45/1 (English)</dc:title>
  <dc:subject>Sixt--Sixth Series of Meetings</dc:subject>
  <dc:creator>WIPO</dc:creator>
  <cp:lastModifiedBy>RUSSO Antonella</cp:lastModifiedBy>
  <cp:revision>6</cp:revision>
  <cp:lastPrinted>2025-02-24T15:12:00Z</cp:lastPrinted>
  <dcterms:created xsi:type="dcterms:W3CDTF">2025-03-20T15:56:00Z</dcterms:created>
  <dcterms:modified xsi:type="dcterms:W3CDTF">2025-04-01T13:19:00Z</dcterms:modified>
  <cp:category>Assemblies of the Member States of WIPO</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0x0101005ABDE43AC2B2FA498C2D4BCF657BBF08</vt:lpwstr>
  </property>
  <property fmtid="{D5CDD505-2E9C-101B-9397-08002B2CF9AE}" pid="8" name="MediaServiceImageTags">
    <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2025-02-18T10:15:27Z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46146e00-3a18-4748-8b17-8ecff22c6285</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