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9CD04" w14:textId="77777777" w:rsidR="00E041AD" w:rsidRPr="00E041AD" w:rsidRDefault="00E041AD" w:rsidP="00E041AD">
      <w:pPr>
        <w:widowControl w:val="0"/>
        <w:jc w:val="right"/>
        <w:rPr>
          <w:b/>
          <w:sz w:val="2"/>
          <w:szCs w:val="40"/>
        </w:rPr>
      </w:pPr>
      <w:bookmarkStart w:id="0" w:name="TitleOfDoc"/>
      <w:bookmarkStart w:id="1" w:name="_GoBack"/>
      <w:bookmarkEnd w:id="0"/>
      <w:bookmarkEnd w:id="1"/>
      <w:r w:rsidRPr="00E041AD">
        <w:rPr>
          <w:b/>
          <w:sz w:val="40"/>
          <w:szCs w:val="40"/>
        </w:rPr>
        <w:t>F</w:t>
      </w:r>
    </w:p>
    <w:p w14:paraId="62DAF50F" w14:textId="77777777" w:rsidR="00E041AD" w:rsidRPr="00E041AD" w:rsidRDefault="00E041AD" w:rsidP="00E041AD">
      <w:pPr>
        <w:spacing w:line="360" w:lineRule="auto"/>
        <w:ind w:left="4592"/>
        <w:rPr>
          <w:rFonts w:ascii="Arial Black" w:hAnsi="Arial Black"/>
          <w:caps/>
          <w:sz w:val="15"/>
        </w:rPr>
      </w:pPr>
      <w:r w:rsidRPr="00E041AD">
        <w:rPr>
          <w:noProof/>
          <w:lang w:eastAsia="en-US"/>
        </w:rPr>
        <w:drawing>
          <wp:inline distT="0" distB="0" distL="0" distR="0" wp14:anchorId="7AA3DDA3" wp14:editId="7B7ABC8F">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04F81BCA" w14:textId="77777777" w:rsidR="00E041AD" w:rsidRPr="00E041AD" w:rsidRDefault="00E041AD" w:rsidP="00E041AD">
      <w:pPr>
        <w:pBdr>
          <w:top w:val="single" w:sz="4" w:space="10" w:color="auto"/>
        </w:pBdr>
        <w:spacing w:before="120"/>
        <w:jc w:val="right"/>
        <w:rPr>
          <w:rFonts w:ascii="Arial Black" w:hAnsi="Arial Black"/>
          <w:b/>
          <w:caps/>
          <w:sz w:val="15"/>
          <w:lang w:val="fr-CH"/>
        </w:rPr>
      </w:pPr>
      <w:r w:rsidRPr="00E041AD">
        <w:rPr>
          <w:rFonts w:ascii="Arial Black" w:hAnsi="Arial Black"/>
          <w:b/>
          <w:caps/>
          <w:sz w:val="15"/>
          <w:lang w:val="fr-CH"/>
        </w:rPr>
        <w:t>A/59/</w:t>
      </w:r>
      <w:bookmarkStart w:id="2" w:name="Code"/>
      <w:bookmarkEnd w:id="2"/>
      <w:r w:rsidRPr="00E041AD">
        <w:rPr>
          <w:rFonts w:ascii="Arial Black" w:hAnsi="Arial Black"/>
          <w:b/>
          <w:caps/>
          <w:sz w:val="15"/>
          <w:lang w:val="fr-CH"/>
        </w:rPr>
        <w:t>10</w:t>
      </w:r>
    </w:p>
    <w:p w14:paraId="3D4ED7F8" w14:textId="77777777" w:rsidR="00E041AD" w:rsidRPr="00E041AD" w:rsidRDefault="00E041AD" w:rsidP="00E041AD">
      <w:pPr>
        <w:jc w:val="right"/>
        <w:rPr>
          <w:rFonts w:ascii="Arial Black" w:hAnsi="Arial Black"/>
          <w:b/>
          <w:caps/>
          <w:sz w:val="15"/>
          <w:lang w:val="fr-CH"/>
        </w:rPr>
      </w:pPr>
      <w:r w:rsidRPr="00E041AD">
        <w:rPr>
          <w:rFonts w:ascii="Arial Black" w:hAnsi="Arial Black"/>
          <w:b/>
          <w:caps/>
          <w:sz w:val="15"/>
          <w:lang w:val="fr-CH"/>
        </w:rPr>
        <w:t xml:space="preserve">ORIGINAL : </w:t>
      </w:r>
      <w:bookmarkStart w:id="3" w:name="Original"/>
      <w:bookmarkEnd w:id="3"/>
      <w:r w:rsidRPr="00E041AD">
        <w:rPr>
          <w:rFonts w:ascii="Arial Black" w:hAnsi="Arial Black"/>
          <w:b/>
          <w:caps/>
          <w:sz w:val="15"/>
          <w:lang w:val="fr-CH"/>
        </w:rPr>
        <w:t>anglais</w:t>
      </w:r>
    </w:p>
    <w:p w14:paraId="14C018CB" w14:textId="77777777" w:rsidR="00E041AD" w:rsidRPr="00E041AD" w:rsidRDefault="00E041AD" w:rsidP="00E041AD">
      <w:pPr>
        <w:spacing w:line="1680" w:lineRule="auto"/>
        <w:jc w:val="right"/>
        <w:rPr>
          <w:rFonts w:ascii="Arial Black" w:hAnsi="Arial Black"/>
          <w:b/>
          <w:caps/>
          <w:sz w:val="15"/>
          <w:lang w:val="fr-CH"/>
        </w:rPr>
      </w:pPr>
      <w:r w:rsidRPr="00E041AD">
        <w:rPr>
          <w:rFonts w:ascii="Arial Black" w:hAnsi="Arial Black"/>
          <w:b/>
          <w:caps/>
          <w:sz w:val="15"/>
          <w:lang w:val="fr-CH"/>
        </w:rPr>
        <w:t xml:space="preserve">DATE : </w:t>
      </w:r>
      <w:bookmarkStart w:id="4" w:name="Date"/>
      <w:bookmarkEnd w:id="4"/>
      <w:r w:rsidRPr="00E041AD">
        <w:rPr>
          <w:rFonts w:ascii="Arial Black" w:hAnsi="Arial Black"/>
          <w:b/>
          <w:caps/>
          <w:sz w:val="15"/>
          <w:lang w:val="fr-CH"/>
        </w:rPr>
        <w:t>9 septembre 2019</w:t>
      </w:r>
    </w:p>
    <w:p w14:paraId="2883D31A" w14:textId="77777777" w:rsidR="00E041AD" w:rsidRPr="00E041AD" w:rsidRDefault="00E041AD" w:rsidP="00E041AD">
      <w:pPr>
        <w:keepNext/>
        <w:spacing w:after="600"/>
        <w:outlineLvl w:val="0"/>
        <w:rPr>
          <w:b/>
          <w:bCs/>
          <w:kern w:val="32"/>
          <w:sz w:val="28"/>
          <w:szCs w:val="32"/>
          <w:lang w:val="fr-CH"/>
        </w:rPr>
      </w:pPr>
      <w:r w:rsidRPr="00E041AD">
        <w:rPr>
          <w:b/>
          <w:bCs/>
          <w:kern w:val="32"/>
          <w:sz w:val="28"/>
          <w:szCs w:val="32"/>
          <w:lang w:val="fr-CH"/>
        </w:rPr>
        <w:t>Assemblées des États membres de l’OMPI</w:t>
      </w:r>
    </w:p>
    <w:p w14:paraId="64465E7D" w14:textId="4E75A6C9" w:rsidR="00E041AD" w:rsidRPr="00E041AD" w:rsidRDefault="00E041AD" w:rsidP="00E041AD">
      <w:pPr>
        <w:spacing w:after="720"/>
        <w:rPr>
          <w:b/>
          <w:sz w:val="24"/>
          <w:lang w:val="fr-CH"/>
        </w:rPr>
      </w:pPr>
      <w:r w:rsidRPr="00E041AD">
        <w:rPr>
          <w:b/>
          <w:sz w:val="24"/>
          <w:lang w:val="fr-CH"/>
        </w:rPr>
        <w:t>Cinquante</w:t>
      </w:r>
      <w:r w:rsidR="00B33C70">
        <w:rPr>
          <w:b/>
          <w:sz w:val="24"/>
          <w:lang w:val="fr-CH"/>
        </w:rPr>
        <w:t>-</w:t>
      </w:r>
      <w:r w:rsidRPr="00E041AD">
        <w:rPr>
          <w:b/>
          <w:sz w:val="24"/>
          <w:lang w:val="fr-CH"/>
        </w:rPr>
        <w:t>neuvième série de réunions</w:t>
      </w:r>
      <w:r w:rsidRPr="00E041AD">
        <w:rPr>
          <w:b/>
          <w:sz w:val="24"/>
          <w:lang w:val="fr-CH"/>
        </w:rPr>
        <w:br/>
        <w:t>Genève, 30 septembre – 9 octobre 2019</w:t>
      </w:r>
    </w:p>
    <w:p w14:paraId="5F6F90CD" w14:textId="53D0316E" w:rsidR="00DB4DD4" w:rsidRPr="00E041AD" w:rsidRDefault="00486248" w:rsidP="00E041AD">
      <w:pPr>
        <w:spacing w:after="360"/>
        <w:rPr>
          <w:caps/>
          <w:sz w:val="24"/>
          <w:lang w:val="fr-CH"/>
        </w:rPr>
      </w:pPr>
      <w:r w:rsidRPr="00E041AD">
        <w:rPr>
          <w:caps/>
          <w:sz w:val="24"/>
          <w:lang w:val="fr-CH"/>
        </w:rPr>
        <w:t>Paragraph</w:t>
      </w:r>
      <w:r w:rsidR="00CB4CD6" w:rsidRPr="00E041AD">
        <w:rPr>
          <w:caps/>
          <w:sz w:val="24"/>
          <w:lang w:val="fr-CH"/>
        </w:rPr>
        <w:t>e</w:t>
      </w:r>
      <w:r w:rsidRPr="00E041AD">
        <w:rPr>
          <w:caps/>
          <w:sz w:val="24"/>
          <w:lang w:val="fr-CH"/>
        </w:rPr>
        <w:t xml:space="preserve">s </w:t>
      </w:r>
      <w:r w:rsidR="00CB4CD6" w:rsidRPr="00E041AD">
        <w:rPr>
          <w:caps/>
          <w:sz w:val="24"/>
          <w:lang w:val="fr-CH"/>
        </w:rPr>
        <w:t>de décision que les États</w:t>
      </w:r>
      <w:r w:rsidR="00B33C70" w:rsidRPr="00B33C70">
        <w:rPr>
          <w:caps/>
          <w:sz w:val="24"/>
          <w:lang w:val="fr-CH"/>
        </w:rPr>
        <w:noBreakHyphen/>
      </w:r>
      <w:r w:rsidR="00CB4CD6" w:rsidRPr="00E041AD">
        <w:rPr>
          <w:caps/>
          <w:sz w:val="24"/>
          <w:lang w:val="fr-CH"/>
        </w:rPr>
        <w:t>Unis</w:t>
      </w:r>
      <w:r w:rsidR="00EE118F" w:rsidRPr="00E041AD">
        <w:rPr>
          <w:caps/>
          <w:sz w:val="24"/>
          <w:lang w:val="fr-CH"/>
        </w:rPr>
        <w:t xml:space="preserve"> </w:t>
      </w:r>
      <w:r w:rsidR="00CB4CD6" w:rsidRPr="00E041AD">
        <w:rPr>
          <w:caps/>
          <w:sz w:val="24"/>
          <w:lang w:val="fr-CH"/>
        </w:rPr>
        <w:t>d</w:t>
      </w:r>
      <w:r w:rsidR="000219F2" w:rsidRPr="00E041AD">
        <w:rPr>
          <w:caps/>
          <w:sz w:val="24"/>
          <w:lang w:val="fr-CH"/>
        </w:rPr>
        <w:t>’</w:t>
      </w:r>
      <w:r w:rsidR="00CB4CD6" w:rsidRPr="00E041AD">
        <w:rPr>
          <w:caps/>
          <w:sz w:val="24"/>
          <w:lang w:val="fr-CH"/>
        </w:rPr>
        <w:t>amérique proposent d</w:t>
      </w:r>
      <w:r w:rsidR="000219F2" w:rsidRPr="00E041AD">
        <w:rPr>
          <w:caps/>
          <w:sz w:val="24"/>
          <w:lang w:val="fr-CH"/>
        </w:rPr>
        <w:t>’</w:t>
      </w:r>
      <w:r w:rsidR="00CB4CD6" w:rsidRPr="00E041AD">
        <w:rPr>
          <w:caps/>
          <w:sz w:val="24"/>
          <w:lang w:val="fr-CH"/>
        </w:rPr>
        <w:t>inclure dans les décisions au titre du rapport sur le comité du programme et budget</w:t>
      </w:r>
    </w:p>
    <w:p w14:paraId="64D47790" w14:textId="64340031" w:rsidR="00AC205C" w:rsidRPr="00E041AD" w:rsidRDefault="00CB4CD6" w:rsidP="00E041AD">
      <w:pPr>
        <w:spacing w:after="960"/>
        <w:rPr>
          <w:i/>
          <w:lang w:val="fr-FR"/>
        </w:rPr>
      </w:pPr>
      <w:bookmarkStart w:id="5" w:name="Prepared"/>
      <w:bookmarkEnd w:id="5"/>
      <w:r w:rsidRPr="0018055E">
        <w:rPr>
          <w:i/>
          <w:iCs/>
          <w:lang w:val="fr-FR"/>
        </w:rPr>
        <w:t>Proposition présentée par la délégation des États</w:t>
      </w:r>
      <w:r w:rsidR="00B33C70" w:rsidRPr="00B33C70">
        <w:rPr>
          <w:i/>
          <w:iCs/>
          <w:lang w:val="fr-FR"/>
        </w:rPr>
        <w:noBreakHyphen/>
      </w:r>
      <w:r w:rsidRPr="0018055E">
        <w:rPr>
          <w:i/>
          <w:iCs/>
          <w:lang w:val="fr-FR"/>
        </w:rPr>
        <w:t>Unis d</w:t>
      </w:r>
      <w:r w:rsidR="000219F2">
        <w:rPr>
          <w:i/>
          <w:iCs/>
          <w:lang w:val="fr-FR"/>
        </w:rPr>
        <w:t>’</w:t>
      </w:r>
      <w:r w:rsidRPr="0018055E">
        <w:rPr>
          <w:i/>
          <w:iCs/>
          <w:lang w:val="fr-FR"/>
        </w:rPr>
        <w:t>Amérique</w:t>
      </w:r>
    </w:p>
    <w:p w14:paraId="2BA62AB6" w14:textId="4C0E60C8" w:rsidR="002928D3" w:rsidRPr="0018055E" w:rsidRDefault="005161D6" w:rsidP="005161D6">
      <w:pPr>
        <w:rPr>
          <w:lang w:val="fr-FR"/>
        </w:rPr>
      </w:pPr>
      <w:r w:rsidRPr="0018055E">
        <w:rPr>
          <w:lang w:val="fr-FR"/>
        </w:rPr>
        <w:t xml:space="preserve">Dans une communication au Secrétariat </w:t>
      </w:r>
      <w:r w:rsidR="008578A1">
        <w:rPr>
          <w:lang w:val="fr-FR"/>
        </w:rPr>
        <w:t>reçue le</w:t>
      </w:r>
      <w:r w:rsidRPr="0018055E">
        <w:rPr>
          <w:lang w:val="fr-FR"/>
        </w:rPr>
        <w:t xml:space="preserve"> </w:t>
      </w:r>
      <w:r w:rsidR="00C72FDC" w:rsidRPr="0018055E">
        <w:rPr>
          <w:lang w:val="fr-FR"/>
        </w:rPr>
        <w:t>5 </w:t>
      </w:r>
      <w:r w:rsidR="000219F2" w:rsidRPr="0018055E">
        <w:rPr>
          <w:lang w:val="fr-FR"/>
        </w:rPr>
        <w:t>septembre</w:t>
      </w:r>
      <w:r w:rsidR="000219F2">
        <w:rPr>
          <w:lang w:val="fr-FR"/>
        </w:rPr>
        <w:t> </w:t>
      </w:r>
      <w:r w:rsidR="000219F2" w:rsidRPr="0018055E">
        <w:rPr>
          <w:lang w:val="fr-FR"/>
        </w:rPr>
        <w:t>20</w:t>
      </w:r>
      <w:r w:rsidRPr="0018055E">
        <w:rPr>
          <w:lang w:val="fr-FR"/>
        </w:rPr>
        <w:t>1</w:t>
      </w:r>
      <w:r w:rsidR="00C72FDC" w:rsidRPr="0018055E">
        <w:rPr>
          <w:lang w:val="fr-FR"/>
        </w:rPr>
        <w:t>9</w:t>
      </w:r>
      <w:r w:rsidRPr="0018055E">
        <w:rPr>
          <w:lang w:val="fr-FR"/>
        </w:rPr>
        <w:t>, la délégation des États</w:t>
      </w:r>
      <w:r w:rsidR="00B33C70" w:rsidRPr="00B33C70">
        <w:rPr>
          <w:lang w:val="fr-FR"/>
        </w:rPr>
        <w:noBreakHyphen/>
      </w:r>
      <w:r w:rsidRPr="0018055E">
        <w:rPr>
          <w:lang w:val="fr-FR"/>
        </w:rPr>
        <w:t>Unis</w:t>
      </w:r>
      <w:r w:rsidR="00C63EB6">
        <w:rPr>
          <w:lang w:val="fr-FR"/>
        </w:rPr>
        <w:t xml:space="preserve"> </w:t>
      </w:r>
      <w:r w:rsidRPr="0018055E">
        <w:rPr>
          <w:lang w:val="fr-FR"/>
        </w:rPr>
        <w:t>d</w:t>
      </w:r>
      <w:r w:rsidR="000219F2">
        <w:rPr>
          <w:lang w:val="fr-FR"/>
        </w:rPr>
        <w:t>’</w:t>
      </w:r>
      <w:r w:rsidRPr="0018055E">
        <w:rPr>
          <w:lang w:val="fr-FR"/>
        </w:rPr>
        <w:t>Amérique a présenté la proposition ci</w:t>
      </w:r>
      <w:r w:rsidR="00B33C70" w:rsidRPr="00B33C70">
        <w:rPr>
          <w:lang w:val="fr-FR"/>
        </w:rPr>
        <w:noBreakHyphen/>
      </w:r>
      <w:r w:rsidRPr="0018055E">
        <w:rPr>
          <w:lang w:val="fr-FR"/>
        </w:rPr>
        <w:t>jointe au titre du point de l</w:t>
      </w:r>
      <w:r w:rsidR="000219F2">
        <w:rPr>
          <w:lang w:val="fr-FR"/>
        </w:rPr>
        <w:t>’</w:t>
      </w:r>
      <w:r w:rsidRPr="0018055E">
        <w:rPr>
          <w:lang w:val="fr-FR"/>
        </w:rPr>
        <w:t>ordre du jour intitulé “Rapport sur le Comité du programme et budget</w:t>
      </w:r>
      <w:r w:rsidR="00C72FDC" w:rsidRPr="0018055E">
        <w:rPr>
          <w:lang w:val="fr-FR"/>
        </w:rPr>
        <w:t xml:space="preserve"> (PBC)</w:t>
      </w:r>
      <w:r w:rsidR="00DB4DD4" w:rsidRPr="0018055E">
        <w:rPr>
          <w:lang w:val="fr-FR"/>
        </w:rPr>
        <w:t>”.</w:t>
      </w:r>
    </w:p>
    <w:p w14:paraId="20C141AA" w14:textId="77777777" w:rsidR="00DB4DD4" w:rsidRPr="0018055E" w:rsidRDefault="00DB4DD4" w:rsidP="00DB4DD4">
      <w:pPr>
        <w:rPr>
          <w:lang w:val="fr-FR"/>
        </w:rPr>
      </w:pPr>
    </w:p>
    <w:p w14:paraId="3100DD6B" w14:textId="5F3F9DA4" w:rsidR="00DB4DD4" w:rsidRDefault="00DB4DD4" w:rsidP="00DB4DD4">
      <w:pPr>
        <w:rPr>
          <w:lang w:val="fr-FR"/>
        </w:rPr>
      </w:pPr>
    </w:p>
    <w:p w14:paraId="268F81A9" w14:textId="77777777" w:rsidR="00F74B0F" w:rsidRPr="0018055E" w:rsidRDefault="00F74B0F" w:rsidP="00DB4DD4">
      <w:pPr>
        <w:rPr>
          <w:lang w:val="fr-FR"/>
        </w:rPr>
      </w:pPr>
    </w:p>
    <w:p w14:paraId="39EF85FE" w14:textId="68C8D5D3" w:rsidR="00DB4DD4" w:rsidRPr="0018055E" w:rsidRDefault="00DB4DD4" w:rsidP="00E041AD">
      <w:pPr>
        <w:pStyle w:val="Endofdocument-Annex"/>
        <w:rPr>
          <w:lang w:val="fr-FR"/>
        </w:rPr>
        <w:sectPr w:rsidR="00DB4DD4" w:rsidRPr="0018055E" w:rsidSect="00931F1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18055E">
        <w:rPr>
          <w:lang w:val="fr-FR"/>
        </w:rPr>
        <w:t>[</w:t>
      </w:r>
      <w:r w:rsidR="00C72FDC" w:rsidRPr="0018055E">
        <w:rPr>
          <w:lang w:val="fr-FR"/>
        </w:rPr>
        <w:t>L</w:t>
      </w:r>
      <w:r w:rsidR="000219F2">
        <w:rPr>
          <w:lang w:val="fr-FR"/>
        </w:rPr>
        <w:t>’</w:t>
      </w:r>
      <w:r w:rsidR="00C72FDC" w:rsidRPr="0018055E">
        <w:rPr>
          <w:lang w:val="fr-FR"/>
        </w:rPr>
        <w:t>a</w:t>
      </w:r>
      <w:r w:rsidRPr="0018055E">
        <w:rPr>
          <w:lang w:val="fr-FR"/>
        </w:rPr>
        <w:t>nnex</w:t>
      </w:r>
      <w:r w:rsidR="00C72FDC" w:rsidRPr="0018055E">
        <w:rPr>
          <w:lang w:val="fr-FR"/>
        </w:rPr>
        <w:t>e</w:t>
      </w:r>
      <w:r w:rsidRPr="0018055E">
        <w:rPr>
          <w:lang w:val="fr-FR"/>
        </w:rPr>
        <w:t xml:space="preserve"> </w:t>
      </w:r>
      <w:r w:rsidR="00C72FDC" w:rsidRPr="0018055E">
        <w:rPr>
          <w:lang w:val="fr-FR"/>
        </w:rPr>
        <w:t>suit</w:t>
      </w:r>
      <w:r w:rsidRPr="0018055E">
        <w:rPr>
          <w:lang w:val="fr-FR"/>
        </w:rPr>
        <w:t>]</w:t>
      </w:r>
    </w:p>
    <w:p w14:paraId="19AEEC26" w14:textId="13CAF70C" w:rsidR="00DB4DD4" w:rsidRPr="0018055E" w:rsidRDefault="00C72FDC" w:rsidP="00DB4DD4">
      <w:pPr>
        <w:rPr>
          <w:caps/>
          <w:sz w:val="24"/>
          <w:lang w:val="fr-FR"/>
        </w:rPr>
      </w:pPr>
      <w:r w:rsidRPr="0018055E">
        <w:rPr>
          <w:caps/>
          <w:sz w:val="24"/>
          <w:lang w:val="fr-FR"/>
        </w:rPr>
        <w:lastRenderedPageBreak/>
        <w:t>PARAGRAPHES DE DÉCISION QU</w:t>
      </w:r>
      <w:r w:rsidR="000219F2">
        <w:rPr>
          <w:caps/>
          <w:sz w:val="24"/>
          <w:lang w:val="fr-FR"/>
        </w:rPr>
        <w:t>’</w:t>
      </w:r>
      <w:r w:rsidRPr="0018055E">
        <w:rPr>
          <w:caps/>
          <w:sz w:val="24"/>
          <w:lang w:val="fr-FR"/>
        </w:rPr>
        <w:t>IL EST PROPOSÉ D</w:t>
      </w:r>
      <w:r w:rsidR="000219F2">
        <w:rPr>
          <w:caps/>
          <w:sz w:val="24"/>
          <w:lang w:val="fr-FR"/>
        </w:rPr>
        <w:t>’</w:t>
      </w:r>
      <w:r w:rsidRPr="0018055E">
        <w:rPr>
          <w:caps/>
          <w:sz w:val="24"/>
          <w:lang w:val="fr-FR"/>
        </w:rPr>
        <w:t>INCLURE DANS LES DÉCISIONS AU TITRE DU RAPPORT SUR LE COMITÉ DU PROGRAMME ET BUDGET</w:t>
      </w:r>
    </w:p>
    <w:p w14:paraId="66A62699" w14:textId="77777777" w:rsidR="00DB4DD4" w:rsidRPr="0018055E" w:rsidRDefault="00DB4DD4" w:rsidP="00DB4DD4">
      <w:pPr>
        <w:rPr>
          <w:lang w:val="fr-FR"/>
        </w:rPr>
      </w:pPr>
    </w:p>
    <w:p w14:paraId="0F23AFA6" w14:textId="4B118C24" w:rsidR="00DB4DD4" w:rsidRPr="0018055E" w:rsidRDefault="006C4B93" w:rsidP="00DB4DD4">
      <w:pPr>
        <w:rPr>
          <w:i/>
          <w:lang w:val="fr-FR"/>
        </w:rPr>
      </w:pPr>
      <w:r w:rsidRPr="0018055E">
        <w:rPr>
          <w:i/>
          <w:iCs/>
          <w:lang w:val="fr-FR"/>
        </w:rPr>
        <w:t>Proposition présentée par la délégation des États</w:t>
      </w:r>
      <w:r w:rsidR="00B33C70" w:rsidRPr="00B33C70">
        <w:rPr>
          <w:i/>
          <w:iCs/>
          <w:lang w:val="fr-FR"/>
        </w:rPr>
        <w:noBreakHyphen/>
      </w:r>
      <w:r w:rsidRPr="0018055E">
        <w:rPr>
          <w:i/>
          <w:iCs/>
          <w:lang w:val="fr-FR"/>
        </w:rPr>
        <w:t>Unis d</w:t>
      </w:r>
      <w:r w:rsidR="000219F2">
        <w:rPr>
          <w:i/>
          <w:iCs/>
          <w:lang w:val="fr-FR"/>
        </w:rPr>
        <w:t>’</w:t>
      </w:r>
      <w:r w:rsidRPr="0018055E">
        <w:rPr>
          <w:i/>
          <w:iCs/>
          <w:lang w:val="fr-FR"/>
        </w:rPr>
        <w:t>Amérique</w:t>
      </w:r>
    </w:p>
    <w:p w14:paraId="671634A4" w14:textId="77777777" w:rsidR="00DB4DD4" w:rsidRPr="0018055E" w:rsidRDefault="00DB4DD4" w:rsidP="00DB4DD4">
      <w:pPr>
        <w:rPr>
          <w:i/>
          <w:lang w:val="fr-FR"/>
        </w:rPr>
      </w:pPr>
    </w:p>
    <w:p w14:paraId="59EE6067" w14:textId="77777777" w:rsidR="00DB4DD4" w:rsidRPr="0018055E" w:rsidRDefault="00DB4DD4" w:rsidP="00DB4DD4">
      <w:pPr>
        <w:rPr>
          <w:i/>
          <w:lang w:val="fr-FR"/>
        </w:rPr>
      </w:pPr>
    </w:p>
    <w:p w14:paraId="60E63304" w14:textId="67CC1FDC" w:rsidR="00DB4DD4" w:rsidRPr="0018055E" w:rsidRDefault="006C4B93" w:rsidP="00DB4DD4">
      <w:pPr>
        <w:tabs>
          <w:tab w:val="num" w:pos="-57"/>
        </w:tabs>
        <w:contextualSpacing/>
        <w:rPr>
          <w:lang w:val="fr-FR"/>
        </w:rPr>
      </w:pPr>
      <w:r w:rsidRPr="0018055E">
        <w:rPr>
          <w:lang w:val="fr-FR"/>
        </w:rPr>
        <w:t>POINT</w:t>
      </w:r>
      <w:r w:rsidR="00C43B14">
        <w:rPr>
          <w:lang w:val="fr-FR"/>
        </w:rPr>
        <w:t> </w:t>
      </w:r>
      <w:r w:rsidRPr="0018055E">
        <w:rPr>
          <w:lang w:val="fr-FR"/>
        </w:rPr>
        <w:t>13 DE L</w:t>
      </w:r>
      <w:r w:rsidR="000219F2">
        <w:rPr>
          <w:lang w:val="fr-FR"/>
        </w:rPr>
        <w:t>’</w:t>
      </w:r>
      <w:r w:rsidRPr="0018055E">
        <w:rPr>
          <w:lang w:val="fr-FR"/>
        </w:rPr>
        <w:t>ORDRE DU JOUR UNIFIÉ</w:t>
      </w:r>
    </w:p>
    <w:p w14:paraId="7A40133D" w14:textId="60139458" w:rsidR="00DB4DD4" w:rsidRPr="0018055E" w:rsidRDefault="006C4B93" w:rsidP="00DB4DD4">
      <w:pPr>
        <w:tabs>
          <w:tab w:val="num" w:pos="-57"/>
        </w:tabs>
        <w:contextualSpacing/>
        <w:rPr>
          <w:szCs w:val="22"/>
          <w:lang w:val="fr-FR"/>
        </w:rPr>
      </w:pPr>
      <w:r w:rsidRPr="0018055E">
        <w:rPr>
          <w:szCs w:val="22"/>
          <w:lang w:val="fr-FR"/>
        </w:rPr>
        <w:t>RAPPORT SUR LE COMITÉ DU PROGRAMME ET BUDGET</w:t>
      </w:r>
    </w:p>
    <w:p w14:paraId="072F15DB" w14:textId="77777777" w:rsidR="00DB4DD4" w:rsidRPr="0018055E" w:rsidRDefault="00DB4DD4" w:rsidP="00DB4DD4">
      <w:pPr>
        <w:tabs>
          <w:tab w:val="num" w:pos="-57"/>
        </w:tabs>
        <w:contextualSpacing/>
        <w:rPr>
          <w:szCs w:val="22"/>
          <w:lang w:val="fr-FR"/>
        </w:rPr>
      </w:pPr>
    </w:p>
    <w:p w14:paraId="34662E6D" w14:textId="77777777" w:rsidR="00DB4DD4" w:rsidRPr="0018055E" w:rsidRDefault="00DB4DD4" w:rsidP="00DB4DD4">
      <w:pPr>
        <w:rPr>
          <w:rFonts w:eastAsia="Times New Roman" w:hAnsi="Times New Roman" w:cs="Times New Roman"/>
          <w:szCs w:val="22"/>
          <w:u w:val="single"/>
          <w:lang w:val="fr-FR" w:eastAsia="en-US"/>
        </w:rPr>
      </w:pPr>
    </w:p>
    <w:p w14:paraId="046EFEF4" w14:textId="36C8DDA1" w:rsidR="000219F2" w:rsidRDefault="00966886" w:rsidP="00975715">
      <w:pPr>
        <w:rPr>
          <w:lang w:val="fr-FR"/>
        </w:rPr>
      </w:pPr>
      <w:r w:rsidRPr="0018055E">
        <w:rPr>
          <w:lang w:val="fr-FR"/>
        </w:rPr>
        <w:t>Proposition de décision</w:t>
      </w:r>
      <w:r w:rsidR="000219F2">
        <w:rPr>
          <w:lang w:val="fr-FR"/>
        </w:rPr>
        <w:t> :</w:t>
      </w:r>
    </w:p>
    <w:p w14:paraId="3CEC44D8" w14:textId="6832EB05" w:rsidR="00B12D71" w:rsidRPr="0018055E" w:rsidRDefault="00B12D71" w:rsidP="00975715">
      <w:pPr>
        <w:rPr>
          <w:lang w:val="fr-FR"/>
        </w:rPr>
      </w:pPr>
    </w:p>
    <w:p w14:paraId="3AFC8F99" w14:textId="0C42FD6D" w:rsidR="000219F2" w:rsidRDefault="0018055E" w:rsidP="00E041AD">
      <w:pPr>
        <w:pStyle w:val="ONUMFS"/>
        <w:rPr>
          <w:lang w:val="fr-FR"/>
        </w:rPr>
      </w:pPr>
      <w:r w:rsidRPr="0018055E">
        <w:rPr>
          <w:lang w:val="fr-FR"/>
        </w:rPr>
        <w:t>Les assemblées des États membres de l</w:t>
      </w:r>
      <w:r w:rsidR="000219F2">
        <w:rPr>
          <w:lang w:val="fr-FR"/>
        </w:rPr>
        <w:t>’</w:t>
      </w:r>
      <w:r w:rsidRPr="0018055E">
        <w:rPr>
          <w:lang w:val="fr-FR"/>
        </w:rPr>
        <w:t>OMPI et des unions administrées par l</w:t>
      </w:r>
      <w:r w:rsidR="000219F2">
        <w:rPr>
          <w:lang w:val="fr-FR"/>
        </w:rPr>
        <w:t>’</w:t>
      </w:r>
      <w:r w:rsidRPr="0018055E">
        <w:rPr>
          <w:lang w:val="fr-FR"/>
        </w:rPr>
        <w:t>OMPI, chacune pour ce qui la concerne,</w:t>
      </w:r>
    </w:p>
    <w:p w14:paraId="05053460" w14:textId="251A9A80" w:rsidR="00DB4DD4" w:rsidRPr="0018055E" w:rsidRDefault="0018055E" w:rsidP="00DE1772">
      <w:pPr>
        <w:pStyle w:val="ONUMFS"/>
        <w:numPr>
          <w:ilvl w:val="1"/>
          <w:numId w:val="6"/>
        </w:numPr>
        <w:rPr>
          <w:lang w:val="fr-FR"/>
        </w:rPr>
      </w:pPr>
      <w:proofErr w:type="gramStart"/>
      <w:r w:rsidRPr="0018055E">
        <w:rPr>
          <w:lang w:val="fr-FR"/>
        </w:rPr>
        <w:t>ont</w:t>
      </w:r>
      <w:proofErr w:type="gramEnd"/>
      <w:r w:rsidRPr="0018055E">
        <w:rPr>
          <w:lang w:val="fr-FR"/>
        </w:rPr>
        <w:t xml:space="preserve"> pris </w:t>
      </w:r>
      <w:r w:rsidR="00C97CE7" w:rsidRPr="0018055E">
        <w:rPr>
          <w:lang w:val="fr-FR"/>
        </w:rPr>
        <w:t xml:space="preserve">note </w:t>
      </w:r>
      <w:r w:rsidRPr="0018055E">
        <w:rPr>
          <w:lang w:val="fr-FR"/>
        </w:rPr>
        <w:t xml:space="preserve">de la </w:t>
      </w:r>
      <w:r w:rsidR="00C97CE7" w:rsidRPr="0018055E">
        <w:rPr>
          <w:lang w:val="fr-FR"/>
        </w:rPr>
        <w:t>“List</w:t>
      </w:r>
      <w:r w:rsidRPr="0018055E">
        <w:rPr>
          <w:lang w:val="fr-FR"/>
        </w:rPr>
        <w:t>e des dé</w:t>
      </w:r>
      <w:r w:rsidR="00C97CE7" w:rsidRPr="0018055E">
        <w:rPr>
          <w:lang w:val="fr-FR"/>
        </w:rPr>
        <w:t xml:space="preserve">cisions </w:t>
      </w:r>
      <w:r w:rsidRPr="0018055E">
        <w:rPr>
          <w:lang w:val="fr-FR"/>
        </w:rPr>
        <w:t>adoptées par le Comité du programme et budget</w:t>
      </w:r>
      <w:r w:rsidR="00C97CE7" w:rsidRPr="0018055E">
        <w:rPr>
          <w:lang w:val="fr-FR"/>
        </w:rPr>
        <w:t>” (</w:t>
      </w:r>
      <w:r w:rsidR="000219F2" w:rsidRPr="0018055E">
        <w:rPr>
          <w:lang w:val="fr-FR"/>
        </w:rPr>
        <w:t>documents</w:t>
      </w:r>
      <w:r w:rsidR="00C43B14">
        <w:rPr>
          <w:lang w:val="fr-FR"/>
        </w:rPr>
        <w:t> </w:t>
      </w:r>
      <w:r w:rsidR="000219F2" w:rsidRPr="0018055E">
        <w:rPr>
          <w:lang w:val="fr-FR"/>
        </w:rPr>
        <w:t>WO</w:t>
      </w:r>
      <w:r w:rsidR="00C97CE7" w:rsidRPr="0018055E">
        <w:rPr>
          <w:lang w:val="fr-FR"/>
        </w:rPr>
        <w:t xml:space="preserve">/PBC/29/7 </w:t>
      </w:r>
      <w:r w:rsidRPr="0018055E">
        <w:rPr>
          <w:lang w:val="fr-FR"/>
        </w:rPr>
        <w:t xml:space="preserve">et </w:t>
      </w:r>
      <w:r w:rsidR="00C97CE7" w:rsidRPr="0018055E">
        <w:rPr>
          <w:lang w:val="fr-FR"/>
        </w:rPr>
        <w:t>WO/PBC/30/15);</w:t>
      </w:r>
    </w:p>
    <w:p w14:paraId="1075206D" w14:textId="77EB04C4" w:rsidR="00C97CE7" w:rsidRPr="0018055E" w:rsidRDefault="0018055E" w:rsidP="00DE1772">
      <w:pPr>
        <w:pStyle w:val="ONUMFS"/>
        <w:numPr>
          <w:ilvl w:val="1"/>
          <w:numId w:val="6"/>
        </w:numPr>
        <w:rPr>
          <w:lang w:val="fr-FR"/>
        </w:rPr>
      </w:pPr>
      <w:proofErr w:type="gramStart"/>
      <w:r w:rsidRPr="0018055E">
        <w:rPr>
          <w:lang w:val="fr-FR"/>
        </w:rPr>
        <w:t>sont</w:t>
      </w:r>
      <w:proofErr w:type="gramEnd"/>
      <w:r w:rsidRPr="0018055E">
        <w:rPr>
          <w:lang w:val="fr-FR"/>
        </w:rPr>
        <w:t xml:space="preserve"> convenues d</w:t>
      </w:r>
      <w:r w:rsidR="000219F2">
        <w:rPr>
          <w:lang w:val="fr-FR"/>
        </w:rPr>
        <w:t>’</w:t>
      </w:r>
      <w:r w:rsidRPr="0018055E">
        <w:rPr>
          <w:lang w:val="fr-FR"/>
        </w:rPr>
        <w:t>approuver les</w:t>
      </w:r>
      <w:r w:rsidR="00C97CE7" w:rsidRPr="0018055E">
        <w:rPr>
          <w:lang w:val="fr-FR"/>
        </w:rPr>
        <w:t xml:space="preserve"> recomm</w:t>
      </w:r>
      <w:r w:rsidRPr="0018055E">
        <w:rPr>
          <w:lang w:val="fr-FR"/>
        </w:rPr>
        <w:t>a</w:t>
      </w:r>
      <w:r w:rsidR="00C97CE7" w:rsidRPr="0018055E">
        <w:rPr>
          <w:lang w:val="fr-FR"/>
        </w:rPr>
        <w:t xml:space="preserve">ndations </w:t>
      </w:r>
      <w:r w:rsidRPr="0018055E">
        <w:rPr>
          <w:lang w:val="fr-FR"/>
        </w:rPr>
        <w:t>formulées par le Comité du programme et budget telles qu</w:t>
      </w:r>
      <w:r w:rsidR="000219F2">
        <w:rPr>
          <w:lang w:val="fr-FR"/>
        </w:rPr>
        <w:t>’</w:t>
      </w:r>
      <w:r w:rsidRPr="0018055E">
        <w:rPr>
          <w:lang w:val="fr-FR"/>
        </w:rPr>
        <w:t xml:space="preserve">elles figurent dans les documents </w:t>
      </w:r>
      <w:r w:rsidR="00AD7E91">
        <w:rPr>
          <w:lang w:val="fr-FR"/>
        </w:rPr>
        <w:t>précit</w:t>
      </w:r>
      <w:r w:rsidRPr="0018055E">
        <w:rPr>
          <w:lang w:val="fr-FR"/>
        </w:rPr>
        <w:t>és</w:t>
      </w:r>
      <w:r w:rsidR="00C97CE7" w:rsidRPr="0018055E">
        <w:rPr>
          <w:lang w:val="fr-FR"/>
        </w:rPr>
        <w:t xml:space="preserve">; </w:t>
      </w:r>
      <w:r w:rsidR="0001078E" w:rsidRPr="0018055E">
        <w:rPr>
          <w:lang w:val="fr-FR"/>
        </w:rPr>
        <w:t xml:space="preserve"> </w:t>
      </w:r>
      <w:r w:rsidRPr="0018055E">
        <w:rPr>
          <w:lang w:val="fr-FR"/>
        </w:rPr>
        <w:t>et</w:t>
      </w:r>
    </w:p>
    <w:p w14:paraId="0B25D172" w14:textId="652E9C09" w:rsidR="00DB4DD4" w:rsidRPr="0018055E" w:rsidRDefault="0018055E" w:rsidP="00DE1772">
      <w:pPr>
        <w:pStyle w:val="ONUMFS"/>
        <w:numPr>
          <w:ilvl w:val="1"/>
          <w:numId w:val="6"/>
        </w:numPr>
        <w:rPr>
          <w:lang w:val="fr-FR"/>
        </w:rPr>
      </w:pPr>
      <w:proofErr w:type="gramStart"/>
      <w:r w:rsidRPr="0018055E">
        <w:rPr>
          <w:lang w:val="fr-FR"/>
        </w:rPr>
        <w:t>ont</w:t>
      </w:r>
      <w:proofErr w:type="gramEnd"/>
      <w:r w:rsidRPr="0018055E">
        <w:rPr>
          <w:lang w:val="fr-FR"/>
        </w:rPr>
        <w:t xml:space="preserve"> décidé, en ce qui concerne la question en </w:t>
      </w:r>
      <w:r w:rsidR="00AD7E91">
        <w:rPr>
          <w:lang w:val="fr-FR"/>
        </w:rPr>
        <w:t xml:space="preserve">suspens mentionnée </w:t>
      </w:r>
      <w:r w:rsidR="000B322D">
        <w:rPr>
          <w:lang w:val="fr-FR"/>
        </w:rPr>
        <w:t>dans le</w:t>
      </w:r>
      <w:r w:rsidR="00AD7E91">
        <w:rPr>
          <w:lang w:val="fr-FR"/>
        </w:rPr>
        <w:t xml:space="preserve"> </w:t>
      </w:r>
      <w:r w:rsidR="000219F2" w:rsidRPr="0018055E">
        <w:rPr>
          <w:lang w:val="fr-FR"/>
        </w:rPr>
        <w:t>document</w:t>
      </w:r>
      <w:r w:rsidR="00C43B14">
        <w:rPr>
          <w:lang w:val="fr-FR"/>
        </w:rPr>
        <w:t> </w:t>
      </w:r>
      <w:r w:rsidR="000219F2" w:rsidRPr="0018055E">
        <w:rPr>
          <w:lang w:val="fr-FR"/>
        </w:rPr>
        <w:t>WO</w:t>
      </w:r>
      <w:r w:rsidR="00C97CE7" w:rsidRPr="0018055E">
        <w:rPr>
          <w:lang w:val="fr-FR"/>
        </w:rPr>
        <w:t xml:space="preserve">/PBC/30/15 </w:t>
      </w:r>
      <w:r w:rsidR="00AD7E91">
        <w:rPr>
          <w:lang w:val="fr-FR"/>
        </w:rPr>
        <w:t xml:space="preserve">au titre de la décision </w:t>
      </w:r>
      <w:r w:rsidR="006D4F1A">
        <w:rPr>
          <w:lang w:val="fr-FR"/>
        </w:rPr>
        <w:t>concernant le point 11 de l</w:t>
      </w:r>
      <w:r w:rsidR="000219F2">
        <w:rPr>
          <w:lang w:val="fr-FR"/>
        </w:rPr>
        <w:t>’</w:t>
      </w:r>
      <w:r w:rsidR="006D4F1A">
        <w:rPr>
          <w:lang w:val="fr-FR"/>
        </w:rPr>
        <w:t xml:space="preserve">ordre du jour </w:t>
      </w:r>
      <w:r w:rsidR="00C97CE7" w:rsidRPr="0018055E">
        <w:rPr>
          <w:lang w:val="fr-FR"/>
        </w:rPr>
        <w:t>“Pro</w:t>
      </w:r>
      <w:r w:rsidR="006D4F1A">
        <w:rPr>
          <w:lang w:val="fr-FR"/>
        </w:rPr>
        <w:t>gramme et budget propo</w:t>
      </w:r>
      <w:r w:rsidR="00C97CE7" w:rsidRPr="0018055E">
        <w:rPr>
          <w:lang w:val="fr-FR"/>
        </w:rPr>
        <w:t>s</w:t>
      </w:r>
      <w:r w:rsidR="006D4F1A">
        <w:rPr>
          <w:lang w:val="fr-FR"/>
        </w:rPr>
        <w:t xml:space="preserve">é </w:t>
      </w:r>
      <w:r w:rsidR="00894B10">
        <w:rPr>
          <w:lang w:val="fr-FR"/>
        </w:rPr>
        <w:t>pour l</w:t>
      </w:r>
      <w:r w:rsidR="000219F2">
        <w:rPr>
          <w:lang w:val="fr-FR"/>
        </w:rPr>
        <w:t>’</w:t>
      </w:r>
      <w:r w:rsidR="00894B10">
        <w:rPr>
          <w:lang w:val="fr-FR"/>
        </w:rPr>
        <w:t>exerci</w:t>
      </w:r>
      <w:r w:rsidR="000A7846">
        <w:rPr>
          <w:lang w:val="fr-FR"/>
        </w:rPr>
        <w:t>c</w:t>
      </w:r>
      <w:r w:rsidR="00894B10">
        <w:rPr>
          <w:lang w:val="fr-FR"/>
        </w:rPr>
        <w:t xml:space="preserve">e </w:t>
      </w:r>
      <w:r w:rsidR="000A7846">
        <w:rPr>
          <w:lang w:val="fr-FR"/>
        </w:rPr>
        <w:t>biennal </w:t>
      </w:r>
      <w:r w:rsidR="00C97CE7" w:rsidRPr="0018055E">
        <w:rPr>
          <w:lang w:val="fr-FR"/>
        </w:rPr>
        <w:t>2020</w:t>
      </w:r>
      <w:r w:rsidR="00B33C70" w:rsidRPr="00B33C70">
        <w:rPr>
          <w:lang w:val="fr-FR"/>
        </w:rPr>
        <w:noBreakHyphen/>
      </w:r>
      <w:r w:rsidR="000A7846">
        <w:rPr>
          <w:lang w:val="fr-FR"/>
        </w:rPr>
        <w:t>20</w:t>
      </w:r>
      <w:r w:rsidR="00C97CE7" w:rsidRPr="0018055E">
        <w:rPr>
          <w:lang w:val="fr-FR"/>
        </w:rPr>
        <w:t>21” (document</w:t>
      </w:r>
      <w:r w:rsidR="00C43B14">
        <w:rPr>
          <w:lang w:val="fr-FR"/>
        </w:rPr>
        <w:t> </w:t>
      </w:r>
      <w:r w:rsidR="00C97CE7" w:rsidRPr="0018055E">
        <w:rPr>
          <w:lang w:val="fr-FR"/>
        </w:rPr>
        <w:t xml:space="preserve">A/59/8), </w:t>
      </w:r>
      <w:r w:rsidR="000B322D">
        <w:rPr>
          <w:lang w:val="fr-FR"/>
        </w:rPr>
        <w:t xml:space="preserve">paragraphes iii) et iv), </w:t>
      </w:r>
      <w:r w:rsidR="000A7846">
        <w:rPr>
          <w:lang w:val="fr-FR"/>
        </w:rPr>
        <w:t>d</w:t>
      </w:r>
      <w:r w:rsidR="000219F2">
        <w:rPr>
          <w:lang w:val="fr-FR"/>
        </w:rPr>
        <w:t>’</w:t>
      </w:r>
      <w:r w:rsidR="000A7846">
        <w:rPr>
          <w:lang w:val="fr-FR"/>
        </w:rPr>
        <w:t xml:space="preserve">approuver </w:t>
      </w:r>
      <w:r w:rsidR="000B322D">
        <w:rPr>
          <w:lang w:val="fr-FR"/>
        </w:rPr>
        <w:t>l</w:t>
      </w:r>
      <w:r w:rsidR="00780B1D">
        <w:rPr>
          <w:lang w:val="fr-FR"/>
        </w:rPr>
        <w:t>a version révisé</w:t>
      </w:r>
      <w:r w:rsidR="000A7846">
        <w:rPr>
          <w:lang w:val="fr-FR"/>
        </w:rPr>
        <w:t xml:space="preserve">e </w:t>
      </w:r>
      <w:r w:rsidR="00780B1D">
        <w:rPr>
          <w:lang w:val="fr-FR"/>
        </w:rPr>
        <w:t xml:space="preserve">du </w:t>
      </w:r>
      <w:r w:rsidR="000A7846">
        <w:rPr>
          <w:lang w:val="fr-FR"/>
        </w:rPr>
        <w:t xml:space="preserve">programme et budget </w:t>
      </w:r>
      <w:r w:rsidR="000B322D">
        <w:rPr>
          <w:lang w:val="fr-FR"/>
        </w:rPr>
        <w:t xml:space="preserve">proposé </w:t>
      </w:r>
      <w:r w:rsidR="000A7846" w:rsidRPr="000A7846">
        <w:rPr>
          <w:lang w:val="fr-FR"/>
        </w:rPr>
        <w:t>tel</w:t>
      </w:r>
      <w:r w:rsidR="00780B1D">
        <w:rPr>
          <w:lang w:val="fr-FR"/>
        </w:rPr>
        <w:t>le</w:t>
      </w:r>
      <w:r w:rsidR="000A7846" w:rsidRPr="000A7846">
        <w:rPr>
          <w:lang w:val="fr-FR"/>
        </w:rPr>
        <w:t xml:space="preserve"> qu</w:t>
      </w:r>
      <w:r w:rsidR="000219F2">
        <w:rPr>
          <w:lang w:val="fr-FR"/>
        </w:rPr>
        <w:t>’</w:t>
      </w:r>
      <w:r w:rsidR="00780B1D">
        <w:rPr>
          <w:lang w:val="fr-FR"/>
        </w:rPr>
        <w:t>elle</w:t>
      </w:r>
      <w:r w:rsidR="000A7846" w:rsidRPr="000A7846">
        <w:rPr>
          <w:lang w:val="fr-FR"/>
        </w:rPr>
        <w:t xml:space="preserve"> a été soumis</w:t>
      </w:r>
      <w:r w:rsidR="00780B1D">
        <w:rPr>
          <w:lang w:val="fr-FR"/>
        </w:rPr>
        <w:t>e</w:t>
      </w:r>
      <w:r w:rsidR="000A7846" w:rsidRPr="000A7846">
        <w:rPr>
          <w:lang w:val="fr-FR"/>
        </w:rPr>
        <w:t xml:space="preserve"> aux assemblées des États membres de l</w:t>
      </w:r>
      <w:r w:rsidR="000219F2">
        <w:rPr>
          <w:lang w:val="fr-FR"/>
        </w:rPr>
        <w:t>’</w:t>
      </w:r>
      <w:r w:rsidR="000A7846" w:rsidRPr="000A7846">
        <w:rPr>
          <w:lang w:val="fr-FR"/>
        </w:rPr>
        <w:t>OMPI dans le document</w:t>
      </w:r>
      <w:r w:rsidR="000A7846">
        <w:rPr>
          <w:lang w:val="fr-FR"/>
        </w:rPr>
        <w:t> </w:t>
      </w:r>
      <w:r w:rsidR="00C97CE7" w:rsidRPr="0018055E">
        <w:rPr>
          <w:lang w:val="fr-FR"/>
        </w:rPr>
        <w:t>A/59</w:t>
      </w:r>
      <w:r w:rsidR="00D21468" w:rsidRPr="0018055E">
        <w:rPr>
          <w:lang w:val="fr-FR"/>
        </w:rPr>
        <w:t>/8.</w:t>
      </w:r>
    </w:p>
    <w:p w14:paraId="5C286B13" w14:textId="3FBC13DD" w:rsidR="00C97CE7" w:rsidRPr="0018055E" w:rsidRDefault="0042510D" w:rsidP="00DE1772">
      <w:pPr>
        <w:pStyle w:val="ONUMFS"/>
        <w:rPr>
          <w:lang w:val="fr-FR"/>
        </w:rPr>
      </w:pPr>
      <w:r>
        <w:rPr>
          <w:lang w:val="fr-FR"/>
        </w:rPr>
        <w:t>En prenant ces décisions</w:t>
      </w:r>
      <w:r w:rsidR="00C97CE7" w:rsidRPr="0018055E">
        <w:rPr>
          <w:lang w:val="fr-FR"/>
        </w:rPr>
        <w:t xml:space="preserve">, </w:t>
      </w:r>
      <w:r w:rsidR="00223B16">
        <w:rPr>
          <w:lang w:val="fr-FR"/>
        </w:rPr>
        <w:t>l</w:t>
      </w:r>
      <w:r w:rsidR="00223B16" w:rsidRPr="00223B16">
        <w:rPr>
          <w:lang w:val="fr-FR"/>
        </w:rPr>
        <w:t>es assemblées des États membres de l</w:t>
      </w:r>
      <w:r w:rsidR="000219F2">
        <w:rPr>
          <w:lang w:val="fr-FR"/>
        </w:rPr>
        <w:t>’</w:t>
      </w:r>
      <w:r w:rsidR="00223B16" w:rsidRPr="00223B16">
        <w:rPr>
          <w:lang w:val="fr-FR"/>
        </w:rPr>
        <w:t>OMPI et des unions administrées par l</w:t>
      </w:r>
      <w:r w:rsidR="000219F2">
        <w:rPr>
          <w:lang w:val="fr-FR"/>
        </w:rPr>
        <w:t>’</w:t>
      </w:r>
      <w:r w:rsidR="00223B16" w:rsidRPr="00223B16">
        <w:rPr>
          <w:lang w:val="fr-FR"/>
        </w:rPr>
        <w:t>OMPI, chacune pour ce qui la concerne,</w:t>
      </w:r>
    </w:p>
    <w:p w14:paraId="71F5C33F" w14:textId="485A152A" w:rsidR="000219F2" w:rsidRDefault="009338C6" w:rsidP="00DE1772">
      <w:pPr>
        <w:pStyle w:val="ONUMFS"/>
        <w:numPr>
          <w:ilvl w:val="1"/>
          <w:numId w:val="6"/>
        </w:numPr>
        <w:rPr>
          <w:lang w:val="fr-FR"/>
        </w:rPr>
      </w:pPr>
      <w:proofErr w:type="gramStart"/>
      <w:r>
        <w:rPr>
          <w:lang w:val="fr-FR"/>
        </w:rPr>
        <w:t>ont</w:t>
      </w:r>
      <w:proofErr w:type="gramEnd"/>
      <w:r>
        <w:rPr>
          <w:lang w:val="fr-FR"/>
        </w:rPr>
        <w:t xml:space="preserve"> reconnu</w:t>
      </w:r>
      <w:r w:rsidR="003E1D34">
        <w:rPr>
          <w:lang w:val="fr-FR"/>
        </w:rPr>
        <w:t xml:space="preserve"> que, dans le passé, chaque union a contribué aux dépenses communes </w:t>
      </w:r>
      <w:r w:rsidR="00690FD1">
        <w:rPr>
          <w:lang w:val="fr-FR"/>
        </w:rPr>
        <w:t>de l</w:t>
      </w:r>
      <w:r w:rsidR="000219F2">
        <w:rPr>
          <w:lang w:val="fr-FR"/>
        </w:rPr>
        <w:t>’</w:t>
      </w:r>
      <w:r w:rsidR="00A54425" w:rsidRPr="0018055E">
        <w:rPr>
          <w:lang w:val="fr-FR"/>
        </w:rPr>
        <w:t>O</w:t>
      </w:r>
      <w:r w:rsidR="00975715" w:rsidRPr="0018055E">
        <w:rPr>
          <w:lang w:val="fr-FR"/>
        </w:rPr>
        <w:t>rgani</w:t>
      </w:r>
      <w:r w:rsidR="00690FD1">
        <w:rPr>
          <w:lang w:val="fr-FR"/>
        </w:rPr>
        <w:t>s</w:t>
      </w:r>
      <w:r w:rsidR="00975715" w:rsidRPr="0018055E">
        <w:rPr>
          <w:lang w:val="fr-FR"/>
        </w:rPr>
        <w:t>ation;</w:t>
      </w:r>
    </w:p>
    <w:p w14:paraId="2DB11A46" w14:textId="4E2A91D2" w:rsidR="000219F2" w:rsidRDefault="009338C6" w:rsidP="00DE1772">
      <w:pPr>
        <w:pStyle w:val="ONUMFS"/>
        <w:numPr>
          <w:ilvl w:val="1"/>
          <w:numId w:val="6"/>
        </w:numPr>
        <w:rPr>
          <w:lang w:val="fr-FR"/>
        </w:rPr>
      </w:pPr>
      <w:proofErr w:type="gramStart"/>
      <w:r>
        <w:rPr>
          <w:lang w:val="fr-FR"/>
        </w:rPr>
        <w:t>ont</w:t>
      </w:r>
      <w:proofErr w:type="gramEnd"/>
      <w:r>
        <w:rPr>
          <w:lang w:val="fr-FR"/>
        </w:rPr>
        <w:t xml:space="preserve"> </w:t>
      </w:r>
      <w:r w:rsidR="000731B8">
        <w:rPr>
          <w:lang w:val="fr-FR"/>
        </w:rPr>
        <w:t xml:space="preserve">pris </w:t>
      </w:r>
      <w:r w:rsidR="003C5B3E">
        <w:rPr>
          <w:lang w:val="fr-FR"/>
        </w:rPr>
        <w:t>not</w:t>
      </w:r>
      <w:r w:rsidR="000731B8">
        <w:rPr>
          <w:lang w:val="fr-FR"/>
        </w:rPr>
        <w:t>e du fait q</w:t>
      </w:r>
      <w:r w:rsidR="003C5B3E">
        <w:rPr>
          <w:lang w:val="fr-FR"/>
        </w:rPr>
        <w:t xml:space="preserve">ue le programme et budget proposé prévoit que chaque union </w:t>
      </w:r>
      <w:r w:rsidR="006C043E">
        <w:rPr>
          <w:lang w:val="fr-FR"/>
        </w:rPr>
        <w:t>relevant du système d</w:t>
      </w:r>
      <w:r w:rsidR="000219F2">
        <w:rPr>
          <w:lang w:val="fr-FR"/>
        </w:rPr>
        <w:t>’</w:t>
      </w:r>
      <w:r w:rsidR="006C043E">
        <w:rPr>
          <w:lang w:val="fr-FR"/>
        </w:rPr>
        <w:t xml:space="preserve">enregistrement </w:t>
      </w:r>
      <w:r w:rsidR="00780B1D">
        <w:rPr>
          <w:lang w:val="fr-FR"/>
        </w:rPr>
        <w:t xml:space="preserve">apporterait une contribution </w:t>
      </w:r>
      <w:r>
        <w:rPr>
          <w:lang w:val="fr-FR"/>
        </w:rPr>
        <w:t>modique,</w:t>
      </w:r>
      <w:r w:rsidR="00C97CE7" w:rsidRPr="0018055E">
        <w:rPr>
          <w:lang w:val="fr-FR"/>
        </w:rPr>
        <w:t xml:space="preserve"> </w:t>
      </w:r>
      <w:r>
        <w:rPr>
          <w:lang w:val="fr-FR"/>
        </w:rPr>
        <w:t>de l</w:t>
      </w:r>
      <w:r w:rsidR="000219F2">
        <w:rPr>
          <w:lang w:val="fr-FR"/>
        </w:rPr>
        <w:t>’</w:t>
      </w:r>
      <w:r>
        <w:rPr>
          <w:lang w:val="fr-FR"/>
        </w:rPr>
        <w:t>ordre de 1% des recettes de l</w:t>
      </w:r>
      <w:r w:rsidR="000219F2">
        <w:rPr>
          <w:lang w:val="fr-FR"/>
        </w:rPr>
        <w:t>’</w:t>
      </w:r>
      <w:r>
        <w:rPr>
          <w:lang w:val="fr-FR"/>
        </w:rPr>
        <w:t>union, aux dépenses communes de l</w:t>
      </w:r>
      <w:r w:rsidR="000219F2">
        <w:rPr>
          <w:lang w:val="fr-FR"/>
        </w:rPr>
        <w:t>’</w:t>
      </w:r>
      <w:r>
        <w:rPr>
          <w:lang w:val="fr-FR"/>
        </w:rPr>
        <w:t>Organisation, et que la contribution de l</w:t>
      </w:r>
      <w:r w:rsidR="000219F2">
        <w:rPr>
          <w:lang w:val="fr-FR"/>
        </w:rPr>
        <w:t>’</w:t>
      </w:r>
      <w:r>
        <w:rPr>
          <w:lang w:val="fr-FR"/>
        </w:rPr>
        <w:t>Union de Lisbonne au titre de l</w:t>
      </w:r>
      <w:r w:rsidR="000219F2">
        <w:rPr>
          <w:lang w:val="fr-FR"/>
        </w:rPr>
        <w:t>’</w:t>
      </w:r>
      <w:r>
        <w:rPr>
          <w:lang w:val="fr-FR"/>
        </w:rPr>
        <w:t>exercice</w:t>
      </w:r>
      <w:r w:rsidR="00C43B14">
        <w:rPr>
          <w:lang w:val="fr-FR"/>
        </w:rPr>
        <w:t> </w:t>
      </w:r>
      <w:r>
        <w:rPr>
          <w:lang w:val="fr-FR"/>
        </w:rPr>
        <w:t>2020</w:t>
      </w:r>
      <w:r w:rsidR="00B33C70" w:rsidRPr="00B33C70">
        <w:rPr>
          <w:lang w:val="fr-FR"/>
        </w:rPr>
        <w:noBreakHyphen/>
      </w:r>
      <w:r>
        <w:rPr>
          <w:lang w:val="fr-FR"/>
        </w:rPr>
        <w:t>2021 ne s</w:t>
      </w:r>
      <w:r w:rsidR="000219F2">
        <w:rPr>
          <w:lang w:val="fr-FR"/>
        </w:rPr>
        <w:t>’</w:t>
      </w:r>
      <w:r>
        <w:rPr>
          <w:lang w:val="fr-FR"/>
        </w:rPr>
        <w:t>él</w:t>
      </w:r>
      <w:r w:rsidR="00BC457F">
        <w:rPr>
          <w:lang w:val="fr-FR"/>
        </w:rPr>
        <w:t>è</w:t>
      </w:r>
      <w:r>
        <w:rPr>
          <w:lang w:val="fr-FR"/>
        </w:rPr>
        <w:t>verait qu</w:t>
      </w:r>
      <w:r w:rsidR="000219F2">
        <w:rPr>
          <w:lang w:val="fr-FR"/>
        </w:rPr>
        <w:t>’</w:t>
      </w:r>
      <w:r>
        <w:rPr>
          <w:lang w:val="fr-FR"/>
        </w:rPr>
        <w:t xml:space="preserve">à </w:t>
      </w:r>
      <w:r w:rsidR="00F87B91" w:rsidRPr="0018055E">
        <w:rPr>
          <w:lang w:val="fr-FR"/>
        </w:rPr>
        <w:t>8000 </w:t>
      </w:r>
      <w:r>
        <w:rPr>
          <w:lang w:val="fr-FR"/>
        </w:rPr>
        <w:t>francs suisses</w:t>
      </w:r>
      <w:r w:rsidR="00D21468" w:rsidRPr="0018055E">
        <w:rPr>
          <w:lang w:val="fr-FR"/>
        </w:rPr>
        <w:t xml:space="preserve"> (</w:t>
      </w:r>
      <w:r>
        <w:rPr>
          <w:lang w:val="fr-FR"/>
        </w:rPr>
        <w:t xml:space="preserve">1% de ses recettes </w:t>
      </w:r>
      <w:r w:rsidR="005821C0">
        <w:rPr>
          <w:lang w:val="fr-FR"/>
        </w:rPr>
        <w:t xml:space="preserve">qui </w:t>
      </w:r>
      <w:r>
        <w:rPr>
          <w:lang w:val="fr-FR"/>
        </w:rPr>
        <w:t>s</w:t>
      </w:r>
      <w:r w:rsidR="000219F2">
        <w:rPr>
          <w:lang w:val="fr-FR"/>
        </w:rPr>
        <w:t>’</w:t>
      </w:r>
      <w:r>
        <w:rPr>
          <w:lang w:val="fr-FR"/>
        </w:rPr>
        <w:t>établiss</w:t>
      </w:r>
      <w:r w:rsidR="005821C0">
        <w:rPr>
          <w:lang w:val="fr-FR"/>
        </w:rPr>
        <w:t>e</w:t>
      </w:r>
      <w:r>
        <w:rPr>
          <w:lang w:val="fr-FR"/>
        </w:rPr>
        <w:t xml:space="preserve">nt à </w:t>
      </w:r>
      <w:r w:rsidR="00975715" w:rsidRPr="0018055E">
        <w:rPr>
          <w:lang w:val="fr-FR"/>
        </w:rPr>
        <w:t>779</w:t>
      </w:r>
      <w:r>
        <w:rPr>
          <w:lang w:val="fr-FR"/>
        </w:rPr>
        <w:t> </w:t>
      </w:r>
      <w:r w:rsidR="00975715" w:rsidRPr="0018055E">
        <w:rPr>
          <w:lang w:val="fr-FR"/>
        </w:rPr>
        <w:t>000</w:t>
      </w:r>
      <w:r>
        <w:rPr>
          <w:lang w:val="fr-FR"/>
        </w:rPr>
        <w:t> francs suisses</w:t>
      </w:r>
      <w:r w:rsidR="00D21468" w:rsidRPr="0018055E">
        <w:rPr>
          <w:lang w:val="fr-FR"/>
        </w:rPr>
        <w:t>).</w:t>
      </w:r>
      <w:r w:rsidR="007C778E" w:rsidRPr="0018055E">
        <w:rPr>
          <w:lang w:val="fr-FR"/>
        </w:rPr>
        <w:t xml:space="preserve"> </w:t>
      </w:r>
      <w:r w:rsidR="00D21468" w:rsidRPr="0018055E">
        <w:rPr>
          <w:lang w:val="fr-FR"/>
        </w:rPr>
        <w:t xml:space="preserve"> </w:t>
      </w:r>
      <w:r w:rsidR="00657355">
        <w:rPr>
          <w:lang w:val="fr-FR"/>
        </w:rPr>
        <w:t>Ce pourcentage est sensiblement moins élevé que celui qui avait été précédemment alloué</w:t>
      </w:r>
      <w:r w:rsidR="00A41148" w:rsidRPr="0018055E">
        <w:rPr>
          <w:rStyle w:val="FootnoteReference"/>
          <w:lang w:val="fr-FR"/>
        </w:rPr>
        <w:footnoteReference w:id="2"/>
      </w:r>
      <w:r w:rsidR="00F66829" w:rsidRPr="0018055E">
        <w:rPr>
          <w:lang w:val="fr-FR"/>
        </w:rPr>
        <w:t>;</w:t>
      </w:r>
    </w:p>
    <w:p w14:paraId="70172999" w14:textId="07D57FB3" w:rsidR="000219F2" w:rsidRDefault="004D487A" w:rsidP="00DE1772">
      <w:pPr>
        <w:pStyle w:val="ONUMFS"/>
        <w:numPr>
          <w:ilvl w:val="1"/>
          <w:numId w:val="6"/>
        </w:numPr>
        <w:rPr>
          <w:lang w:val="fr-FR"/>
        </w:rPr>
      </w:pPr>
      <w:proofErr w:type="gramStart"/>
      <w:r>
        <w:rPr>
          <w:lang w:val="fr-FR"/>
        </w:rPr>
        <w:t>ont</w:t>
      </w:r>
      <w:proofErr w:type="gramEnd"/>
      <w:r>
        <w:rPr>
          <w:lang w:val="fr-FR"/>
        </w:rPr>
        <w:t xml:space="preserve"> </w:t>
      </w:r>
      <w:r w:rsidR="000731B8">
        <w:rPr>
          <w:lang w:val="fr-FR"/>
        </w:rPr>
        <w:t xml:space="preserve">pris </w:t>
      </w:r>
      <w:r>
        <w:rPr>
          <w:lang w:val="fr-FR"/>
        </w:rPr>
        <w:t>not</w:t>
      </w:r>
      <w:r w:rsidR="000731B8">
        <w:rPr>
          <w:lang w:val="fr-FR"/>
        </w:rPr>
        <w:t>e du fait</w:t>
      </w:r>
      <w:r>
        <w:rPr>
          <w:lang w:val="fr-FR"/>
        </w:rPr>
        <w:t xml:space="preserve"> que, conformément aux dispositions de plusieurs traités administrés par </w:t>
      </w:r>
      <w:r w:rsidR="003C432F">
        <w:rPr>
          <w:lang w:val="fr-FR"/>
        </w:rPr>
        <w:t>l</w:t>
      </w:r>
      <w:r w:rsidR="000219F2">
        <w:rPr>
          <w:lang w:val="fr-FR"/>
        </w:rPr>
        <w:t>’</w:t>
      </w:r>
      <w:r w:rsidR="003C432F">
        <w:rPr>
          <w:lang w:val="fr-FR"/>
        </w:rPr>
        <w:t xml:space="preserve">OMPI, </w:t>
      </w:r>
      <w:r w:rsidR="000219F2">
        <w:rPr>
          <w:lang w:val="fr-FR"/>
        </w:rPr>
        <w:t>y compris</w:t>
      </w:r>
      <w:r w:rsidR="003C432F">
        <w:rPr>
          <w:lang w:val="fr-FR"/>
        </w:rPr>
        <w:t>, par exemple, l</w:t>
      </w:r>
      <w:r w:rsidR="000219F2">
        <w:rPr>
          <w:lang w:val="fr-FR"/>
        </w:rPr>
        <w:t>’</w:t>
      </w:r>
      <w:r w:rsidR="003C432F">
        <w:rPr>
          <w:lang w:val="fr-FR"/>
        </w:rPr>
        <w:t>article </w:t>
      </w:r>
      <w:r w:rsidR="00EA3D06" w:rsidRPr="0018055E">
        <w:rPr>
          <w:lang w:val="fr-FR"/>
        </w:rPr>
        <w:t xml:space="preserve">11 </w:t>
      </w:r>
      <w:r w:rsidR="003C432F">
        <w:rPr>
          <w:lang w:val="fr-FR"/>
        </w:rPr>
        <w:t>de l</w:t>
      </w:r>
      <w:r w:rsidR="000219F2">
        <w:rPr>
          <w:lang w:val="fr-FR"/>
        </w:rPr>
        <w:t>’</w:t>
      </w:r>
      <w:r w:rsidR="003C432F">
        <w:rPr>
          <w:lang w:val="fr-FR"/>
        </w:rPr>
        <w:t xml:space="preserve">Arrangement de </w:t>
      </w:r>
      <w:r w:rsidR="00EA3D06" w:rsidRPr="0018055E">
        <w:rPr>
          <w:lang w:val="fr-FR"/>
        </w:rPr>
        <w:t>Lisbon</w:t>
      </w:r>
      <w:r w:rsidR="003C432F">
        <w:rPr>
          <w:lang w:val="fr-FR"/>
        </w:rPr>
        <w:t>ne</w:t>
      </w:r>
      <w:r w:rsidR="00EA3D06" w:rsidRPr="0018055E">
        <w:rPr>
          <w:lang w:val="fr-FR"/>
        </w:rPr>
        <w:t xml:space="preserve"> </w:t>
      </w:r>
      <w:r w:rsidR="003C432F" w:rsidRPr="000219F2">
        <w:rPr>
          <w:lang w:val="fr-CH"/>
        </w:rPr>
        <w:t>concernant la protection des appellations d</w:t>
      </w:r>
      <w:r w:rsidR="000219F2">
        <w:rPr>
          <w:lang w:val="fr-CH"/>
        </w:rPr>
        <w:t>’</w:t>
      </w:r>
      <w:r w:rsidR="003C432F" w:rsidRPr="000219F2">
        <w:rPr>
          <w:lang w:val="fr-CH"/>
        </w:rPr>
        <w:t xml:space="preserve">origine et leur enregistrement international, les </w:t>
      </w:r>
      <w:r w:rsidR="001C457B" w:rsidRPr="0018055E">
        <w:rPr>
          <w:lang w:val="fr-FR"/>
        </w:rPr>
        <w:t>u</w:t>
      </w:r>
      <w:r w:rsidR="007C778E" w:rsidRPr="0018055E">
        <w:rPr>
          <w:lang w:val="fr-FR"/>
        </w:rPr>
        <w:t xml:space="preserve">nions </w:t>
      </w:r>
      <w:r w:rsidR="003C432F">
        <w:rPr>
          <w:lang w:val="fr-FR"/>
        </w:rPr>
        <w:t>sont tenues d</w:t>
      </w:r>
      <w:r w:rsidR="000219F2">
        <w:rPr>
          <w:lang w:val="fr-FR"/>
        </w:rPr>
        <w:t>’</w:t>
      </w:r>
      <w:r w:rsidR="003C432F">
        <w:rPr>
          <w:lang w:val="fr-FR"/>
        </w:rPr>
        <w:t xml:space="preserve">adopter un budget tenant compte de leur </w:t>
      </w:r>
      <w:r w:rsidR="007C778E" w:rsidRPr="0018055E">
        <w:rPr>
          <w:lang w:val="fr-FR"/>
        </w:rPr>
        <w:t xml:space="preserve">contribution </w:t>
      </w:r>
      <w:r w:rsidR="003C432F">
        <w:rPr>
          <w:lang w:val="fr-FR"/>
        </w:rPr>
        <w:t>aux dépenses communes de l</w:t>
      </w:r>
      <w:r w:rsidR="000219F2">
        <w:rPr>
          <w:lang w:val="fr-FR"/>
        </w:rPr>
        <w:t>’</w:t>
      </w:r>
      <w:r w:rsidR="00975715" w:rsidRPr="0018055E">
        <w:rPr>
          <w:lang w:val="fr-FR"/>
        </w:rPr>
        <w:t>Organi</w:t>
      </w:r>
      <w:r w:rsidR="003C432F">
        <w:rPr>
          <w:lang w:val="fr-FR"/>
        </w:rPr>
        <w:t>s</w:t>
      </w:r>
      <w:r w:rsidR="00975715" w:rsidRPr="0018055E">
        <w:rPr>
          <w:lang w:val="fr-FR"/>
        </w:rPr>
        <w:t>ation;</w:t>
      </w:r>
    </w:p>
    <w:p w14:paraId="12439782" w14:textId="4357F942" w:rsidR="007C778E" w:rsidRPr="0018055E" w:rsidRDefault="003C432F" w:rsidP="00DE1772">
      <w:pPr>
        <w:pStyle w:val="ONUMFS"/>
        <w:numPr>
          <w:ilvl w:val="1"/>
          <w:numId w:val="6"/>
        </w:numPr>
        <w:rPr>
          <w:lang w:val="fr-FR"/>
        </w:rPr>
      </w:pPr>
      <w:proofErr w:type="gramStart"/>
      <w:r>
        <w:rPr>
          <w:lang w:val="fr-FR"/>
        </w:rPr>
        <w:lastRenderedPageBreak/>
        <w:t>ont</w:t>
      </w:r>
      <w:proofErr w:type="gramEnd"/>
      <w:r>
        <w:rPr>
          <w:lang w:val="fr-FR"/>
        </w:rPr>
        <w:t xml:space="preserve"> rappelé la décision prise </w:t>
      </w:r>
      <w:r w:rsidR="000219F2">
        <w:rPr>
          <w:lang w:val="fr-FR"/>
        </w:rPr>
        <w:t>en </w:t>
      </w:r>
      <w:r w:rsidR="000219F2" w:rsidRPr="0018055E">
        <w:rPr>
          <w:lang w:val="fr-FR"/>
        </w:rPr>
        <w:t>2015</w:t>
      </w:r>
      <w:r w:rsidR="007C778E" w:rsidRPr="0018055E">
        <w:rPr>
          <w:lang w:val="fr-FR"/>
        </w:rPr>
        <w:t xml:space="preserve"> </w:t>
      </w:r>
      <w:r>
        <w:rPr>
          <w:lang w:val="fr-FR"/>
        </w:rPr>
        <w:t xml:space="preserve">par les assemblées des États membres </w:t>
      </w:r>
      <w:r w:rsidR="007C778E" w:rsidRPr="0018055E">
        <w:rPr>
          <w:lang w:val="fr-FR"/>
        </w:rPr>
        <w:t>de</w:t>
      </w:r>
      <w:r>
        <w:rPr>
          <w:lang w:val="fr-FR"/>
        </w:rPr>
        <w:t xml:space="preserve"> l</w:t>
      </w:r>
      <w:r w:rsidR="000219F2">
        <w:rPr>
          <w:lang w:val="fr-FR"/>
        </w:rPr>
        <w:t>’</w:t>
      </w:r>
      <w:r>
        <w:rPr>
          <w:lang w:val="fr-FR"/>
        </w:rPr>
        <w:t xml:space="preserve">OMPI </w:t>
      </w:r>
      <w:r w:rsidR="009911CB" w:rsidRPr="009911CB">
        <w:rPr>
          <w:lang w:val="fr-FR"/>
        </w:rPr>
        <w:t>et des unions administrées par l</w:t>
      </w:r>
      <w:r w:rsidR="000219F2">
        <w:rPr>
          <w:lang w:val="fr-FR"/>
        </w:rPr>
        <w:t>’</w:t>
      </w:r>
      <w:r w:rsidR="009911CB" w:rsidRPr="009911CB">
        <w:rPr>
          <w:lang w:val="fr-FR"/>
        </w:rPr>
        <w:t>OMPI</w:t>
      </w:r>
      <w:r w:rsidR="007C778E" w:rsidRPr="0018055E">
        <w:rPr>
          <w:lang w:val="fr-FR"/>
        </w:rPr>
        <w:t xml:space="preserve">, </w:t>
      </w:r>
      <w:r w:rsidR="009911CB">
        <w:rPr>
          <w:lang w:val="fr-FR"/>
        </w:rPr>
        <w:t>chacune pour ce qui la concerne,</w:t>
      </w:r>
    </w:p>
    <w:p w14:paraId="46181F95" w14:textId="66EB113F" w:rsidR="007C778E" w:rsidRPr="0018055E" w:rsidRDefault="009911CB" w:rsidP="00DE1772">
      <w:pPr>
        <w:pStyle w:val="ONUMFS"/>
        <w:numPr>
          <w:ilvl w:val="2"/>
          <w:numId w:val="6"/>
        </w:numPr>
        <w:rPr>
          <w:lang w:val="fr-FR"/>
        </w:rPr>
      </w:pPr>
      <w:proofErr w:type="gramStart"/>
      <w:r>
        <w:rPr>
          <w:lang w:val="fr-FR"/>
        </w:rPr>
        <w:t>de</w:t>
      </w:r>
      <w:proofErr w:type="gramEnd"/>
      <w:r w:rsidR="007C778E" w:rsidRPr="0018055E">
        <w:rPr>
          <w:lang w:val="fr-FR"/>
        </w:rPr>
        <w:t xml:space="preserve"> </w:t>
      </w:r>
      <w:r>
        <w:rPr>
          <w:lang w:val="fr-FR"/>
        </w:rPr>
        <w:t xml:space="preserve">prendre </w:t>
      </w:r>
      <w:r w:rsidR="007C778E" w:rsidRPr="0018055E">
        <w:rPr>
          <w:lang w:val="fr-FR"/>
        </w:rPr>
        <w:t xml:space="preserve">note </w:t>
      </w:r>
      <w:r>
        <w:rPr>
          <w:lang w:val="fr-FR"/>
        </w:rPr>
        <w:t>de la</w:t>
      </w:r>
      <w:r w:rsidR="007C778E" w:rsidRPr="0018055E">
        <w:rPr>
          <w:lang w:val="fr-FR"/>
        </w:rPr>
        <w:t xml:space="preserve"> “</w:t>
      </w:r>
      <w:r w:rsidRPr="009911CB">
        <w:rPr>
          <w:lang w:val="fr-FR"/>
        </w:rPr>
        <w:t>décision de l</w:t>
      </w:r>
      <w:r w:rsidR="000219F2">
        <w:rPr>
          <w:lang w:val="fr-FR"/>
        </w:rPr>
        <w:t>’</w:t>
      </w:r>
      <w:r w:rsidRPr="009911CB">
        <w:rPr>
          <w:lang w:val="fr-FR"/>
        </w:rPr>
        <w:t>Assemblée de l</w:t>
      </w:r>
      <w:r w:rsidR="000219F2">
        <w:rPr>
          <w:lang w:val="fr-FR"/>
        </w:rPr>
        <w:t>’</w:t>
      </w:r>
      <w:r w:rsidRPr="009911CB">
        <w:rPr>
          <w:lang w:val="fr-FR"/>
        </w:rPr>
        <w:t>Union de Lisbonne d</w:t>
      </w:r>
      <w:r w:rsidR="000219F2">
        <w:rPr>
          <w:lang w:val="fr-FR"/>
        </w:rPr>
        <w:t>’</w:t>
      </w:r>
      <w:r w:rsidRPr="009911CB">
        <w:rPr>
          <w:lang w:val="fr-FR"/>
        </w:rPr>
        <w:t>adopter d</w:t>
      </w:r>
      <w:r w:rsidR="000219F2">
        <w:rPr>
          <w:lang w:val="fr-FR"/>
        </w:rPr>
        <w:t>’</w:t>
      </w:r>
      <w:r w:rsidRPr="009911CB">
        <w:rPr>
          <w:lang w:val="fr-FR"/>
        </w:rPr>
        <w:t xml:space="preserve">ici les assemblées </w:t>
      </w:r>
      <w:r w:rsidR="000219F2" w:rsidRPr="009911CB">
        <w:rPr>
          <w:lang w:val="fr-FR"/>
        </w:rPr>
        <w:t>de</w:t>
      </w:r>
      <w:r w:rsidR="000219F2">
        <w:rPr>
          <w:lang w:val="fr-FR"/>
        </w:rPr>
        <w:t> </w:t>
      </w:r>
      <w:r w:rsidR="000219F2" w:rsidRPr="009911CB">
        <w:rPr>
          <w:lang w:val="fr-FR"/>
        </w:rPr>
        <w:t>2016</w:t>
      </w:r>
      <w:r w:rsidRPr="009911CB">
        <w:rPr>
          <w:lang w:val="fr-FR"/>
        </w:rPr>
        <w:t xml:space="preserve"> des mesures pour éliminer le déficit biennal prévu de l</w:t>
      </w:r>
      <w:r w:rsidR="000219F2">
        <w:rPr>
          <w:lang w:val="fr-FR"/>
        </w:rPr>
        <w:t>’</w:t>
      </w:r>
      <w:r w:rsidRPr="009911CB">
        <w:rPr>
          <w:lang w:val="fr-FR"/>
        </w:rPr>
        <w:t>Union de Lisbonne, comme indiqué dans le programme et budget de l</w:t>
      </w:r>
      <w:r w:rsidR="000219F2">
        <w:rPr>
          <w:lang w:val="fr-FR"/>
        </w:rPr>
        <w:t>’</w:t>
      </w:r>
      <w:r w:rsidRPr="009911CB">
        <w:rPr>
          <w:lang w:val="fr-FR"/>
        </w:rPr>
        <w:t>OMPI pour l</w:t>
      </w:r>
      <w:r w:rsidR="000219F2">
        <w:rPr>
          <w:lang w:val="fr-FR"/>
        </w:rPr>
        <w:t>’</w:t>
      </w:r>
      <w:r w:rsidRPr="009911CB">
        <w:rPr>
          <w:lang w:val="fr-FR"/>
        </w:rPr>
        <w:t xml:space="preserve">exercice </w:t>
      </w:r>
      <w:r w:rsidR="000219F2" w:rsidRPr="009911CB">
        <w:rPr>
          <w:lang w:val="fr-FR"/>
        </w:rPr>
        <w:t>biennal</w:t>
      </w:r>
      <w:r w:rsidR="000219F2">
        <w:rPr>
          <w:lang w:val="fr-FR"/>
        </w:rPr>
        <w:t> </w:t>
      </w:r>
      <w:r w:rsidR="000219F2" w:rsidRPr="009911CB">
        <w:rPr>
          <w:lang w:val="fr-FR"/>
        </w:rPr>
        <w:t>2016</w:t>
      </w:r>
      <w:r w:rsidR="00B33C70" w:rsidRPr="00B33C70">
        <w:rPr>
          <w:lang w:val="fr-FR"/>
        </w:rPr>
        <w:noBreakHyphen/>
      </w:r>
      <w:r w:rsidRPr="009911CB">
        <w:rPr>
          <w:lang w:val="fr-FR"/>
        </w:rPr>
        <w:t>2017 (1,523</w:t>
      </w:r>
      <w:r>
        <w:rPr>
          <w:lang w:val="fr-FR"/>
        </w:rPr>
        <w:t> </w:t>
      </w:r>
      <w:r w:rsidRPr="009911CB">
        <w:rPr>
          <w:lang w:val="fr-FR"/>
        </w:rPr>
        <w:t>million de francs</w:t>
      </w:r>
      <w:r>
        <w:rPr>
          <w:lang w:val="fr-FR"/>
        </w:rPr>
        <w:t> </w:t>
      </w:r>
      <w:r w:rsidRPr="009911CB">
        <w:rPr>
          <w:lang w:val="fr-FR"/>
        </w:rPr>
        <w:t>suisses</w:t>
      </w:r>
      <w:r>
        <w:rPr>
          <w:lang w:val="fr-FR"/>
        </w:rPr>
        <w:t>)</w:t>
      </w:r>
      <w:r w:rsidR="007C778E" w:rsidRPr="0018055E">
        <w:rPr>
          <w:lang w:val="fr-FR"/>
        </w:rPr>
        <w:t>”</w:t>
      </w:r>
      <w:r w:rsidR="0062274F">
        <w:rPr>
          <w:lang w:val="fr-FR"/>
        </w:rPr>
        <w:t xml:space="preserve">; </w:t>
      </w:r>
      <w:r w:rsidR="007C778E" w:rsidRPr="0018055E">
        <w:rPr>
          <w:lang w:val="fr-FR"/>
        </w:rPr>
        <w:t xml:space="preserve"> </w:t>
      </w:r>
      <w:r>
        <w:rPr>
          <w:lang w:val="fr-FR"/>
        </w:rPr>
        <w:t>et</w:t>
      </w:r>
    </w:p>
    <w:p w14:paraId="7C4AD840" w14:textId="382FF164" w:rsidR="000219F2" w:rsidRDefault="00671720" w:rsidP="00DE1772">
      <w:pPr>
        <w:pStyle w:val="ONUMFS"/>
        <w:numPr>
          <w:ilvl w:val="2"/>
          <w:numId w:val="6"/>
        </w:numPr>
        <w:rPr>
          <w:lang w:val="fr-FR"/>
        </w:rPr>
      </w:pPr>
      <w:proofErr w:type="gramStart"/>
      <w:r>
        <w:rPr>
          <w:lang w:val="fr-FR"/>
        </w:rPr>
        <w:t>de</w:t>
      </w:r>
      <w:proofErr w:type="gramEnd"/>
      <w:r>
        <w:rPr>
          <w:lang w:val="fr-FR"/>
        </w:rPr>
        <w:t xml:space="preserve"> décider</w:t>
      </w:r>
      <w:r w:rsidR="007C778E" w:rsidRPr="0018055E">
        <w:rPr>
          <w:lang w:val="fr-FR"/>
        </w:rPr>
        <w:t xml:space="preserve"> “</w:t>
      </w:r>
      <w:r w:rsidRPr="00671720">
        <w:rPr>
          <w:lang w:val="fr-FR"/>
        </w:rPr>
        <w:t>d</w:t>
      </w:r>
      <w:r w:rsidR="000219F2">
        <w:rPr>
          <w:lang w:val="fr-FR"/>
        </w:rPr>
        <w:t>’</w:t>
      </w:r>
      <w:r w:rsidRPr="00671720">
        <w:rPr>
          <w:lang w:val="fr-FR"/>
        </w:rPr>
        <w:t>approuver un prêt à l</w:t>
      </w:r>
      <w:r w:rsidR="000219F2">
        <w:rPr>
          <w:lang w:val="fr-FR"/>
        </w:rPr>
        <w:t>’</w:t>
      </w:r>
      <w:r w:rsidRPr="00671720">
        <w:rPr>
          <w:lang w:val="fr-FR"/>
        </w:rPr>
        <w:t>Union de Lisbonne imputé aux réserves des unions financées par des contributions afin de financer le fonctionnement du système de Lisbonne pour l</w:t>
      </w:r>
      <w:r w:rsidR="000219F2">
        <w:rPr>
          <w:lang w:val="fr-FR"/>
        </w:rPr>
        <w:t>’</w:t>
      </w:r>
      <w:r w:rsidRPr="00671720">
        <w:rPr>
          <w:lang w:val="fr-FR"/>
        </w:rPr>
        <w:t xml:space="preserve">exercice </w:t>
      </w:r>
      <w:r w:rsidR="000219F2" w:rsidRPr="00671720">
        <w:rPr>
          <w:lang w:val="fr-FR"/>
        </w:rPr>
        <w:t>biennal</w:t>
      </w:r>
      <w:r w:rsidR="000219F2">
        <w:rPr>
          <w:lang w:val="fr-FR"/>
        </w:rPr>
        <w:t> </w:t>
      </w:r>
      <w:r w:rsidR="000219F2" w:rsidRPr="00671720">
        <w:rPr>
          <w:lang w:val="fr-FR"/>
        </w:rPr>
        <w:t>2016</w:t>
      </w:r>
      <w:r w:rsidR="00B33C70" w:rsidRPr="00B33C70">
        <w:rPr>
          <w:lang w:val="fr-FR"/>
        </w:rPr>
        <w:noBreakHyphen/>
      </w:r>
      <w:r w:rsidRPr="00671720">
        <w:rPr>
          <w:lang w:val="fr-FR"/>
        </w:rPr>
        <w:t>2017 au cas où ces mesures ne seraient pas suffisantes pour couvrir son déficit biennal prévu</w:t>
      </w:r>
      <w:r>
        <w:rPr>
          <w:lang w:val="fr-FR"/>
        </w:rPr>
        <w:t xml:space="preserve">.  </w:t>
      </w:r>
      <w:r w:rsidRPr="00671720">
        <w:rPr>
          <w:lang w:val="fr-FR"/>
        </w:rPr>
        <w:t>Ce prêt sera consenti sans intérêt et étant entendu qu</w:t>
      </w:r>
      <w:r w:rsidR="000219F2">
        <w:rPr>
          <w:lang w:val="fr-FR"/>
        </w:rPr>
        <w:t>’</w:t>
      </w:r>
      <w:r w:rsidRPr="00671720">
        <w:rPr>
          <w:lang w:val="fr-FR"/>
        </w:rPr>
        <w:t>il sera remboursé lorsque les réserves de l</w:t>
      </w:r>
      <w:r w:rsidR="000219F2">
        <w:rPr>
          <w:lang w:val="fr-FR"/>
        </w:rPr>
        <w:t>’</w:t>
      </w:r>
      <w:r w:rsidRPr="00671720">
        <w:rPr>
          <w:lang w:val="fr-FR"/>
        </w:rPr>
        <w:t>Union de Lisbonne le permettront</w:t>
      </w:r>
      <w:r w:rsidR="007C778E" w:rsidRPr="0018055E">
        <w:rPr>
          <w:lang w:val="fr-FR"/>
        </w:rPr>
        <w:t>”</w:t>
      </w:r>
      <w:r w:rsidR="0062274F">
        <w:rPr>
          <w:lang w:val="fr-FR"/>
        </w:rPr>
        <w:t>;</w:t>
      </w:r>
    </w:p>
    <w:p w14:paraId="2EA18753" w14:textId="3999E40E" w:rsidR="007C778E" w:rsidRPr="0018055E" w:rsidRDefault="0062274F" w:rsidP="00DE1772">
      <w:pPr>
        <w:pStyle w:val="ONUMFS"/>
        <w:numPr>
          <w:ilvl w:val="1"/>
          <w:numId w:val="6"/>
        </w:numPr>
        <w:rPr>
          <w:lang w:val="fr-FR"/>
        </w:rPr>
      </w:pPr>
      <w:proofErr w:type="gramStart"/>
      <w:r>
        <w:rPr>
          <w:lang w:val="fr-FR"/>
        </w:rPr>
        <w:t>ont</w:t>
      </w:r>
      <w:proofErr w:type="gramEnd"/>
      <w:r>
        <w:rPr>
          <w:lang w:val="fr-FR"/>
        </w:rPr>
        <w:t xml:space="preserve"> également rappelé la décision prise </w:t>
      </w:r>
      <w:r w:rsidR="000219F2">
        <w:rPr>
          <w:lang w:val="fr-FR"/>
        </w:rPr>
        <w:t>en </w:t>
      </w:r>
      <w:r w:rsidR="000219F2" w:rsidRPr="0018055E">
        <w:rPr>
          <w:lang w:val="fr-FR"/>
        </w:rPr>
        <w:t>2017</w:t>
      </w:r>
      <w:r w:rsidR="007C778E" w:rsidRPr="0018055E">
        <w:rPr>
          <w:lang w:val="fr-FR"/>
        </w:rPr>
        <w:t xml:space="preserve"> </w:t>
      </w:r>
      <w:r w:rsidRPr="0062274F">
        <w:rPr>
          <w:lang w:val="fr-FR"/>
        </w:rPr>
        <w:t>par les assemblées des États membres de l</w:t>
      </w:r>
      <w:r w:rsidR="000219F2">
        <w:rPr>
          <w:lang w:val="fr-FR"/>
        </w:rPr>
        <w:t>’</w:t>
      </w:r>
      <w:r w:rsidRPr="0062274F">
        <w:rPr>
          <w:lang w:val="fr-FR"/>
        </w:rPr>
        <w:t>OMPI et des unions administrées par l</w:t>
      </w:r>
      <w:r w:rsidR="000219F2">
        <w:rPr>
          <w:lang w:val="fr-FR"/>
        </w:rPr>
        <w:t>’</w:t>
      </w:r>
      <w:r w:rsidRPr="0062274F">
        <w:rPr>
          <w:lang w:val="fr-FR"/>
        </w:rPr>
        <w:t>OMPI, chacune pour ce qui la concerne,</w:t>
      </w:r>
      <w:r>
        <w:rPr>
          <w:lang w:val="fr-FR"/>
        </w:rPr>
        <w:t xml:space="preserve"> selon laquelle,</w:t>
      </w:r>
    </w:p>
    <w:p w14:paraId="4B075D56" w14:textId="77777777" w:rsidR="000219F2" w:rsidRDefault="007C778E" w:rsidP="00DE1772">
      <w:pPr>
        <w:pStyle w:val="ONUMFS"/>
        <w:numPr>
          <w:ilvl w:val="2"/>
          <w:numId w:val="6"/>
        </w:numPr>
        <w:rPr>
          <w:lang w:val="fr-FR"/>
        </w:rPr>
      </w:pPr>
      <w:r w:rsidRPr="0018055E">
        <w:rPr>
          <w:lang w:val="fr-FR"/>
        </w:rPr>
        <w:t>“</w:t>
      </w:r>
      <w:r w:rsidR="0062274F" w:rsidRPr="0062274F">
        <w:rPr>
          <w:lang w:val="fr-FR"/>
        </w:rPr>
        <w:t>en vertu des traités régissant les unions financées par des taxes, chaque union doit disposer de recettes suffisantes pour couvrir ses propres dépenses</w:t>
      </w:r>
      <w:r w:rsidRPr="0018055E">
        <w:rPr>
          <w:lang w:val="fr-FR"/>
        </w:rPr>
        <w:t>”</w:t>
      </w:r>
      <w:r w:rsidR="0062274F">
        <w:rPr>
          <w:lang w:val="fr-FR"/>
        </w:rPr>
        <w:t>;</w:t>
      </w:r>
    </w:p>
    <w:p w14:paraId="0089C993" w14:textId="0CB1605C" w:rsidR="000219F2" w:rsidRDefault="007C778E" w:rsidP="00DE1772">
      <w:pPr>
        <w:pStyle w:val="ONUMFS"/>
        <w:numPr>
          <w:ilvl w:val="2"/>
          <w:numId w:val="6"/>
        </w:numPr>
        <w:rPr>
          <w:lang w:val="fr-FR"/>
        </w:rPr>
      </w:pPr>
      <w:r w:rsidRPr="0018055E">
        <w:rPr>
          <w:lang w:val="fr-FR"/>
        </w:rPr>
        <w:t>“</w:t>
      </w:r>
      <w:r w:rsidR="000731B8" w:rsidRPr="000731B8">
        <w:rPr>
          <w:lang w:val="fr-FR"/>
        </w:rPr>
        <w:t>les unions financées par des taxes avec un déficit biennal prévu au cours de l</w:t>
      </w:r>
      <w:r w:rsidR="000219F2">
        <w:rPr>
          <w:lang w:val="fr-FR"/>
        </w:rPr>
        <w:t>’</w:t>
      </w:r>
      <w:r w:rsidR="000731B8" w:rsidRPr="000731B8">
        <w:rPr>
          <w:lang w:val="fr-FR"/>
        </w:rPr>
        <w:t xml:space="preserve">exercice </w:t>
      </w:r>
      <w:r w:rsidR="000219F2" w:rsidRPr="000731B8">
        <w:rPr>
          <w:lang w:val="fr-FR"/>
        </w:rPr>
        <w:t>biennal</w:t>
      </w:r>
      <w:r w:rsidR="000219F2">
        <w:rPr>
          <w:lang w:val="fr-FR"/>
        </w:rPr>
        <w:t> </w:t>
      </w:r>
      <w:r w:rsidR="000219F2" w:rsidRPr="000731B8">
        <w:rPr>
          <w:lang w:val="fr-FR"/>
        </w:rPr>
        <w:t>2018</w:t>
      </w:r>
      <w:r w:rsidR="00B33C70" w:rsidRPr="00B33C70">
        <w:rPr>
          <w:lang w:val="fr-FR"/>
        </w:rPr>
        <w:noBreakHyphen/>
      </w:r>
      <w:r w:rsidR="000731B8" w:rsidRPr="000731B8">
        <w:rPr>
          <w:lang w:val="fr-FR"/>
        </w:rPr>
        <w:t>2019 devraient envisager des mesures conformément à leur propre traité afin de combler ce déficit</w:t>
      </w:r>
      <w:r w:rsidRPr="0018055E">
        <w:rPr>
          <w:lang w:val="fr-FR"/>
        </w:rPr>
        <w:t>”</w:t>
      </w:r>
      <w:r w:rsidR="000731B8">
        <w:rPr>
          <w:lang w:val="fr-FR"/>
        </w:rPr>
        <w:t>;</w:t>
      </w:r>
    </w:p>
    <w:p w14:paraId="6A3D67EC" w14:textId="1E420B9D" w:rsidR="007C778E" w:rsidRPr="0018055E" w:rsidRDefault="007C778E" w:rsidP="00DE1772">
      <w:pPr>
        <w:pStyle w:val="ONUMFS"/>
        <w:numPr>
          <w:ilvl w:val="2"/>
          <w:numId w:val="6"/>
        </w:numPr>
        <w:rPr>
          <w:lang w:val="fr-FR"/>
        </w:rPr>
      </w:pPr>
      <w:r w:rsidRPr="0018055E">
        <w:rPr>
          <w:lang w:val="fr-FR"/>
        </w:rPr>
        <w:t>“</w:t>
      </w:r>
      <w:r w:rsidR="000731B8" w:rsidRPr="000731B8">
        <w:rPr>
          <w:lang w:val="fr-FR"/>
        </w:rPr>
        <w:t>si une union au cours d</w:t>
      </w:r>
      <w:r w:rsidR="000219F2">
        <w:rPr>
          <w:lang w:val="fr-FR"/>
        </w:rPr>
        <w:t>’</w:t>
      </w:r>
      <w:r w:rsidR="000731B8" w:rsidRPr="000731B8">
        <w:rPr>
          <w:lang w:val="fr-FR"/>
        </w:rPr>
        <w:t>un exercice biennal donné ne dispose pas de recettes et de réserves suffisantes pour couvrir les dépenses prévues, le montant nécessaire pour financer les opérations de cette union est prélevé sur les actifs nets de l</w:t>
      </w:r>
      <w:r w:rsidR="000219F2">
        <w:rPr>
          <w:lang w:val="fr-FR"/>
        </w:rPr>
        <w:t>’</w:t>
      </w:r>
      <w:r w:rsidR="000731B8" w:rsidRPr="000731B8">
        <w:rPr>
          <w:lang w:val="fr-FR"/>
        </w:rPr>
        <w:t>Organisation et comptabilisé dans les états financiers de l</w:t>
      </w:r>
      <w:r w:rsidR="000219F2">
        <w:rPr>
          <w:lang w:val="fr-FR"/>
        </w:rPr>
        <w:t>’</w:t>
      </w:r>
      <w:r w:rsidR="000731B8" w:rsidRPr="000731B8">
        <w:rPr>
          <w:lang w:val="fr-FR"/>
        </w:rPr>
        <w:t>Organisation et doit être remboursé lorsque les réserves de cette union le permettent</w:t>
      </w:r>
      <w:proofErr w:type="gramStart"/>
      <w:r w:rsidRPr="0018055E">
        <w:rPr>
          <w:lang w:val="fr-FR"/>
        </w:rPr>
        <w:t>”</w:t>
      </w:r>
      <w:r w:rsidR="000731B8">
        <w:rPr>
          <w:lang w:val="fr-FR"/>
        </w:rPr>
        <w:t xml:space="preserve">; </w:t>
      </w:r>
      <w:r w:rsidR="004D5969" w:rsidRPr="0018055E">
        <w:rPr>
          <w:lang w:val="fr-FR"/>
        </w:rPr>
        <w:t xml:space="preserve"> </w:t>
      </w:r>
      <w:r w:rsidR="000731B8">
        <w:rPr>
          <w:lang w:val="fr-FR"/>
        </w:rPr>
        <w:t>et</w:t>
      </w:r>
      <w:proofErr w:type="gramEnd"/>
    </w:p>
    <w:p w14:paraId="50C8C2B8" w14:textId="774CD474" w:rsidR="007C778E" w:rsidRPr="0018055E" w:rsidRDefault="007C778E" w:rsidP="00596312">
      <w:pPr>
        <w:pStyle w:val="ONUMFS"/>
        <w:numPr>
          <w:ilvl w:val="2"/>
          <w:numId w:val="6"/>
        </w:numPr>
        <w:rPr>
          <w:lang w:val="fr-FR"/>
        </w:rPr>
      </w:pPr>
      <w:r w:rsidRPr="0018055E">
        <w:rPr>
          <w:lang w:val="fr-FR"/>
        </w:rPr>
        <w:t>“</w:t>
      </w:r>
      <w:r w:rsidR="00942450" w:rsidRPr="00942450">
        <w:rPr>
          <w:lang w:val="fr-FR"/>
        </w:rPr>
        <w:t>pour l</w:t>
      </w:r>
      <w:r w:rsidR="000219F2">
        <w:rPr>
          <w:lang w:val="fr-FR"/>
        </w:rPr>
        <w:t>’</w:t>
      </w:r>
      <w:r w:rsidR="00942450" w:rsidRPr="00942450">
        <w:rPr>
          <w:lang w:val="fr-FR"/>
        </w:rPr>
        <w:t xml:space="preserve">exercice </w:t>
      </w:r>
      <w:r w:rsidR="000219F2" w:rsidRPr="00942450">
        <w:rPr>
          <w:lang w:val="fr-FR"/>
        </w:rPr>
        <w:t>biennal</w:t>
      </w:r>
      <w:r w:rsidR="000219F2">
        <w:rPr>
          <w:lang w:val="fr-FR"/>
        </w:rPr>
        <w:t> </w:t>
      </w:r>
      <w:r w:rsidR="000219F2" w:rsidRPr="00942450">
        <w:rPr>
          <w:lang w:val="fr-FR"/>
        </w:rPr>
        <w:t>2018</w:t>
      </w:r>
      <w:r w:rsidR="00B33C70" w:rsidRPr="00B33C70">
        <w:rPr>
          <w:lang w:val="fr-FR"/>
        </w:rPr>
        <w:noBreakHyphen/>
      </w:r>
      <w:r w:rsidR="00942450" w:rsidRPr="00942450">
        <w:rPr>
          <w:lang w:val="fr-FR"/>
        </w:rPr>
        <w:t xml:space="preserve">2019, si une union financée par des taxes ne dispose pas de recettes suffisantes pour couvrir ses dépenses, le montant nécessaire </w:t>
      </w:r>
      <w:r w:rsidR="005821C0">
        <w:rPr>
          <w:lang w:val="fr-FR"/>
        </w:rPr>
        <w:t xml:space="preserve">[…] </w:t>
      </w:r>
      <w:r w:rsidR="00942450" w:rsidRPr="00942450">
        <w:rPr>
          <w:lang w:val="fr-FR"/>
        </w:rPr>
        <w:t xml:space="preserve">sera imputé aux réserves des unions financées par des contributions si ces réserves sont </w:t>
      </w:r>
      <w:proofErr w:type="gramStart"/>
      <w:r w:rsidR="00942450" w:rsidRPr="00942450">
        <w:rPr>
          <w:lang w:val="fr-FR"/>
        </w:rPr>
        <w:t xml:space="preserve">suffisantes; </w:t>
      </w:r>
      <w:r w:rsidR="00C63EB6">
        <w:rPr>
          <w:lang w:val="fr-FR"/>
        </w:rPr>
        <w:t xml:space="preserve"> </w:t>
      </w:r>
      <w:r w:rsidR="00942450" w:rsidRPr="00942450">
        <w:rPr>
          <w:lang w:val="fr-FR"/>
        </w:rPr>
        <w:t>dans</w:t>
      </w:r>
      <w:proofErr w:type="gramEnd"/>
      <w:r w:rsidR="00942450" w:rsidRPr="00942450">
        <w:rPr>
          <w:lang w:val="fr-FR"/>
        </w:rPr>
        <w:t xml:space="preserve"> le cas contraire, il sera prélevé sur les réserves des autres unions financées par des taxes</w:t>
      </w:r>
      <w:r w:rsidR="00E754CE">
        <w:rPr>
          <w:lang w:val="fr-FR"/>
        </w:rPr>
        <w:t>”</w:t>
      </w:r>
      <w:r w:rsidR="00D67346" w:rsidRPr="0018055E">
        <w:rPr>
          <w:lang w:val="fr-FR"/>
        </w:rPr>
        <w:t>;</w:t>
      </w:r>
    </w:p>
    <w:p w14:paraId="020B409C" w14:textId="22864D1A" w:rsidR="00593BAF" w:rsidRPr="0018055E" w:rsidRDefault="00942450" w:rsidP="00596312">
      <w:pPr>
        <w:pStyle w:val="ONUMFS"/>
        <w:numPr>
          <w:ilvl w:val="1"/>
          <w:numId w:val="6"/>
        </w:numPr>
        <w:rPr>
          <w:lang w:val="fr-FR"/>
        </w:rPr>
      </w:pPr>
      <w:proofErr w:type="gramStart"/>
      <w:r>
        <w:rPr>
          <w:lang w:val="fr-FR"/>
        </w:rPr>
        <w:t>et</w:t>
      </w:r>
      <w:proofErr w:type="gramEnd"/>
      <w:r>
        <w:rPr>
          <w:lang w:val="fr-FR"/>
        </w:rPr>
        <w:t xml:space="preserve"> ont également </w:t>
      </w:r>
      <w:r w:rsidR="001B5282">
        <w:rPr>
          <w:lang w:val="fr-FR"/>
        </w:rPr>
        <w:t>décidé</w:t>
      </w:r>
      <w:r>
        <w:rPr>
          <w:lang w:val="fr-FR"/>
        </w:rPr>
        <w:t xml:space="preserve"> que</w:t>
      </w:r>
      <w:r w:rsidR="000219F2">
        <w:rPr>
          <w:lang w:val="fr-FR"/>
        </w:rPr>
        <w:t> :</w:t>
      </w:r>
    </w:p>
    <w:p w14:paraId="7E1423C8" w14:textId="4B62514D" w:rsidR="00593BAF" w:rsidRPr="0018055E" w:rsidRDefault="00942450" w:rsidP="00596312">
      <w:pPr>
        <w:pStyle w:val="ONUMFS"/>
        <w:numPr>
          <w:ilvl w:val="2"/>
          <w:numId w:val="6"/>
        </w:numPr>
        <w:rPr>
          <w:lang w:val="fr-FR"/>
        </w:rPr>
      </w:pPr>
      <w:proofErr w:type="gramStart"/>
      <w:r>
        <w:rPr>
          <w:lang w:val="fr-FR"/>
        </w:rPr>
        <w:t>conformément</w:t>
      </w:r>
      <w:proofErr w:type="gramEnd"/>
      <w:r>
        <w:rPr>
          <w:lang w:val="fr-FR"/>
        </w:rPr>
        <w:t xml:space="preserve"> aux dispositions des traités régissant les unions financées par des taxes, chaque </w:t>
      </w:r>
      <w:r w:rsidR="00593BAF" w:rsidRPr="0018055E">
        <w:rPr>
          <w:lang w:val="fr-FR"/>
        </w:rPr>
        <w:t xml:space="preserve">union </w:t>
      </w:r>
      <w:r w:rsidRPr="00942450">
        <w:rPr>
          <w:lang w:val="fr-FR"/>
        </w:rPr>
        <w:t>doit disposer de recettes suffisantes pour couvrir ses propres dépenses</w:t>
      </w:r>
      <w:r w:rsidR="001B267D" w:rsidRPr="0018055E">
        <w:rPr>
          <w:lang w:val="fr-FR"/>
        </w:rPr>
        <w:t>;</w:t>
      </w:r>
    </w:p>
    <w:p w14:paraId="65ADAE82" w14:textId="77AC9760" w:rsidR="00593BAF" w:rsidRPr="0018055E" w:rsidRDefault="00942450" w:rsidP="00596312">
      <w:pPr>
        <w:pStyle w:val="ONUMFS"/>
        <w:numPr>
          <w:ilvl w:val="2"/>
          <w:numId w:val="6"/>
        </w:numPr>
        <w:rPr>
          <w:lang w:val="fr-FR"/>
        </w:rPr>
      </w:pPr>
      <w:proofErr w:type="gramStart"/>
      <w:r w:rsidRPr="00942450">
        <w:rPr>
          <w:lang w:val="fr-FR"/>
        </w:rPr>
        <w:t>les</w:t>
      </w:r>
      <w:proofErr w:type="gramEnd"/>
      <w:r w:rsidRPr="00942450">
        <w:rPr>
          <w:lang w:val="fr-FR"/>
        </w:rPr>
        <w:t xml:space="preserve"> unions financées par des taxes avec un déficit biennal prévu au cours de l</w:t>
      </w:r>
      <w:r w:rsidR="000219F2">
        <w:rPr>
          <w:lang w:val="fr-FR"/>
        </w:rPr>
        <w:t>’</w:t>
      </w:r>
      <w:r w:rsidRPr="00942450">
        <w:rPr>
          <w:lang w:val="fr-FR"/>
        </w:rPr>
        <w:t xml:space="preserve">exercice </w:t>
      </w:r>
      <w:r w:rsidR="000219F2" w:rsidRPr="00942450">
        <w:rPr>
          <w:lang w:val="fr-FR"/>
        </w:rPr>
        <w:t>biennal</w:t>
      </w:r>
      <w:r w:rsidR="000219F2">
        <w:rPr>
          <w:lang w:val="fr-FR"/>
        </w:rPr>
        <w:t> </w:t>
      </w:r>
      <w:r w:rsidR="000219F2" w:rsidRPr="00942450">
        <w:rPr>
          <w:lang w:val="fr-FR"/>
        </w:rPr>
        <w:t>20</w:t>
      </w:r>
      <w:r w:rsidR="000219F2">
        <w:rPr>
          <w:lang w:val="fr-FR"/>
        </w:rPr>
        <w:t>20</w:t>
      </w:r>
      <w:r w:rsidR="00B33C70" w:rsidRPr="00B33C70">
        <w:rPr>
          <w:lang w:val="fr-FR"/>
        </w:rPr>
        <w:noBreakHyphen/>
      </w:r>
      <w:r w:rsidRPr="00942450">
        <w:rPr>
          <w:lang w:val="fr-FR"/>
        </w:rPr>
        <w:t>20</w:t>
      </w:r>
      <w:r>
        <w:rPr>
          <w:lang w:val="fr-FR"/>
        </w:rPr>
        <w:t>2</w:t>
      </w:r>
      <w:r w:rsidRPr="00942450">
        <w:rPr>
          <w:lang w:val="fr-FR"/>
        </w:rPr>
        <w:t>1 devraient envisager des mesures conformément à leur propre traité afin de combler ce déficit</w:t>
      </w:r>
      <w:r w:rsidR="001B267D" w:rsidRPr="0018055E">
        <w:rPr>
          <w:lang w:val="fr-FR"/>
        </w:rPr>
        <w:t>;</w:t>
      </w:r>
    </w:p>
    <w:p w14:paraId="530C9EFF" w14:textId="6FDB818E" w:rsidR="00593BAF" w:rsidRPr="0018055E" w:rsidRDefault="00942450" w:rsidP="00596312">
      <w:pPr>
        <w:pStyle w:val="ONUMFS"/>
        <w:numPr>
          <w:ilvl w:val="2"/>
          <w:numId w:val="6"/>
        </w:numPr>
        <w:rPr>
          <w:lang w:val="fr-FR"/>
        </w:rPr>
      </w:pPr>
      <w:proofErr w:type="gramStart"/>
      <w:r w:rsidRPr="00942450">
        <w:rPr>
          <w:lang w:val="fr-FR"/>
        </w:rPr>
        <w:t>si</w:t>
      </w:r>
      <w:proofErr w:type="gramEnd"/>
      <w:r w:rsidRPr="00942450">
        <w:rPr>
          <w:lang w:val="fr-FR"/>
        </w:rPr>
        <w:t xml:space="preserve"> une union au cours d</w:t>
      </w:r>
      <w:r w:rsidR="000219F2">
        <w:rPr>
          <w:lang w:val="fr-FR"/>
        </w:rPr>
        <w:t>’</w:t>
      </w:r>
      <w:r w:rsidRPr="00942450">
        <w:rPr>
          <w:lang w:val="fr-FR"/>
        </w:rPr>
        <w:t>un exercice biennal donné ne dispose pas de recettes et de réserves suffisantes pour couvrir les dépenses prévues, le montant nécessaire pour financer les opérations de cette union est prélevé sur les actifs nets de l</w:t>
      </w:r>
      <w:r w:rsidR="000219F2">
        <w:rPr>
          <w:lang w:val="fr-FR"/>
        </w:rPr>
        <w:t>’</w:t>
      </w:r>
      <w:r w:rsidRPr="00942450">
        <w:rPr>
          <w:lang w:val="fr-FR"/>
        </w:rPr>
        <w:t xml:space="preserve">Organisation et comptabilisé dans les états financiers de </w:t>
      </w:r>
      <w:r w:rsidRPr="00942450">
        <w:rPr>
          <w:lang w:val="fr-FR"/>
        </w:rPr>
        <w:lastRenderedPageBreak/>
        <w:t>l</w:t>
      </w:r>
      <w:r w:rsidR="000219F2">
        <w:rPr>
          <w:lang w:val="fr-FR"/>
        </w:rPr>
        <w:t>’</w:t>
      </w:r>
      <w:r w:rsidRPr="00942450">
        <w:rPr>
          <w:lang w:val="fr-FR"/>
        </w:rPr>
        <w:t>Organisation et doit être remboursé lorsque les réserves de cette union le permettent</w:t>
      </w:r>
      <w:r w:rsidR="001B267D" w:rsidRPr="0018055E">
        <w:rPr>
          <w:lang w:val="fr-FR"/>
        </w:rPr>
        <w:t>;</w:t>
      </w:r>
      <w:r w:rsidR="00593BAF" w:rsidRPr="0018055E">
        <w:rPr>
          <w:lang w:val="fr-FR"/>
        </w:rPr>
        <w:t xml:space="preserve"> </w:t>
      </w:r>
      <w:r w:rsidR="004D5969" w:rsidRPr="0018055E">
        <w:rPr>
          <w:lang w:val="fr-FR"/>
        </w:rPr>
        <w:t xml:space="preserve"> </w:t>
      </w:r>
      <w:r w:rsidR="00E754CE">
        <w:rPr>
          <w:lang w:val="fr-FR"/>
        </w:rPr>
        <w:t>et</w:t>
      </w:r>
    </w:p>
    <w:p w14:paraId="263C7A73" w14:textId="1066E621" w:rsidR="00593BAF" w:rsidRPr="0018055E" w:rsidRDefault="001B5282" w:rsidP="00596312">
      <w:pPr>
        <w:pStyle w:val="ONUMFS"/>
        <w:numPr>
          <w:ilvl w:val="2"/>
          <w:numId w:val="6"/>
        </w:numPr>
        <w:rPr>
          <w:lang w:val="fr-FR"/>
        </w:rPr>
      </w:pPr>
      <w:proofErr w:type="gramStart"/>
      <w:r w:rsidRPr="001B5282">
        <w:rPr>
          <w:lang w:val="fr-FR"/>
        </w:rPr>
        <w:t>pour</w:t>
      </w:r>
      <w:proofErr w:type="gramEnd"/>
      <w:r w:rsidRPr="001B5282">
        <w:rPr>
          <w:lang w:val="fr-FR"/>
        </w:rPr>
        <w:t xml:space="preserve"> l</w:t>
      </w:r>
      <w:r w:rsidR="000219F2">
        <w:rPr>
          <w:lang w:val="fr-FR"/>
        </w:rPr>
        <w:t>’</w:t>
      </w:r>
      <w:r w:rsidRPr="001B5282">
        <w:rPr>
          <w:lang w:val="fr-FR"/>
        </w:rPr>
        <w:t xml:space="preserve">exercice </w:t>
      </w:r>
      <w:r w:rsidR="000219F2" w:rsidRPr="001B5282">
        <w:rPr>
          <w:lang w:val="fr-FR"/>
        </w:rPr>
        <w:t>biennal</w:t>
      </w:r>
      <w:r w:rsidR="000219F2">
        <w:rPr>
          <w:lang w:val="fr-FR"/>
        </w:rPr>
        <w:t> </w:t>
      </w:r>
      <w:r w:rsidR="000219F2" w:rsidRPr="001B5282">
        <w:rPr>
          <w:lang w:val="fr-FR"/>
        </w:rPr>
        <w:t>20</w:t>
      </w:r>
      <w:r w:rsidR="000219F2">
        <w:rPr>
          <w:lang w:val="fr-FR"/>
        </w:rPr>
        <w:t>20</w:t>
      </w:r>
      <w:r w:rsidR="00B33C70" w:rsidRPr="00B33C70">
        <w:rPr>
          <w:lang w:val="fr-FR"/>
        </w:rPr>
        <w:noBreakHyphen/>
      </w:r>
      <w:r>
        <w:rPr>
          <w:lang w:val="fr-FR"/>
        </w:rPr>
        <w:t>2</w:t>
      </w:r>
      <w:r w:rsidRPr="001B5282">
        <w:rPr>
          <w:lang w:val="fr-FR"/>
        </w:rPr>
        <w:t>0</w:t>
      </w:r>
      <w:r>
        <w:rPr>
          <w:lang w:val="fr-FR"/>
        </w:rPr>
        <w:t>21</w:t>
      </w:r>
      <w:r w:rsidRPr="001B5282">
        <w:rPr>
          <w:lang w:val="fr-FR"/>
        </w:rPr>
        <w:t xml:space="preserve">, si une union financée par des taxes ne dispose pas de recettes suffisantes pour couvrir ses dépenses, le montant nécessaire sera imputé aux réserves des unions financées par des contributions si ces réserves sont suffisantes; </w:t>
      </w:r>
      <w:r w:rsidR="00C63EB6">
        <w:rPr>
          <w:lang w:val="fr-FR"/>
        </w:rPr>
        <w:t xml:space="preserve"> </w:t>
      </w:r>
      <w:r w:rsidRPr="001B5282">
        <w:rPr>
          <w:lang w:val="fr-FR"/>
        </w:rPr>
        <w:t>dans le cas contraire, il sera prélevé sur les réserves des autres unions financées par des taxes</w:t>
      </w:r>
      <w:r w:rsidR="00D67346" w:rsidRPr="0018055E">
        <w:rPr>
          <w:lang w:val="fr-FR"/>
        </w:rPr>
        <w:t>;</w:t>
      </w:r>
      <w:r w:rsidR="004D5969" w:rsidRPr="0018055E">
        <w:rPr>
          <w:lang w:val="fr-FR"/>
        </w:rPr>
        <w:t xml:space="preserve"> </w:t>
      </w:r>
      <w:r w:rsidR="00D67346" w:rsidRPr="0018055E">
        <w:rPr>
          <w:lang w:val="fr-FR"/>
        </w:rPr>
        <w:t xml:space="preserve"> </w:t>
      </w:r>
      <w:r>
        <w:rPr>
          <w:lang w:val="fr-FR"/>
        </w:rPr>
        <w:t>et</w:t>
      </w:r>
    </w:p>
    <w:p w14:paraId="384FCB31" w14:textId="77777777" w:rsidR="000219F2" w:rsidRDefault="001B5282" w:rsidP="00596312">
      <w:pPr>
        <w:pStyle w:val="ONUMFS"/>
        <w:numPr>
          <w:ilvl w:val="1"/>
          <w:numId w:val="6"/>
        </w:numPr>
        <w:rPr>
          <w:lang w:val="fr-FR"/>
        </w:rPr>
      </w:pPr>
      <w:proofErr w:type="gramStart"/>
      <w:r>
        <w:rPr>
          <w:lang w:val="fr-FR"/>
        </w:rPr>
        <w:t>sont</w:t>
      </w:r>
      <w:proofErr w:type="gramEnd"/>
      <w:r>
        <w:rPr>
          <w:lang w:val="fr-FR"/>
        </w:rPr>
        <w:t xml:space="preserve"> convenues que, conformément à la pratique établie, le Rapport financier annuel et les états financiers</w:t>
      </w:r>
      <w:r w:rsidR="00593BAF" w:rsidRPr="0018055E">
        <w:rPr>
          <w:lang w:val="fr-FR"/>
        </w:rPr>
        <w:t xml:space="preserve">, </w:t>
      </w:r>
      <w:r>
        <w:rPr>
          <w:lang w:val="fr-FR"/>
        </w:rPr>
        <w:t xml:space="preserve">ainsi que les recettes, dépenses et réserves par segment </w:t>
      </w:r>
      <w:r w:rsidR="008C353E">
        <w:rPr>
          <w:lang w:val="fr-FR"/>
        </w:rPr>
        <w:t xml:space="preserve">incluront les </w:t>
      </w:r>
      <w:r w:rsidR="00593BAF" w:rsidRPr="0018055E">
        <w:rPr>
          <w:lang w:val="fr-FR"/>
        </w:rPr>
        <w:t>d</w:t>
      </w:r>
      <w:r w:rsidR="008C353E">
        <w:rPr>
          <w:lang w:val="fr-FR"/>
        </w:rPr>
        <w:t>é</w:t>
      </w:r>
      <w:r w:rsidR="00593BAF" w:rsidRPr="0018055E">
        <w:rPr>
          <w:lang w:val="fr-FR"/>
        </w:rPr>
        <w:t xml:space="preserve">ficits </w:t>
      </w:r>
      <w:r w:rsidR="008C353E">
        <w:rPr>
          <w:lang w:val="fr-FR"/>
        </w:rPr>
        <w:t xml:space="preserve">nets des </w:t>
      </w:r>
      <w:r w:rsidR="001C457B" w:rsidRPr="0018055E">
        <w:rPr>
          <w:lang w:val="fr-FR"/>
        </w:rPr>
        <w:t>u</w:t>
      </w:r>
      <w:r w:rsidR="00593BAF" w:rsidRPr="0018055E">
        <w:rPr>
          <w:lang w:val="fr-FR"/>
        </w:rPr>
        <w:t xml:space="preserve">nions </w:t>
      </w:r>
      <w:r w:rsidR="008C353E">
        <w:rPr>
          <w:lang w:val="fr-FR"/>
        </w:rPr>
        <w:t>présentant un</w:t>
      </w:r>
      <w:r w:rsidR="00593BAF" w:rsidRPr="0018055E">
        <w:rPr>
          <w:lang w:val="fr-FR"/>
        </w:rPr>
        <w:t xml:space="preserve"> d</w:t>
      </w:r>
      <w:r w:rsidR="008C353E">
        <w:rPr>
          <w:lang w:val="fr-FR"/>
        </w:rPr>
        <w:t>é</w:t>
      </w:r>
      <w:r w:rsidR="00593BAF" w:rsidRPr="0018055E">
        <w:rPr>
          <w:lang w:val="fr-FR"/>
        </w:rPr>
        <w:t>ficit</w:t>
      </w:r>
      <w:r w:rsidR="008C353E">
        <w:rPr>
          <w:lang w:val="fr-FR"/>
        </w:rPr>
        <w:t xml:space="preserve"> et des </w:t>
      </w:r>
      <w:r w:rsidR="00593BAF" w:rsidRPr="0018055E">
        <w:rPr>
          <w:lang w:val="fr-FR"/>
        </w:rPr>
        <w:t xml:space="preserve">notes </w:t>
      </w:r>
      <w:r w:rsidR="008C353E">
        <w:rPr>
          <w:lang w:val="fr-FR"/>
        </w:rPr>
        <w:t>mentionnant les emprunts indiqué</w:t>
      </w:r>
      <w:r w:rsidR="005821C0">
        <w:rPr>
          <w:lang w:val="fr-FR"/>
        </w:rPr>
        <w:t>s</w:t>
      </w:r>
      <w:r w:rsidR="008C353E">
        <w:rPr>
          <w:lang w:val="fr-FR"/>
        </w:rPr>
        <w:t xml:space="preserve"> plus haut</w:t>
      </w:r>
      <w:r w:rsidR="00593BAF" w:rsidRPr="0018055E">
        <w:rPr>
          <w:lang w:val="fr-FR"/>
        </w:rPr>
        <w:t>.</w:t>
      </w:r>
    </w:p>
    <w:p w14:paraId="5A0F2C63" w14:textId="639A4094" w:rsidR="00C97CE7" w:rsidRPr="0018055E" w:rsidRDefault="008C353E" w:rsidP="00596312">
      <w:pPr>
        <w:pStyle w:val="ONUMFS"/>
        <w:rPr>
          <w:lang w:val="fr-FR"/>
        </w:rPr>
      </w:pPr>
      <w:r>
        <w:rPr>
          <w:lang w:val="fr-FR"/>
        </w:rPr>
        <w:t xml:space="preserve">Les assemblées ont </w:t>
      </w:r>
      <w:r w:rsidRPr="008C353E">
        <w:rPr>
          <w:lang w:val="fr-FR"/>
        </w:rPr>
        <w:t xml:space="preserve">également pris note du fait que la méthode de répartition des recettes et du budget par union était une question transversale et </w:t>
      </w:r>
      <w:r w:rsidR="005821C0">
        <w:rPr>
          <w:lang w:val="fr-FR"/>
        </w:rPr>
        <w:t xml:space="preserve">ont </w:t>
      </w:r>
      <w:r w:rsidRPr="008C353E">
        <w:rPr>
          <w:lang w:val="fr-FR"/>
        </w:rPr>
        <w:t>décidé que</w:t>
      </w:r>
      <w:r w:rsidR="000219F2" w:rsidRPr="008C353E">
        <w:rPr>
          <w:lang w:val="fr-FR"/>
        </w:rPr>
        <w:t xml:space="preserve"> le</w:t>
      </w:r>
      <w:r w:rsidR="000219F2">
        <w:rPr>
          <w:lang w:val="fr-FR"/>
        </w:rPr>
        <w:t> </w:t>
      </w:r>
      <w:r w:rsidR="000219F2" w:rsidRPr="008C353E">
        <w:rPr>
          <w:lang w:val="fr-FR"/>
        </w:rPr>
        <w:t>PBC</w:t>
      </w:r>
      <w:r w:rsidRPr="008C353E">
        <w:rPr>
          <w:lang w:val="fr-FR"/>
        </w:rPr>
        <w:t xml:space="preserve"> poursuivrait les discussions sur cette question lors de ses futures sessions sur la base des documents pertinents et des autres propositions des États membres</w:t>
      </w:r>
      <w:r w:rsidR="00C97CE7" w:rsidRPr="0018055E">
        <w:rPr>
          <w:lang w:val="fr-FR"/>
        </w:rPr>
        <w:t>.</w:t>
      </w:r>
    </w:p>
    <w:p w14:paraId="24C689F6" w14:textId="2C5C6C28" w:rsidR="00C97CE7" w:rsidRPr="0018055E" w:rsidRDefault="008C353E" w:rsidP="00596312">
      <w:pPr>
        <w:pStyle w:val="ONUMFS"/>
        <w:rPr>
          <w:lang w:val="fr-FR"/>
        </w:rPr>
      </w:pPr>
      <w:r>
        <w:rPr>
          <w:lang w:val="fr-FR"/>
        </w:rPr>
        <w:t>Les assemblées ont en outre pris</w:t>
      </w:r>
      <w:r w:rsidRPr="008C353E">
        <w:rPr>
          <w:lang w:val="fr-FR"/>
        </w:rPr>
        <w:t xml:space="preserve"> note du fait que toutes les conférences diplomatiques envisagées au cours de l</w:t>
      </w:r>
      <w:r w:rsidR="000219F2">
        <w:rPr>
          <w:lang w:val="fr-FR"/>
        </w:rPr>
        <w:t>’</w:t>
      </w:r>
      <w:r w:rsidRPr="008C353E">
        <w:rPr>
          <w:lang w:val="fr-FR"/>
        </w:rPr>
        <w:t xml:space="preserve">exercice </w:t>
      </w:r>
      <w:r w:rsidR="000219F2" w:rsidRPr="008C353E">
        <w:rPr>
          <w:lang w:val="fr-FR"/>
        </w:rPr>
        <w:t>biennal</w:t>
      </w:r>
      <w:r w:rsidR="000219F2">
        <w:rPr>
          <w:lang w:val="fr-FR"/>
        </w:rPr>
        <w:t> </w:t>
      </w:r>
      <w:r w:rsidR="000219F2" w:rsidRPr="008C353E">
        <w:rPr>
          <w:lang w:val="fr-FR"/>
        </w:rPr>
        <w:t>20</w:t>
      </w:r>
      <w:r w:rsidR="000219F2">
        <w:rPr>
          <w:lang w:val="fr-FR"/>
        </w:rPr>
        <w:t>20</w:t>
      </w:r>
      <w:r w:rsidR="00B33C70" w:rsidRPr="00B33C70">
        <w:rPr>
          <w:lang w:val="fr-FR"/>
        </w:rPr>
        <w:noBreakHyphen/>
      </w:r>
      <w:r w:rsidRPr="008C353E">
        <w:rPr>
          <w:lang w:val="fr-FR"/>
        </w:rPr>
        <w:t>20</w:t>
      </w:r>
      <w:r>
        <w:rPr>
          <w:lang w:val="fr-FR"/>
        </w:rPr>
        <w:t>2</w:t>
      </w:r>
      <w:r w:rsidRPr="008C353E">
        <w:rPr>
          <w:lang w:val="fr-FR"/>
        </w:rPr>
        <w:t>1, susceptibles d</w:t>
      </w:r>
      <w:r w:rsidR="000219F2">
        <w:rPr>
          <w:lang w:val="fr-FR"/>
        </w:rPr>
        <w:t>’</w:t>
      </w:r>
      <w:r w:rsidRPr="008C353E">
        <w:rPr>
          <w:lang w:val="fr-FR"/>
        </w:rPr>
        <w:t>être tenues sous les auspices de l</w:t>
      </w:r>
      <w:r w:rsidR="000219F2">
        <w:rPr>
          <w:lang w:val="fr-FR"/>
        </w:rPr>
        <w:t>’</w:t>
      </w:r>
      <w:r w:rsidRPr="008C353E">
        <w:rPr>
          <w:lang w:val="fr-FR"/>
        </w:rPr>
        <w:t>OMPI durant ce même exercice et financées au moyen des ressources de l</w:t>
      </w:r>
      <w:r w:rsidR="000219F2">
        <w:rPr>
          <w:lang w:val="fr-FR"/>
        </w:rPr>
        <w:t>’</w:t>
      </w:r>
      <w:r w:rsidRPr="008C353E">
        <w:rPr>
          <w:lang w:val="fr-FR"/>
        </w:rPr>
        <w:t>Organisation, seront ouvertes à la pleine participation de tous les États membres de l</w:t>
      </w:r>
      <w:r w:rsidR="000219F2">
        <w:rPr>
          <w:lang w:val="fr-FR"/>
        </w:rPr>
        <w:t>’</w:t>
      </w:r>
      <w:r w:rsidRPr="008C353E">
        <w:rPr>
          <w:lang w:val="fr-FR"/>
        </w:rPr>
        <w:t>OMPI conformément aux recommandations du Plan d</w:t>
      </w:r>
      <w:r w:rsidR="000219F2">
        <w:rPr>
          <w:lang w:val="fr-FR"/>
        </w:rPr>
        <w:t>’</w:t>
      </w:r>
      <w:r w:rsidRPr="008C353E">
        <w:rPr>
          <w:lang w:val="fr-FR"/>
        </w:rPr>
        <w:t>action pour le développement</w:t>
      </w:r>
      <w:r w:rsidR="00C97CE7" w:rsidRPr="0018055E">
        <w:rPr>
          <w:lang w:val="fr-FR"/>
        </w:rPr>
        <w:t>.</w:t>
      </w:r>
    </w:p>
    <w:p w14:paraId="6FA75ADC" w14:textId="77777777" w:rsidR="00DB4DD4" w:rsidRPr="0018055E" w:rsidRDefault="00DB4DD4" w:rsidP="00DB4DD4">
      <w:pPr>
        <w:rPr>
          <w:lang w:val="fr-FR"/>
        </w:rPr>
      </w:pPr>
    </w:p>
    <w:p w14:paraId="0255A87B" w14:textId="77777777" w:rsidR="00077F25" w:rsidRPr="0018055E" w:rsidRDefault="00077F25" w:rsidP="00077F25">
      <w:pPr>
        <w:rPr>
          <w:lang w:val="fr-FR"/>
        </w:rPr>
      </w:pPr>
    </w:p>
    <w:p w14:paraId="5ACA93C8" w14:textId="5D7E988D" w:rsidR="00DB4DD4" w:rsidRPr="0018055E" w:rsidRDefault="00606C35" w:rsidP="00596312">
      <w:pPr>
        <w:pStyle w:val="Endofdocument-Annex"/>
        <w:rPr>
          <w:lang w:val="fr-FR"/>
        </w:rPr>
      </w:pPr>
      <w:r w:rsidRPr="0018055E">
        <w:rPr>
          <w:lang w:val="fr-FR"/>
        </w:rPr>
        <w:t>[</w:t>
      </w:r>
      <w:r w:rsidR="005821C0">
        <w:rPr>
          <w:lang w:val="fr-FR"/>
        </w:rPr>
        <w:t>Fin de l</w:t>
      </w:r>
      <w:r w:rsidR="000219F2">
        <w:rPr>
          <w:lang w:val="fr-FR"/>
        </w:rPr>
        <w:t>’</w:t>
      </w:r>
      <w:r w:rsidR="005821C0">
        <w:rPr>
          <w:lang w:val="fr-FR"/>
        </w:rPr>
        <w:t>an</w:t>
      </w:r>
      <w:r w:rsidRPr="0018055E">
        <w:rPr>
          <w:lang w:val="fr-FR"/>
        </w:rPr>
        <w:t>nex</w:t>
      </w:r>
      <w:r w:rsidR="005821C0">
        <w:rPr>
          <w:lang w:val="fr-FR"/>
        </w:rPr>
        <w:t xml:space="preserve">e et du </w:t>
      </w:r>
      <w:r w:rsidRPr="0018055E">
        <w:rPr>
          <w:lang w:val="fr-FR"/>
        </w:rPr>
        <w:t>document]</w:t>
      </w:r>
    </w:p>
    <w:sectPr w:rsidR="00DB4DD4" w:rsidRPr="0018055E" w:rsidSect="00843F6C">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504" w:footer="102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539E" w14:textId="77777777" w:rsidR="009D651C" w:rsidRDefault="009D651C">
      <w:r>
        <w:separator/>
      </w:r>
    </w:p>
  </w:endnote>
  <w:endnote w:type="continuationSeparator" w:id="0">
    <w:p w14:paraId="55270484" w14:textId="77777777" w:rsidR="009D651C" w:rsidRDefault="009D651C" w:rsidP="003B38C1">
      <w:r>
        <w:separator/>
      </w:r>
    </w:p>
    <w:p w14:paraId="54E52287" w14:textId="77777777" w:rsidR="009D651C" w:rsidRPr="003B38C1" w:rsidRDefault="009D651C" w:rsidP="003B38C1">
      <w:pPr>
        <w:spacing w:after="60"/>
        <w:rPr>
          <w:sz w:val="17"/>
        </w:rPr>
      </w:pPr>
      <w:r>
        <w:rPr>
          <w:sz w:val="17"/>
        </w:rPr>
        <w:t>[Endnote continued from previous page]</w:t>
      </w:r>
    </w:p>
  </w:endnote>
  <w:endnote w:type="continuationNotice" w:id="1">
    <w:p w14:paraId="1300D9AD" w14:textId="77777777" w:rsidR="009D651C" w:rsidRPr="003B38C1" w:rsidRDefault="009D65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B402" w14:textId="77777777" w:rsidR="001F566C" w:rsidRDefault="001F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45A0" w14:textId="77777777" w:rsidR="001F566C" w:rsidRDefault="001F5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AE16" w14:textId="77777777" w:rsidR="001F566C" w:rsidRDefault="001F5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551D" w14:textId="77777777" w:rsidR="00931F1F" w:rsidRDefault="00931F1F" w:rsidP="00931F1F">
    <w:pPr>
      <w:pStyle w:val="Footer"/>
      <w:jc w:val="center"/>
    </w:pPr>
  </w:p>
  <w:p w14:paraId="2029060A" w14:textId="77777777" w:rsidR="00931F1F" w:rsidRDefault="00931F1F" w:rsidP="00931F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B45E" w14:textId="2CCEDAD6" w:rsidR="00D0188B" w:rsidRDefault="00E35FEB" w:rsidP="00DB4DD4">
    <w:pPr>
      <w:pStyle w:val="Footer"/>
      <w:jc w:val="center"/>
    </w:pPr>
  </w:p>
  <w:p w14:paraId="00234A40" w14:textId="77777777" w:rsidR="00D0188B" w:rsidRDefault="00E35F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ECF" w14:textId="77777777" w:rsidR="00D0188B" w:rsidRDefault="00E3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F165" w14:textId="77777777" w:rsidR="009D651C" w:rsidRDefault="009D651C">
      <w:r>
        <w:separator/>
      </w:r>
    </w:p>
  </w:footnote>
  <w:footnote w:type="continuationSeparator" w:id="0">
    <w:p w14:paraId="5C86554E" w14:textId="77777777" w:rsidR="009D651C" w:rsidRDefault="009D651C" w:rsidP="008B60B2">
      <w:r>
        <w:separator/>
      </w:r>
    </w:p>
    <w:p w14:paraId="2883755E" w14:textId="77777777" w:rsidR="009D651C" w:rsidRPr="00ED77FB" w:rsidRDefault="009D651C" w:rsidP="008B60B2">
      <w:pPr>
        <w:spacing w:after="60"/>
        <w:rPr>
          <w:sz w:val="17"/>
          <w:szCs w:val="17"/>
        </w:rPr>
      </w:pPr>
      <w:r w:rsidRPr="00ED77FB">
        <w:rPr>
          <w:sz w:val="17"/>
          <w:szCs w:val="17"/>
        </w:rPr>
        <w:t>[Footnote continued from previous page]</w:t>
      </w:r>
    </w:p>
  </w:footnote>
  <w:footnote w:type="continuationNotice" w:id="1">
    <w:p w14:paraId="181F2D57" w14:textId="77777777" w:rsidR="009D651C" w:rsidRPr="00ED77FB" w:rsidRDefault="009D651C" w:rsidP="008B60B2">
      <w:pPr>
        <w:spacing w:before="60"/>
        <w:jc w:val="right"/>
        <w:rPr>
          <w:sz w:val="17"/>
          <w:szCs w:val="17"/>
        </w:rPr>
      </w:pPr>
      <w:r w:rsidRPr="00ED77FB">
        <w:rPr>
          <w:sz w:val="17"/>
          <w:szCs w:val="17"/>
        </w:rPr>
        <w:t>[Footnote continued on next page]</w:t>
      </w:r>
    </w:p>
  </w:footnote>
  <w:footnote w:id="2">
    <w:p w14:paraId="663061F2" w14:textId="350E3610" w:rsidR="00A41148" w:rsidRPr="000219F2" w:rsidRDefault="00A41148">
      <w:pPr>
        <w:pStyle w:val="FootnoteText"/>
        <w:rPr>
          <w:lang w:val="fr-CH"/>
        </w:rPr>
      </w:pPr>
      <w:r>
        <w:rPr>
          <w:rStyle w:val="FootnoteReference"/>
        </w:rPr>
        <w:footnoteRef/>
      </w:r>
      <w:r w:rsidRPr="000219F2">
        <w:rPr>
          <w:lang w:val="fr-CH"/>
        </w:rPr>
        <w:t xml:space="preserve"> </w:t>
      </w:r>
      <w:r w:rsidR="001F566C">
        <w:rPr>
          <w:lang w:val="fr-CH"/>
        </w:rPr>
        <w:tab/>
      </w:r>
      <w:r w:rsidR="00657355" w:rsidRPr="000219F2">
        <w:rPr>
          <w:lang w:val="fr-CH"/>
        </w:rPr>
        <w:t>Le montant de la contribution de l</w:t>
      </w:r>
      <w:r w:rsidR="00384E40">
        <w:rPr>
          <w:lang w:val="fr-CH"/>
        </w:rPr>
        <w:t>’</w:t>
      </w:r>
      <w:r w:rsidR="00657355" w:rsidRPr="000219F2">
        <w:rPr>
          <w:lang w:val="fr-CH"/>
        </w:rPr>
        <w:t xml:space="preserve">Union de </w:t>
      </w:r>
      <w:r w:rsidRPr="000219F2">
        <w:rPr>
          <w:lang w:val="fr-CH"/>
        </w:rPr>
        <w:t>Lisbon</w:t>
      </w:r>
      <w:r w:rsidR="00657355" w:rsidRPr="000219F2">
        <w:rPr>
          <w:lang w:val="fr-CH"/>
        </w:rPr>
        <w:t>ne aux dépenses communes figurant dans le bu</w:t>
      </w:r>
      <w:r w:rsidR="005821C0" w:rsidRPr="000219F2">
        <w:rPr>
          <w:lang w:val="fr-CH"/>
        </w:rPr>
        <w:t>dg</w:t>
      </w:r>
      <w:r w:rsidR="00657355" w:rsidRPr="000219F2">
        <w:rPr>
          <w:lang w:val="fr-CH"/>
        </w:rPr>
        <w:t xml:space="preserve">et triennal </w:t>
      </w:r>
      <w:r w:rsidR="00384E40" w:rsidRPr="000219F2">
        <w:rPr>
          <w:lang w:val="fr-CH"/>
        </w:rPr>
        <w:t>pour</w:t>
      </w:r>
      <w:r w:rsidR="00384E40">
        <w:rPr>
          <w:lang w:val="fr-CH"/>
        </w:rPr>
        <w:t> </w:t>
      </w:r>
      <w:r w:rsidR="00384E40" w:rsidRPr="000219F2">
        <w:rPr>
          <w:lang w:val="fr-CH"/>
        </w:rPr>
        <w:t>1978</w:t>
      </w:r>
      <w:r w:rsidR="00657355" w:rsidRPr="000219F2">
        <w:rPr>
          <w:lang w:val="fr-CH"/>
        </w:rPr>
        <w:t>, par exemple, (AB/VIII/2) (24 juin 1977),</w:t>
      </w:r>
      <w:r w:rsidRPr="000219F2">
        <w:rPr>
          <w:lang w:val="fr-CH"/>
        </w:rPr>
        <w:t xml:space="preserve"> </w:t>
      </w:r>
      <w:r w:rsidR="00657355" w:rsidRPr="000219F2">
        <w:rPr>
          <w:lang w:val="fr-CH"/>
        </w:rPr>
        <w:t>s</w:t>
      </w:r>
      <w:r w:rsidR="00384E40">
        <w:rPr>
          <w:lang w:val="fr-CH"/>
        </w:rPr>
        <w:t>’</w:t>
      </w:r>
      <w:r w:rsidR="00657355" w:rsidRPr="000219F2">
        <w:rPr>
          <w:lang w:val="fr-CH"/>
        </w:rPr>
        <w:t>élevait à 5000 francs suisses</w:t>
      </w:r>
      <w:r w:rsidR="004D487A" w:rsidRPr="000219F2">
        <w:rPr>
          <w:lang w:val="fr-CH"/>
        </w:rPr>
        <w:t xml:space="preserve"> pour des recettes s</w:t>
      </w:r>
      <w:r w:rsidR="00384E40">
        <w:rPr>
          <w:lang w:val="fr-CH"/>
        </w:rPr>
        <w:t>’</w:t>
      </w:r>
      <w:r w:rsidR="004D487A" w:rsidRPr="000219F2">
        <w:rPr>
          <w:lang w:val="fr-CH"/>
        </w:rPr>
        <w:t>établissant à 8000 francs suisses (le document est disponible à l</w:t>
      </w:r>
      <w:r w:rsidR="00384E40">
        <w:rPr>
          <w:lang w:val="fr-CH"/>
        </w:rPr>
        <w:t>’</w:t>
      </w:r>
      <w:r w:rsidR="004D487A" w:rsidRPr="000219F2">
        <w:rPr>
          <w:lang w:val="fr-CH"/>
        </w:rPr>
        <w:t xml:space="preserve">adresse </w:t>
      </w:r>
      <w:hyperlink r:id="rId1" w:history="1">
        <w:r w:rsidR="00EA3D06" w:rsidRPr="00E041AD">
          <w:rPr>
            <w:rStyle w:val="Hyperlink"/>
            <w:lang w:val="fr-CH"/>
          </w:rPr>
          <w:t>https://www.wipo.int/mdocsarchives/AB_VIII_1977/AB_VIII_2_E.pdf</w:t>
        </w:r>
      </w:hyperlink>
      <w:r w:rsidR="004D487A" w:rsidRPr="000219F2">
        <w:rPr>
          <w:rStyle w:val="Hyperlink"/>
          <w:color w:val="auto"/>
          <w:lang w:val="fr-CH"/>
        </w:rPr>
        <w:t>)</w:t>
      </w:r>
      <w:r w:rsidRPr="000219F2">
        <w:rPr>
          <w:lang w:val="fr-CH"/>
        </w:rPr>
        <w:t xml:space="preserve">.  </w:t>
      </w:r>
      <w:r w:rsidR="004D487A" w:rsidRPr="000219F2">
        <w:rPr>
          <w:lang w:val="fr-CH"/>
        </w:rPr>
        <w:t>Il ressort de ces données que le pourcentage des recettes de l</w:t>
      </w:r>
      <w:r w:rsidR="00384E40">
        <w:rPr>
          <w:lang w:val="fr-CH"/>
        </w:rPr>
        <w:t>’</w:t>
      </w:r>
      <w:r w:rsidR="004D487A" w:rsidRPr="000219F2">
        <w:rPr>
          <w:lang w:val="fr-CH"/>
        </w:rPr>
        <w:t xml:space="preserve">Union de Lisbonne alloué aux dépenses communes </w:t>
      </w:r>
      <w:r w:rsidR="00384E40" w:rsidRPr="000219F2">
        <w:rPr>
          <w:lang w:val="fr-CH"/>
        </w:rPr>
        <w:t>en</w:t>
      </w:r>
      <w:r w:rsidR="00384E40">
        <w:rPr>
          <w:lang w:val="fr-CH"/>
        </w:rPr>
        <w:t> </w:t>
      </w:r>
      <w:r w:rsidR="00384E40" w:rsidRPr="000219F2">
        <w:rPr>
          <w:lang w:val="fr-CH"/>
        </w:rPr>
        <w:t>1978</w:t>
      </w:r>
      <w:r w:rsidR="004D487A" w:rsidRPr="000219F2">
        <w:rPr>
          <w:lang w:val="fr-CH"/>
        </w:rPr>
        <w:t xml:space="preserve"> était d</w:t>
      </w:r>
      <w:r w:rsidR="00384E40">
        <w:rPr>
          <w:lang w:val="fr-CH"/>
        </w:rPr>
        <w:t>’</w:t>
      </w:r>
      <w:r w:rsidR="004D487A" w:rsidRPr="000219F2">
        <w:rPr>
          <w:lang w:val="fr-CH"/>
        </w:rPr>
        <w:t xml:space="preserve">environ </w:t>
      </w:r>
      <w:r w:rsidRPr="000219F2">
        <w:rPr>
          <w:lang w:val="fr-CH"/>
        </w:rPr>
        <w:t>62%</w:t>
      </w:r>
      <w:r w:rsidR="00A01089" w:rsidRPr="000219F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0CA5" w14:textId="77777777" w:rsidR="00931F1F" w:rsidRDefault="00931F1F" w:rsidP="00931F1F">
    <w:pPr>
      <w:jc w:val="right"/>
    </w:pPr>
    <w:r>
      <w:t>A/59/</w:t>
    </w:r>
  </w:p>
  <w:p w14:paraId="5745EC1C" w14:textId="767D32F6" w:rsidR="00931F1F" w:rsidRDefault="00931F1F" w:rsidP="00931F1F">
    <w:pPr>
      <w:jc w:val="right"/>
    </w:pPr>
    <w:proofErr w:type="gramStart"/>
    <w:r>
      <w:t>page</w:t>
    </w:r>
    <w:proofErr w:type="gramEnd"/>
    <w:r>
      <w:t xml:space="preserve"> </w:t>
    </w:r>
    <w:r>
      <w:fldChar w:fldCharType="begin"/>
    </w:r>
    <w:r>
      <w:instrText xml:space="preserve"> PAGE  \* MERGEFORMAT </w:instrText>
    </w:r>
    <w:r>
      <w:fldChar w:fldCharType="separate"/>
    </w:r>
    <w:r w:rsidR="00A010F5">
      <w:rPr>
        <w:noProof/>
      </w:rPr>
      <w:t>3</w:t>
    </w:r>
    <w:r>
      <w:fldChar w:fldCharType="end"/>
    </w:r>
  </w:p>
  <w:p w14:paraId="307FC3AB" w14:textId="77777777" w:rsidR="00931F1F" w:rsidRDefault="00931F1F" w:rsidP="00931F1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587F" w14:textId="4259D5F8" w:rsidR="00EC4E49" w:rsidRDefault="00DB4DD4" w:rsidP="00477D6B">
    <w:pPr>
      <w:jc w:val="right"/>
    </w:pPr>
    <w:bookmarkStart w:id="6" w:name="Code2"/>
    <w:bookmarkEnd w:id="6"/>
    <w:r>
      <w:t>A</w:t>
    </w:r>
    <w:r w:rsidR="00A649BA">
      <w:t>/59/</w:t>
    </w:r>
  </w:p>
  <w:p w14:paraId="6E3BC930" w14:textId="70E4B520" w:rsidR="00EC4E49" w:rsidRDefault="00EC4E49" w:rsidP="00477D6B">
    <w:pPr>
      <w:jc w:val="right"/>
    </w:pPr>
    <w:proofErr w:type="gramStart"/>
    <w:r>
      <w:t>page</w:t>
    </w:r>
    <w:proofErr w:type="gramEnd"/>
    <w:r w:rsidR="00C43B14">
      <w:t> </w:t>
    </w:r>
    <w:r>
      <w:fldChar w:fldCharType="begin"/>
    </w:r>
    <w:r>
      <w:instrText xml:space="preserve"> PAGE  \* MERGEFORMAT </w:instrText>
    </w:r>
    <w:r>
      <w:fldChar w:fldCharType="separate"/>
    </w:r>
    <w:r w:rsidR="00A010F5">
      <w:rPr>
        <w:noProof/>
      </w:rPr>
      <w:t>3</w:t>
    </w:r>
    <w:r>
      <w:fldChar w:fldCharType="end"/>
    </w:r>
  </w:p>
  <w:p w14:paraId="06A23A77" w14:textId="77777777"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D3F0" w14:textId="77777777" w:rsidR="001F566C" w:rsidRDefault="001F5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FD4E" w14:textId="6ECA502D" w:rsidR="00843F6C" w:rsidRDefault="00843F6C" w:rsidP="00843F6C">
    <w:pPr>
      <w:pStyle w:val="Header"/>
      <w:jc w:val="right"/>
    </w:pPr>
    <w:r>
      <w:t>A/5</w:t>
    </w:r>
    <w:r w:rsidR="00547CEA">
      <w:t>9</w:t>
    </w:r>
    <w:r>
      <w:t>/</w:t>
    </w:r>
    <w:r w:rsidR="00D0221D">
      <w:t>10</w:t>
    </w:r>
  </w:p>
  <w:p w14:paraId="6B8F02BE" w14:textId="36B28EFA" w:rsidR="00931F1F" w:rsidRDefault="00843F6C" w:rsidP="00E041AD">
    <w:pPr>
      <w:pStyle w:val="Header"/>
      <w:tabs>
        <w:tab w:val="clear" w:pos="4536"/>
        <w:tab w:val="clear" w:pos="9072"/>
        <w:tab w:val="left" w:pos="7380"/>
      </w:tabs>
      <w:jc w:val="right"/>
      <w:rPr>
        <w:noProof/>
      </w:rPr>
    </w:pPr>
    <w:proofErr w:type="spellStart"/>
    <w:r>
      <w:t>Annex</w:t>
    </w:r>
    <w:r w:rsidR="00C72FDC">
      <w:t>e</w:t>
    </w:r>
    <w:proofErr w:type="spellEnd"/>
    <w:r w:rsidR="00E754CE">
      <w:t>, page </w:t>
    </w:r>
    <w:r>
      <w:fldChar w:fldCharType="begin"/>
    </w:r>
    <w:r>
      <w:instrText xml:space="preserve"> PAGE   \* MERGEFORMAT </w:instrText>
    </w:r>
    <w:r>
      <w:fldChar w:fldCharType="separate"/>
    </w:r>
    <w:r w:rsidR="00E35FEB">
      <w:rPr>
        <w:noProof/>
      </w:rPr>
      <w:t>2</w:t>
    </w:r>
    <w:r>
      <w:rPr>
        <w:noProof/>
      </w:rPr>
      <w:fldChar w:fldCharType="end"/>
    </w:r>
  </w:p>
  <w:p w14:paraId="2F8EAA97" w14:textId="18C26552" w:rsidR="00E041AD" w:rsidRDefault="00E041AD" w:rsidP="00E041AD">
    <w:pPr>
      <w:pStyle w:val="Header"/>
      <w:tabs>
        <w:tab w:val="clear" w:pos="4536"/>
        <w:tab w:val="clear" w:pos="9072"/>
        <w:tab w:val="left" w:pos="7380"/>
      </w:tabs>
      <w:jc w:val="right"/>
      <w:rPr>
        <w:noProof/>
      </w:rPr>
    </w:pPr>
  </w:p>
  <w:p w14:paraId="74B5B7C7" w14:textId="77777777" w:rsidR="00E041AD" w:rsidRDefault="00E041AD" w:rsidP="00E041AD">
    <w:pPr>
      <w:pStyle w:val="Header"/>
      <w:tabs>
        <w:tab w:val="clear" w:pos="4536"/>
        <w:tab w:val="clear" w:pos="9072"/>
        <w:tab w:val="left" w:pos="738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A7A7" w14:textId="15D1BECC" w:rsidR="00E56870" w:rsidRDefault="007F7E4D" w:rsidP="00E56870">
    <w:pPr>
      <w:pStyle w:val="Header"/>
      <w:jc w:val="right"/>
    </w:pPr>
    <w:r>
      <w:t>A/59/</w:t>
    </w:r>
    <w:r w:rsidR="006322CC">
      <w:t>10</w:t>
    </w:r>
  </w:p>
  <w:p w14:paraId="47326BF4" w14:textId="7F3C4082" w:rsidR="00DB4DD4" w:rsidRDefault="00E56870" w:rsidP="00E56870">
    <w:pPr>
      <w:pStyle w:val="Header"/>
      <w:jc w:val="right"/>
    </w:pPr>
    <w:proofErr w:type="spellStart"/>
    <w:r>
      <w:t>Annex</w:t>
    </w:r>
    <w:r w:rsidR="00C72FDC">
      <w:t>e</w:t>
    </w:r>
    <w:proofErr w:type="spellEnd"/>
    <w:r>
      <w:t xml:space="preserve">, page </w:t>
    </w:r>
    <w:r>
      <w:fldChar w:fldCharType="begin"/>
    </w:r>
    <w:r>
      <w:instrText xml:space="preserve"> PAGE   \* MERGEFORMAT </w:instrText>
    </w:r>
    <w:r>
      <w:fldChar w:fldCharType="separate"/>
    </w:r>
    <w:r w:rsidR="00E35FEB">
      <w:rPr>
        <w:noProof/>
      </w:rPr>
      <w:t>3</w:t>
    </w:r>
    <w:r>
      <w:fldChar w:fldCharType="end"/>
    </w:r>
  </w:p>
  <w:p w14:paraId="1953F933" w14:textId="07927FAF" w:rsidR="00E56870" w:rsidRDefault="00E56870" w:rsidP="00E56870">
    <w:pPr>
      <w:pStyle w:val="Header"/>
      <w:jc w:val="right"/>
    </w:pPr>
  </w:p>
  <w:p w14:paraId="1A391A65" w14:textId="77777777" w:rsidR="00E56870" w:rsidRDefault="00E56870" w:rsidP="00E5687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6483" w14:textId="246C757A" w:rsidR="00547CEA" w:rsidRDefault="00547CEA" w:rsidP="00547CEA">
    <w:pPr>
      <w:pStyle w:val="Header"/>
      <w:jc w:val="right"/>
    </w:pPr>
    <w:r>
      <w:t>A/59/</w:t>
    </w:r>
    <w:r w:rsidR="00E041AD">
      <w:t>10</w:t>
    </w:r>
  </w:p>
  <w:p w14:paraId="2A3FE0F1" w14:textId="6ECCFCCF" w:rsidR="00931F1F" w:rsidRDefault="00547CEA" w:rsidP="00547CEA">
    <w:pPr>
      <w:pStyle w:val="Header"/>
      <w:jc w:val="right"/>
    </w:pPr>
    <w:r>
      <w:t>ANNEX</w:t>
    </w:r>
    <w:r w:rsidR="00C72FDC">
      <w:t>E</w:t>
    </w:r>
  </w:p>
  <w:p w14:paraId="4E913473" w14:textId="14145BC8" w:rsidR="00D0188B" w:rsidRDefault="00E35FEB" w:rsidP="00E041AD">
    <w:pPr>
      <w:pStyle w:val="Header"/>
      <w:jc w:val="right"/>
    </w:pPr>
  </w:p>
  <w:p w14:paraId="1AC509E5" w14:textId="6CC8540C" w:rsidR="00E041AD" w:rsidRDefault="00E041AD" w:rsidP="00E041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150E0C"/>
    <w:multiLevelType w:val="hybridMultilevel"/>
    <w:tmpl w:val="CCE85D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0C48DE"/>
    <w:multiLevelType w:val="hybridMultilevel"/>
    <w:tmpl w:val="746246E0"/>
    <w:lvl w:ilvl="0" w:tplc="950A4798">
      <w:start w:val="1"/>
      <w:numFmt w:val="lowerRoman"/>
      <w:lvlText w:val="(%1)"/>
      <w:lvlJc w:val="left"/>
      <w:pPr>
        <w:ind w:left="1080" w:hanging="72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17D83E0C"/>
    <w:lvl w:ilvl="0">
      <w:start w:val="1"/>
      <w:numFmt w:val="decimal"/>
      <w:lvlRestart w:val="0"/>
      <w:pStyle w:val="ONUMFS"/>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7" w15:restartNumberingAfterBreak="0">
    <w:nsid w:val="3C315789"/>
    <w:multiLevelType w:val="hybridMultilevel"/>
    <w:tmpl w:val="C666D6EC"/>
    <w:lvl w:ilvl="0" w:tplc="AF40C5D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A4EA1"/>
    <w:multiLevelType w:val="hybridMultilevel"/>
    <w:tmpl w:val="5444407C"/>
    <w:lvl w:ilvl="0" w:tplc="950A4798">
      <w:start w:val="1"/>
      <w:numFmt w:val="lowerRoman"/>
      <w:lvlText w:val="(%1)"/>
      <w:lvlJc w:val="left"/>
      <w:pPr>
        <w:ind w:left="1080" w:hanging="72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2128A7"/>
    <w:multiLevelType w:val="hybridMultilevel"/>
    <w:tmpl w:val="8E9A1EDA"/>
    <w:lvl w:ilvl="0" w:tplc="AF40C5D8">
      <w:start w:val="1"/>
      <w:numFmt w:val="lowerRoman"/>
      <w:lvlText w:val="%1)"/>
      <w:lvlJc w:val="left"/>
      <w:pPr>
        <w:ind w:left="1080" w:hanging="72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6"/>
  </w:num>
  <w:num w:numId="8">
    <w:abstractNumId w:val="2"/>
  </w:num>
  <w:num w:numId="9">
    <w:abstractNumId w:val="1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D4"/>
    <w:rsid w:val="0001078E"/>
    <w:rsid w:val="000219F2"/>
    <w:rsid w:val="00043CAA"/>
    <w:rsid w:val="00046116"/>
    <w:rsid w:val="00046F28"/>
    <w:rsid w:val="000731B8"/>
    <w:rsid w:val="00075432"/>
    <w:rsid w:val="00077F25"/>
    <w:rsid w:val="000968ED"/>
    <w:rsid w:val="000A73FF"/>
    <w:rsid w:val="000A7846"/>
    <w:rsid w:val="000B322D"/>
    <w:rsid w:val="000F5E56"/>
    <w:rsid w:val="001362EE"/>
    <w:rsid w:val="0018055E"/>
    <w:rsid w:val="001832A6"/>
    <w:rsid w:val="001B267D"/>
    <w:rsid w:val="001B5282"/>
    <w:rsid w:val="001C457B"/>
    <w:rsid w:val="001E7367"/>
    <w:rsid w:val="001F566C"/>
    <w:rsid w:val="0021217E"/>
    <w:rsid w:val="002154E5"/>
    <w:rsid w:val="00223B16"/>
    <w:rsid w:val="002634C4"/>
    <w:rsid w:val="00287915"/>
    <w:rsid w:val="002928D3"/>
    <w:rsid w:val="002F1FE6"/>
    <w:rsid w:val="002F4E68"/>
    <w:rsid w:val="00312F7F"/>
    <w:rsid w:val="0035110E"/>
    <w:rsid w:val="00361450"/>
    <w:rsid w:val="003673CF"/>
    <w:rsid w:val="003845C1"/>
    <w:rsid w:val="00384E40"/>
    <w:rsid w:val="003A6F89"/>
    <w:rsid w:val="003B38C1"/>
    <w:rsid w:val="003C432F"/>
    <w:rsid w:val="003C5B3E"/>
    <w:rsid w:val="003E1D34"/>
    <w:rsid w:val="003F65C6"/>
    <w:rsid w:val="003F76A9"/>
    <w:rsid w:val="00423E3E"/>
    <w:rsid w:val="0042510D"/>
    <w:rsid w:val="00427AF4"/>
    <w:rsid w:val="00443360"/>
    <w:rsid w:val="00453DB4"/>
    <w:rsid w:val="004647DA"/>
    <w:rsid w:val="00474062"/>
    <w:rsid w:val="00477D6B"/>
    <w:rsid w:val="00486248"/>
    <w:rsid w:val="004D487A"/>
    <w:rsid w:val="004D5969"/>
    <w:rsid w:val="005019FF"/>
    <w:rsid w:val="005161D6"/>
    <w:rsid w:val="0053057A"/>
    <w:rsid w:val="00547CEA"/>
    <w:rsid w:val="00551FB4"/>
    <w:rsid w:val="00560A29"/>
    <w:rsid w:val="005821C0"/>
    <w:rsid w:val="005828BE"/>
    <w:rsid w:val="00586313"/>
    <w:rsid w:val="00593BAF"/>
    <w:rsid w:val="00596312"/>
    <w:rsid w:val="005C6649"/>
    <w:rsid w:val="00605827"/>
    <w:rsid w:val="00606C35"/>
    <w:rsid w:val="0062274F"/>
    <w:rsid w:val="006322CC"/>
    <w:rsid w:val="00646050"/>
    <w:rsid w:val="00654136"/>
    <w:rsid w:val="00657355"/>
    <w:rsid w:val="006650AD"/>
    <w:rsid w:val="006713CA"/>
    <w:rsid w:val="00671720"/>
    <w:rsid w:val="00676C5C"/>
    <w:rsid w:val="0068550E"/>
    <w:rsid w:val="00690FD1"/>
    <w:rsid w:val="006927CE"/>
    <w:rsid w:val="006A12FF"/>
    <w:rsid w:val="006A5F5D"/>
    <w:rsid w:val="006C043E"/>
    <w:rsid w:val="006C4B93"/>
    <w:rsid w:val="006C605F"/>
    <w:rsid w:val="006D4F1A"/>
    <w:rsid w:val="006F57E1"/>
    <w:rsid w:val="00780B1D"/>
    <w:rsid w:val="007C778E"/>
    <w:rsid w:val="007D1005"/>
    <w:rsid w:val="007D1613"/>
    <w:rsid w:val="007E4C0E"/>
    <w:rsid w:val="007F7E4D"/>
    <w:rsid w:val="00826E38"/>
    <w:rsid w:val="00843F6C"/>
    <w:rsid w:val="0085622C"/>
    <w:rsid w:val="008578A1"/>
    <w:rsid w:val="008716D1"/>
    <w:rsid w:val="00894B10"/>
    <w:rsid w:val="008B2CC1"/>
    <w:rsid w:val="008B60B2"/>
    <w:rsid w:val="008C353E"/>
    <w:rsid w:val="008C55F6"/>
    <w:rsid w:val="008D114B"/>
    <w:rsid w:val="008F48D2"/>
    <w:rsid w:val="0090731E"/>
    <w:rsid w:val="00916EE2"/>
    <w:rsid w:val="00931F1F"/>
    <w:rsid w:val="009338C6"/>
    <w:rsid w:val="00942450"/>
    <w:rsid w:val="009435A2"/>
    <w:rsid w:val="00947FAD"/>
    <w:rsid w:val="00966886"/>
    <w:rsid w:val="00966A22"/>
    <w:rsid w:val="0096722F"/>
    <w:rsid w:val="00975715"/>
    <w:rsid w:val="00980843"/>
    <w:rsid w:val="009911CB"/>
    <w:rsid w:val="00992BCE"/>
    <w:rsid w:val="009D03CF"/>
    <w:rsid w:val="009D651C"/>
    <w:rsid w:val="009E1008"/>
    <w:rsid w:val="009E2791"/>
    <w:rsid w:val="009E3F6F"/>
    <w:rsid w:val="009F499F"/>
    <w:rsid w:val="00A01089"/>
    <w:rsid w:val="00A010F5"/>
    <w:rsid w:val="00A24859"/>
    <w:rsid w:val="00A30D2D"/>
    <w:rsid w:val="00A41148"/>
    <w:rsid w:val="00A42DAF"/>
    <w:rsid w:val="00A45BD8"/>
    <w:rsid w:val="00A54425"/>
    <w:rsid w:val="00A649BA"/>
    <w:rsid w:val="00A869B7"/>
    <w:rsid w:val="00AC205C"/>
    <w:rsid w:val="00AD7E91"/>
    <w:rsid w:val="00AF0A6B"/>
    <w:rsid w:val="00B0503D"/>
    <w:rsid w:val="00B05A69"/>
    <w:rsid w:val="00B12D71"/>
    <w:rsid w:val="00B33C70"/>
    <w:rsid w:val="00B9734B"/>
    <w:rsid w:val="00BA06DB"/>
    <w:rsid w:val="00BA30E2"/>
    <w:rsid w:val="00BA4AD0"/>
    <w:rsid w:val="00BC457F"/>
    <w:rsid w:val="00BD148E"/>
    <w:rsid w:val="00BE1E45"/>
    <w:rsid w:val="00C02D61"/>
    <w:rsid w:val="00C11BFE"/>
    <w:rsid w:val="00C43B14"/>
    <w:rsid w:val="00C5068F"/>
    <w:rsid w:val="00C63EB6"/>
    <w:rsid w:val="00C72FDC"/>
    <w:rsid w:val="00C97CE7"/>
    <w:rsid w:val="00CB4CD6"/>
    <w:rsid w:val="00CD04F1"/>
    <w:rsid w:val="00D0221D"/>
    <w:rsid w:val="00D21468"/>
    <w:rsid w:val="00D41460"/>
    <w:rsid w:val="00D45252"/>
    <w:rsid w:val="00D463A2"/>
    <w:rsid w:val="00D67346"/>
    <w:rsid w:val="00D71B4D"/>
    <w:rsid w:val="00D93D55"/>
    <w:rsid w:val="00DB4DD4"/>
    <w:rsid w:val="00DE1772"/>
    <w:rsid w:val="00DE5433"/>
    <w:rsid w:val="00E041AD"/>
    <w:rsid w:val="00E15015"/>
    <w:rsid w:val="00E335FE"/>
    <w:rsid w:val="00E35FEB"/>
    <w:rsid w:val="00E56870"/>
    <w:rsid w:val="00E754CE"/>
    <w:rsid w:val="00E85715"/>
    <w:rsid w:val="00EA3D06"/>
    <w:rsid w:val="00EC4E49"/>
    <w:rsid w:val="00ED77FB"/>
    <w:rsid w:val="00EE118F"/>
    <w:rsid w:val="00EE45FA"/>
    <w:rsid w:val="00F66152"/>
    <w:rsid w:val="00F66829"/>
    <w:rsid w:val="00F74621"/>
    <w:rsid w:val="00F74B0F"/>
    <w:rsid w:val="00F87B91"/>
    <w:rsid w:val="00FB48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0C0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DB4DD4"/>
    <w:rPr>
      <w:rFonts w:ascii="Arial" w:eastAsia="SimSun" w:hAnsi="Arial" w:cs="Arial"/>
      <w:sz w:val="22"/>
      <w:lang w:eastAsia="zh-CN"/>
    </w:rPr>
  </w:style>
  <w:style w:type="paragraph" w:styleId="ListParagraph">
    <w:name w:val="List Paragraph"/>
    <w:basedOn w:val="Normal"/>
    <w:uiPriority w:val="34"/>
    <w:qFormat/>
    <w:rsid w:val="00DB4DD4"/>
    <w:pPr>
      <w:ind w:left="720"/>
      <w:contextualSpacing/>
    </w:pPr>
  </w:style>
  <w:style w:type="table" w:styleId="TableGrid">
    <w:name w:val="Table Grid"/>
    <w:basedOn w:val="TableNormal"/>
    <w:uiPriority w:val="39"/>
    <w:rsid w:val="00DB4D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4DD4"/>
    <w:rPr>
      <w:rFonts w:ascii="Arial" w:eastAsia="SimSun" w:hAnsi="Arial" w:cs="Arial"/>
      <w:sz w:val="22"/>
      <w:lang w:eastAsia="zh-CN"/>
    </w:rPr>
  </w:style>
  <w:style w:type="character" w:styleId="CommentReference">
    <w:name w:val="annotation reference"/>
    <w:basedOn w:val="DefaultParagraphFont"/>
    <w:semiHidden/>
    <w:unhideWhenUsed/>
    <w:rsid w:val="00453DB4"/>
    <w:rPr>
      <w:sz w:val="16"/>
      <w:szCs w:val="16"/>
    </w:rPr>
  </w:style>
  <w:style w:type="paragraph" w:styleId="CommentSubject">
    <w:name w:val="annotation subject"/>
    <w:basedOn w:val="CommentText"/>
    <w:next w:val="CommentText"/>
    <w:link w:val="CommentSubjectChar"/>
    <w:semiHidden/>
    <w:unhideWhenUsed/>
    <w:rsid w:val="00453DB4"/>
    <w:rPr>
      <w:b/>
      <w:bCs/>
      <w:sz w:val="20"/>
    </w:rPr>
  </w:style>
  <w:style w:type="character" w:customStyle="1" w:styleId="CommentTextChar">
    <w:name w:val="Comment Text Char"/>
    <w:basedOn w:val="DefaultParagraphFont"/>
    <w:link w:val="CommentText"/>
    <w:semiHidden/>
    <w:rsid w:val="00453DB4"/>
    <w:rPr>
      <w:rFonts w:ascii="Arial" w:eastAsia="SimSun" w:hAnsi="Arial" w:cs="Arial"/>
      <w:sz w:val="18"/>
      <w:lang w:eastAsia="zh-CN"/>
    </w:rPr>
  </w:style>
  <w:style w:type="character" w:customStyle="1" w:styleId="CommentSubjectChar">
    <w:name w:val="Comment Subject Char"/>
    <w:basedOn w:val="CommentTextChar"/>
    <w:link w:val="CommentSubject"/>
    <w:semiHidden/>
    <w:rsid w:val="00453DB4"/>
    <w:rPr>
      <w:rFonts w:ascii="Arial" w:eastAsia="SimSun" w:hAnsi="Arial" w:cs="Arial"/>
      <w:b/>
      <w:bCs/>
      <w:sz w:val="18"/>
      <w:lang w:eastAsia="zh-CN"/>
    </w:rPr>
  </w:style>
  <w:style w:type="character" w:styleId="FootnoteReference">
    <w:name w:val="footnote reference"/>
    <w:basedOn w:val="DefaultParagraphFont"/>
    <w:semiHidden/>
    <w:unhideWhenUsed/>
    <w:rsid w:val="00046116"/>
    <w:rPr>
      <w:vertAlign w:val="superscript"/>
    </w:rPr>
  </w:style>
  <w:style w:type="character" w:styleId="Hyperlink">
    <w:name w:val="Hyperlink"/>
    <w:basedOn w:val="DefaultParagraphFont"/>
    <w:uiPriority w:val="99"/>
    <w:semiHidden/>
    <w:unhideWhenUsed/>
    <w:rsid w:val="00EA3D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docsarchives/AB_VIII_1977/AB_VIII_2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C816-970E-4547-B0FD-63EDD22C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6248</Characters>
  <Application>Microsoft Office Word</Application>
  <DocSecurity>0</DocSecurity>
  <Lines>128</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2019-09-11T09:01:00Z</dcterms:created>
  <dcterms:modified xsi:type="dcterms:W3CDTF">2019-09-11T09:04:00Z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85b73cec-7fea-4819-bc95-f89bc5e4788f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