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181AA" w14:textId="77777777" w:rsidR="00A34780" w:rsidRPr="00E66241" w:rsidRDefault="00A34780" w:rsidP="00A34780">
      <w:pPr>
        <w:pBdr>
          <w:bottom w:val="single" w:sz="4" w:space="11" w:color="auto"/>
        </w:pBdr>
        <w:spacing w:after="120"/>
        <w:ind w:right="-57"/>
        <w:jc w:val="right"/>
        <w:rPr>
          <w:lang w:val="es-ES_tradnl"/>
        </w:rPr>
      </w:pPr>
      <w:r w:rsidRPr="00E66241">
        <w:rPr>
          <w:noProof/>
          <w:lang w:val="es-ES_tradnl" w:eastAsia="fr-CH"/>
        </w:rPr>
        <w:drawing>
          <wp:inline distT="0" distB="0" distL="0" distR="0" wp14:anchorId="0C242F2A" wp14:editId="633211BB">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14:paraId="3C180477" w14:textId="77777777" w:rsidR="00A34780" w:rsidRPr="00E66241" w:rsidRDefault="00A34780" w:rsidP="00682F67">
      <w:pPr>
        <w:spacing w:after="0" w:line="240" w:lineRule="auto"/>
        <w:jc w:val="right"/>
        <w:rPr>
          <w:rFonts w:ascii="Arial Black" w:hAnsi="Arial Black"/>
          <w:caps/>
          <w:sz w:val="15"/>
          <w:lang w:val="es-ES_tradnl"/>
        </w:rPr>
      </w:pPr>
      <w:r w:rsidRPr="00E66241">
        <w:rPr>
          <w:rFonts w:ascii="Arial Black" w:hAnsi="Arial Black"/>
          <w:caps/>
          <w:sz w:val="15"/>
          <w:lang w:val="es-ES_tradnl"/>
        </w:rPr>
        <w:t>CDIP/34/</w:t>
      </w:r>
      <w:bookmarkStart w:id="0" w:name="Code"/>
      <w:bookmarkEnd w:id="0"/>
      <w:r w:rsidRPr="00E66241">
        <w:rPr>
          <w:rFonts w:ascii="Arial Black" w:hAnsi="Arial Black"/>
          <w:caps/>
          <w:sz w:val="15"/>
          <w:lang w:val="es-ES_tradnl"/>
        </w:rPr>
        <w:t>inf/4</w:t>
      </w:r>
    </w:p>
    <w:p w14:paraId="00701B6E" w14:textId="77777777" w:rsidR="00A34780" w:rsidRPr="00E66241" w:rsidRDefault="00A34780" w:rsidP="00682F67">
      <w:pPr>
        <w:spacing w:after="0" w:line="240" w:lineRule="auto"/>
        <w:jc w:val="right"/>
        <w:rPr>
          <w:lang w:val="es-ES_tradnl"/>
        </w:rPr>
      </w:pPr>
      <w:r w:rsidRPr="00E66241">
        <w:rPr>
          <w:rFonts w:ascii="Arial Black" w:hAnsi="Arial Black"/>
          <w:caps/>
          <w:sz w:val="15"/>
          <w:lang w:val="es-ES_tradnl"/>
        </w:rPr>
        <w:t xml:space="preserve">ORIGINAL: </w:t>
      </w:r>
      <w:bookmarkStart w:id="1" w:name="Original"/>
      <w:r w:rsidRPr="00E66241">
        <w:rPr>
          <w:rFonts w:ascii="Arial Black" w:hAnsi="Arial Black"/>
          <w:caps/>
          <w:sz w:val="15"/>
          <w:lang w:val="es-ES_tradnl"/>
        </w:rPr>
        <w:t>inglés</w:t>
      </w:r>
    </w:p>
    <w:bookmarkEnd w:id="1"/>
    <w:p w14:paraId="67D90866" w14:textId="77777777" w:rsidR="00A34780" w:rsidRPr="00E66241" w:rsidRDefault="00A34780" w:rsidP="00682F67">
      <w:pPr>
        <w:spacing w:after="1200" w:line="240" w:lineRule="auto"/>
        <w:jc w:val="right"/>
        <w:rPr>
          <w:lang w:val="es-ES_tradnl"/>
        </w:rPr>
      </w:pPr>
      <w:r w:rsidRPr="00E66241">
        <w:rPr>
          <w:rFonts w:ascii="Arial Black" w:hAnsi="Arial Black"/>
          <w:caps/>
          <w:sz w:val="15"/>
          <w:lang w:val="es-ES_tradnl"/>
        </w:rPr>
        <w:t xml:space="preserve">fecha: </w:t>
      </w:r>
      <w:bookmarkStart w:id="2" w:name="Date"/>
      <w:r w:rsidRPr="00E66241">
        <w:rPr>
          <w:rFonts w:ascii="Arial Black" w:hAnsi="Arial Black"/>
          <w:caps/>
          <w:sz w:val="15"/>
          <w:lang w:val="es-ES_tradnl"/>
        </w:rPr>
        <w:t>8 de abril de 2025</w:t>
      </w:r>
    </w:p>
    <w:bookmarkEnd w:id="2"/>
    <w:p w14:paraId="6CFFEBDB" w14:textId="77777777" w:rsidR="00CD5EC8" w:rsidRPr="00E66241" w:rsidRDefault="00CD5EC8" w:rsidP="00CD5EC8">
      <w:pPr>
        <w:pStyle w:val="Heading1"/>
        <w:numPr>
          <w:ilvl w:val="0"/>
          <w:numId w:val="0"/>
        </w:numPr>
        <w:spacing w:before="0" w:after="600" w:line="240" w:lineRule="auto"/>
        <w:rPr>
          <w:rFonts w:ascii="Arial" w:hAnsi="Arial" w:cs="Arial"/>
          <w:color w:val="auto"/>
          <w:sz w:val="28"/>
          <w:szCs w:val="28"/>
          <w:lang w:val="es-ES_tradnl"/>
        </w:rPr>
      </w:pPr>
      <w:r w:rsidRPr="00E66241">
        <w:rPr>
          <w:rFonts w:ascii="Arial" w:hAnsi="Arial"/>
          <w:color w:val="auto"/>
          <w:sz w:val="28"/>
          <w:lang w:val="es-ES_tradnl"/>
        </w:rPr>
        <w:t>Comité de Desarrollo y Propiedad Intelectual (CDIP)</w:t>
      </w:r>
    </w:p>
    <w:p w14:paraId="3108168A" w14:textId="77777777" w:rsidR="00CD5EC8" w:rsidRPr="00E66241" w:rsidRDefault="00CD5EC8" w:rsidP="00CD5EC8">
      <w:pPr>
        <w:spacing w:after="0" w:line="240" w:lineRule="auto"/>
        <w:outlineLvl w:val="1"/>
        <w:rPr>
          <w:rFonts w:ascii="Arial" w:hAnsi="Arial" w:cs="Arial"/>
          <w:b/>
          <w:sz w:val="24"/>
          <w:szCs w:val="24"/>
          <w:lang w:val="es-ES_tradnl"/>
        </w:rPr>
      </w:pPr>
      <w:r w:rsidRPr="00E66241">
        <w:rPr>
          <w:rFonts w:ascii="Arial" w:hAnsi="Arial"/>
          <w:b/>
          <w:sz w:val="24"/>
          <w:lang w:val="es-ES_tradnl"/>
        </w:rPr>
        <w:t>Trigésima cuarta sesión</w:t>
      </w:r>
    </w:p>
    <w:p w14:paraId="1E5567DA" w14:textId="77777777" w:rsidR="00CD5EC8" w:rsidRPr="00E66241" w:rsidRDefault="00CD5EC8" w:rsidP="00CD5EC8">
      <w:pPr>
        <w:spacing w:after="720" w:line="240" w:lineRule="auto"/>
        <w:outlineLvl w:val="1"/>
        <w:rPr>
          <w:rFonts w:ascii="Arial" w:hAnsi="Arial" w:cs="Arial"/>
          <w:bCs/>
          <w:sz w:val="24"/>
          <w:szCs w:val="24"/>
          <w:lang w:val="es-ES_tradnl"/>
        </w:rPr>
      </w:pPr>
      <w:r w:rsidRPr="00E66241">
        <w:rPr>
          <w:rFonts w:ascii="Arial" w:hAnsi="Arial"/>
          <w:b/>
          <w:sz w:val="24"/>
          <w:lang w:val="es-ES_tradnl"/>
        </w:rPr>
        <w:t>Ginebra, 5 a 9 de mayo de 2025</w:t>
      </w:r>
    </w:p>
    <w:p w14:paraId="09823AB3" w14:textId="23B674EA" w:rsidR="00CD5EC8" w:rsidRPr="00E66241" w:rsidRDefault="00CD5EC8" w:rsidP="00CD5EC8">
      <w:pPr>
        <w:pStyle w:val="Title"/>
        <w:spacing w:before="0" w:after="360" w:line="240" w:lineRule="auto"/>
        <w:ind w:left="0" w:firstLine="0"/>
        <w:jc w:val="left"/>
        <w:rPr>
          <w:rFonts w:ascii="Arial" w:hAnsi="Arial" w:cs="Arial"/>
          <w:b w:val="0"/>
          <w:color w:val="000000" w:themeColor="text1"/>
          <w:lang w:val="es-ES_tradnl"/>
        </w:rPr>
      </w:pPr>
      <w:bookmarkStart w:id="3" w:name="TitleOfDoc"/>
      <w:r w:rsidRPr="00E66241">
        <w:rPr>
          <w:rFonts w:ascii="Arial" w:hAnsi="Arial"/>
          <w:b w:val="0"/>
          <w:color w:val="000000" w:themeColor="text1"/>
          <w:lang w:val="es-ES_tradnl"/>
        </w:rPr>
        <w:t>RESUMEN DEL ESTUDIO EXPLORATORIO SOBRE LA INTERSECCIÓN ENTRE LA SEGURIDAD Y LA SALUD EN EL TRABAJO Y LA PROPIEDAD INTELECTUAL</w:t>
      </w:r>
    </w:p>
    <w:p w14:paraId="1CC63F26" w14:textId="6A68812D" w:rsidR="00CD5EC8" w:rsidRPr="00E66241" w:rsidRDefault="00E60E0F" w:rsidP="00CD5EC8">
      <w:pPr>
        <w:spacing w:after="960"/>
        <w:rPr>
          <w:rFonts w:ascii="Arial" w:hAnsi="Arial" w:cs="Arial"/>
          <w:i/>
          <w:iCs/>
          <w:lang w:val="es-ES_tradnl"/>
        </w:rPr>
      </w:pPr>
      <w:r w:rsidRPr="00E66241">
        <w:rPr>
          <w:rFonts w:ascii="Arial" w:hAnsi="Arial"/>
          <w:i/>
          <w:lang w:val="es-ES_tradnl"/>
        </w:rPr>
        <w:t>preparado por el Sr. Antony Taubman</w:t>
      </w:r>
    </w:p>
    <w:p w14:paraId="22FFAC09" w14:textId="0835396D" w:rsidR="00CD5EC8" w:rsidRPr="00E66241" w:rsidRDefault="00CD5EC8" w:rsidP="00E66241">
      <w:pPr>
        <w:pStyle w:val="ListParagraph"/>
        <w:numPr>
          <w:ilvl w:val="0"/>
          <w:numId w:val="52"/>
        </w:numPr>
        <w:spacing w:after="240" w:line="240" w:lineRule="auto"/>
        <w:ind w:left="0" w:firstLine="0"/>
        <w:contextualSpacing w:val="0"/>
        <w:jc w:val="left"/>
        <w:rPr>
          <w:rFonts w:ascii="Arial" w:hAnsi="Arial" w:cs="Arial"/>
          <w:iCs/>
          <w:sz w:val="22"/>
          <w:szCs w:val="22"/>
          <w:lang w:val="es-ES_tradnl"/>
        </w:rPr>
      </w:pPr>
      <w:r w:rsidRPr="00E66241">
        <w:rPr>
          <w:rFonts w:ascii="Arial" w:hAnsi="Arial"/>
          <w:sz w:val="22"/>
          <w:lang w:val="es-ES_tradnl"/>
        </w:rPr>
        <w:t xml:space="preserve">En el Anexo del presente documento figura un resumen del estudio exploratorio sobre la </w:t>
      </w:r>
      <w:r w:rsidR="004D7CEF" w:rsidRPr="00E66241">
        <w:rPr>
          <w:rFonts w:ascii="Arial" w:hAnsi="Arial"/>
          <w:sz w:val="22"/>
          <w:lang w:val="es-ES_tradnl"/>
        </w:rPr>
        <w:t>“</w:t>
      </w:r>
      <w:r w:rsidRPr="00E66241">
        <w:rPr>
          <w:rFonts w:ascii="Arial" w:hAnsi="Arial"/>
          <w:sz w:val="22"/>
          <w:lang w:val="es-ES_tradnl"/>
        </w:rPr>
        <w:t>Intersección entre la seguridad y la salud en el trabajo y la propiedad intelectual</w:t>
      </w:r>
      <w:r w:rsidR="004D7CEF" w:rsidRPr="00E66241">
        <w:rPr>
          <w:rFonts w:ascii="Arial" w:hAnsi="Arial"/>
          <w:sz w:val="22"/>
          <w:lang w:val="es-ES_tradnl"/>
        </w:rPr>
        <w:t>”</w:t>
      </w:r>
      <w:r w:rsidRPr="00E66241">
        <w:rPr>
          <w:rFonts w:ascii="Arial" w:hAnsi="Arial"/>
          <w:sz w:val="22"/>
          <w:lang w:val="es-ES_tradnl"/>
        </w:rPr>
        <w:t>.</w:t>
      </w:r>
    </w:p>
    <w:p w14:paraId="31E3DC33" w14:textId="47D5013F" w:rsidR="00CD5EC8" w:rsidRPr="00E66241" w:rsidRDefault="00CD5EC8" w:rsidP="00E66241">
      <w:pPr>
        <w:pStyle w:val="ListParagraph"/>
        <w:numPr>
          <w:ilvl w:val="0"/>
          <w:numId w:val="52"/>
        </w:numPr>
        <w:spacing w:after="240" w:line="240" w:lineRule="auto"/>
        <w:ind w:left="0" w:firstLine="0"/>
        <w:contextualSpacing w:val="0"/>
        <w:jc w:val="left"/>
        <w:rPr>
          <w:rFonts w:ascii="Arial" w:hAnsi="Arial" w:cs="Arial"/>
          <w:iCs/>
          <w:sz w:val="22"/>
          <w:szCs w:val="22"/>
          <w:lang w:val="es-ES_tradnl"/>
        </w:rPr>
      </w:pPr>
      <w:r w:rsidRPr="00E66241">
        <w:rPr>
          <w:rFonts w:ascii="Arial" w:hAnsi="Arial"/>
          <w:sz w:val="22"/>
          <w:lang w:val="es-ES_tradnl"/>
        </w:rPr>
        <w:t xml:space="preserve">El estudio exploratorio se ha llevado a cabo en el marco del proyecto de la Agenda para el Desarrollo (AD) titulado </w:t>
      </w:r>
      <w:r w:rsidR="004D7CEF" w:rsidRPr="00E66241">
        <w:rPr>
          <w:rFonts w:ascii="Arial" w:hAnsi="Arial"/>
          <w:sz w:val="22"/>
          <w:lang w:val="es-ES_tradnl"/>
        </w:rPr>
        <w:t>“</w:t>
      </w:r>
      <w:r w:rsidRPr="00E66241">
        <w:rPr>
          <w:rFonts w:ascii="Arial" w:hAnsi="Arial"/>
          <w:sz w:val="22"/>
          <w:lang w:val="es-ES_tradnl"/>
        </w:rPr>
        <w:t>Reducción de los accidentes laborales y las enfermedades profesionales mediante la innovación y la propiedad intelectual</w:t>
      </w:r>
      <w:r w:rsidR="004D7CEF" w:rsidRPr="00E66241">
        <w:rPr>
          <w:rFonts w:ascii="Arial" w:hAnsi="Arial"/>
          <w:sz w:val="22"/>
          <w:lang w:val="es-ES_tradnl"/>
        </w:rPr>
        <w:t>”</w:t>
      </w:r>
      <w:r w:rsidRPr="00E66241">
        <w:rPr>
          <w:rFonts w:ascii="Arial" w:hAnsi="Arial"/>
          <w:sz w:val="22"/>
          <w:lang w:val="es-ES_tradnl"/>
        </w:rPr>
        <w:t xml:space="preserve"> (documento</w:t>
      </w:r>
      <w:r w:rsidRPr="00E66241">
        <w:rPr>
          <w:lang w:val="es-ES_tradnl"/>
        </w:rPr>
        <w:t xml:space="preserve"> </w:t>
      </w:r>
      <w:hyperlink r:id="rId9" w:history="1">
        <w:r w:rsidRPr="00E66241">
          <w:rPr>
            <w:rStyle w:val="Hyperlink"/>
            <w:rFonts w:ascii="Arial" w:hAnsi="Arial"/>
            <w:sz w:val="22"/>
            <w:lang w:val="es-ES_tradnl"/>
          </w:rPr>
          <w:t>CDIP/29/11</w:t>
        </w:r>
      </w:hyperlink>
      <w:r w:rsidRPr="00E66241">
        <w:rPr>
          <w:lang w:val="es-ES_tradnl"/>
        </w:rPr>
        <w:t>)</w:t>
      </w:r>
      <w:r w:rsidR="004D7CEF" w:rsidRPr="00E66241">
        <w:rPr>
          <w:lang w:val="es-ES_tradnl"/>
        </w:rPr>
        <w:t xml:space="preserve">. </w:t>
      </w:r>
      <w:r w:rsidRPr="00E66241">
        <w:rPr>
          <w:rFonts w:ascii="Arial" w:hAnsi="Arial"/>
          <w:sz w:val="22"/>
          <w:lang w:val="es-ES_tradnl"/>
        </w:rPr>
        <w:t>Su preparación ha estado a cargo del Sr. Antony Taubman, especialista en propiedad intelectual, director de International IP,</w:t>
      </w:r>
      <w:r w:rsidR="00E66241" w:rsidRPr="00E66241">
        <w:rPr>
          <w:rFonts w:ascii="Arial" w:hAnsi="Arial"/>
          <w:sz w:val="22"/>
          <w:lang w:val="es-ES_tradnl"/>
        </w:rPr>
        <w:t xml:space="preserve"> </w:t>
      </w:r>
      <w:r w:rsidRPr="00E66241">
        <w:rPr>
          <w:rFonts w:ascii="Arial" w:hAnsi="Arial"/>
          <w:sz w:val="22"/>
          <w:lang w:val="es-ES_tradnl"/>
        </w:rPr>
        <w:t>Pty Ltd.</w:t>
      </w:r>
    </w:p>
    <w:p w14:paraId="589A87E0" w14:textId="4747516D" w:rsidR="00CD5EC8" w:rsidRPr="00E66241" w:rsidRDefault="00CD5EC8" w:rsidP="00E66241">
      <w:pPr>
        <w:pStyle w:val="ListParagraph"/>
        <w:numPr>
          <w:ilvl w:val="0"/>
          <w:numId w:val="52"/>
        </w:numPr>
        <w:spacing w:after="600" w:line="240" w:lineRule="auto"/>
        <w:ind w:left="5245" w:firstLine="0"/>
        <w:contextualSpacing w:val="0"/>
        <w:jc w:val="left"/>
        <w:rPr>
          <w:rFonts w:ascii="Arial" w:hAnsi="Arial" w:cs="Arial"/>
          <w:i/>
          <w:sz w:val="22"/>
          <w:szCs w:val="22"/>
          <w:lang w:val="es-ES_tradnl"/>
        </w:rPr>
      </w:pPr>
      <w:r w:rsidRPr="00E66241">
        <w:rPr>
          <w:rFonts w:ascii="Arial" w:hAnsi="Arial"/>
          <w:i/>
          <w:sz w:val="22"/>
          <w:lang w:val="es-ES_tradnl"/>
        </w:rPr>
        <w:t>Se invita al CDIP a tomar nota de la información que figura en el Anexo del presente documento.</w:t>
      </w:r>
      <w:bookmarkStart w:id="4" w:name="Prepared"/>
      <w:bookmarkEnd w:id="3"/>
      <w:bookmarkEnd w:id="4"/>
    </w:p>
    <w:p w14:paraId="55464DCC" w14:textId="77777777" w:rsidR="00A90ACD" w:rsidRPr="00E66241" w:rsidRDefault="00CD5EC8" w:rsidP="00E66241">
      <w:pPr>
        <w:pStyle w:val="Endofdocument"/>
        <w:rPr>
          <w:rFonts w:cs="Arial"/>
          <w:szCs w:val="22"/>
          <w:lang w:val="es-ES_tradnl"/>
        </w:rPr>
        <w:sectPr w:rsidR="00A90ACD" w:rsidRPr="00E66241" w:rsidSect="00A90ACD">
          <w:headerReference w:type="default" r:id="rId10"/>
          <w:pgSz w:w="11906" w:h="16838"/>
          <w:pgMar w:top="568" w:right="1440" w:bottom="1440" w:left="1440" w:header="284" w:footer="1020" w:gutter="0"/>
          <w:pgNumType w:start="1"/>
          <w:cols w:space="708"/>
          <w:titlePg/>
          <w:docGrid w:linePitch="360"/>
        </w:sectPr>
      </w:pPr>
      <w:r w:rsidRPr="00E66241">
        <w:rPr>
          <w:lang w:val="es-ES_tradnl"/>
        </w:rPr>
        <w:t>[Sigue el Anexo]</w:t>
      </w:r>
    </w:p>
    <w:p w14:paraId="5602C32F" w14:textId="44021EAE" w:rsidR="0001430F" w:rsidRPr="00E66241" w:rsidRDefault="0001430F" w:rsidP="0001430F">
      <w:pPr>
        <w:jc w:val="center"/>
        <w:rPr>
          <w:rFonts w:ascii="Arial" w:hAnsi="Arial" w:cs="Arial"/>
          <w:b/>
          <w:bCs/>
          <w:sz w:val="22"/>
          <w:szCs w:val="22"/>
          <w:lang w:val="es-ES_tradnl"/>
        </w:rPr>
      </w:pPr>
      <w:r w:rsidRPr="00E66241">
        <w:rPr>
          <w:rFonts w:ascii="Arial" w:hAnsi="Arial"/>
          <w:b/>
          <w:sz w:val="22"/>
          <w:lang w:val="es-ES_tradnl"/>
        </w:rPr>
        <w:lastRenderedPageBreak/>
        <w:t>Resumen</w:t>
      </w:r>
    </w:p>
    <w:p w14:paraId="4306C3EF" w14:textId="77777777" w:rsidR="0001430F" w:rsidRPr="00E66241" w:rsidRDefault="0001430F" w:rsidP="00E66241">
      <w:pPr>
        <w:jc w:val="center"/>
        <w:rPr>
          <w:rFonts w:ascii="Arial" w:hAnsi="Arial" w:cs="Arial"/>
          <w:sz w:val="22"/>
          <w:szCs w:val="22"/>
          <w:lang w:val="es-ES_tradnl"/>
        </w:rPr>
      </w:pPr>
      <w:r w:rsidRPr="00E66241">
        <w:rPr>
          <w:rFonts w:ascii="Arial" w:hAnsi="Arial"/>
          <w:b/>
          <w:sz w:val="22"/>
          <w:lang w:val="es-ES_tradnl"/>
        </w:rPr>
        <w:t>Intersección entre la seguridad y la salud en el trabajo y la propiedad intelectual</w:t>
      </w:r>
    </w:p>
    <w:p w14:paraId="75976F4E" w14:textId="7DD79B90" w:rsidR="0001430F" w:rsidRPr="00E66241" w:rsidRDefault="0001430F" w:rsidP="00E66241">
      <w:pPr>
        <w:pStyle w:val="ListParagraph"/>
        <w:numPr>
          <w:ilvl w:val="0"/>
          <w:numId w:val="57"/>
        </w:numPr>
        <w:tabs>
          <w:tab w:val="left" w:pos="567"/>
        </w:tabs>
        <w:ind w:left="0" w:firstLine="0"/>
        <w:rPr>
          <w:rFonts w:ascii="Arial" w:hAnsi="Arial" w:cs="Arial"/>
          <w:sz w:val="22"/>
          <w:szCs w:val="22"/>
          <w:lang w:val="es-ES_tradnl"/>
        </w:rPr>
      </w:pPr>
      <w:r w:rsidRPr="00E66241">
        <w:rPr>
          <w:rFonts w:ascii="Arial" w:hAnsi="Arial"/>
          <w:b/>
          <w:sz w:val="22"/>
          <w:lang w:val="es-ES_tradnl"/>
        </w:rPr>
        <w:t>Introducción y contexto</w:t>
      </w:r>
    </w:p>
    <w:p w14:paraId="4D95E81D" w14:textId="4E50E462" w:rsidR="0001430F" w:rsidRPr="00E66241" w:rsidRDefault="0001430F" w:rsidP="00934539">
      <w:pPr>
        <w:spacing w:after="360"/>
        <w:jc w:val="left"/>
        <w:rPr>
          <w:rFonts w:ascii="Arial" w:hAnsi="Arial" w:cs="Arial"/>
          <w:sz w:val="22"/>
          <w:szCs w:val="22"/>
          <w:lang w:val="es-ES_tradnl"/>
        </w:rPr>
      </w:pPr>
      <w:r w:rsidRPr="00E66241">
        <w:rPr>
          <w:rFonts w:ascii="Arial" w:hAnsi="Arial"/>
          <w:sz w:val="22"/>
          <w:lang w:val="es-ES_tradnl"/>
        </w:rPr>
        <w:t xml:space="preserve">En este estudio, elaborado en el marco del proyecto de la Agenda para el Desarrollo (AD) titulado </w:t>
      </w:r>
      <w:r w:rsidR="004D7CEF" w:rsidRPr="00E66241">
        <w:rPr>
          <w:rFonts w:ascii="Arial" w:hAnsi="Arial"/>
          <w:sz w:val="22"/>
          <w:lang w:val="es-ES_tradnl"/>
        </w:rPr>
        <w:t>“</w:t>
      </w:r>
      <w:r w:rsidRPr="00E66241">
        <w:rPr>
          <w:rFonts w:ascii="Arial" w:hAnsi="Arial"/>
          <w:sz w:val="22"/>
          <w:lang w:val="es-ES_tradnl"/>
        </w:rPr>
        <w:t>Reducción de los accidentes laborales y las enfermedades profesionales mediante la innovación y la propiedad intelectual</w:t>
      </w:r>
      <w:r w:rsidR="004D7CEF" w:rsidRPr="00E66241">
        <w:rPr>
          <w:rFonts w:ascii="Arial" w:hAnsi="Arial"/>
          <w:sz w:val="22"/>
          <w:lang w:val="es-ES_tradnl"/>
        </w:rPr>
        <w:t>”</w:t>
      </w:r>
      <w:r w:rsidRPr="00E66241">
        <w:rPr>
          <w:rFonts w:ascii="Arial" w:hAnsi="Arial"/>
          <w:sz w:val="22"/>
          <w:lang w:val="es-ES_tradnl"/>
        </w:rPr>
        <w:t>, se describen las intersecciones y los puntos de apoyo mutuo entre las políticas y los programas en materia de seguridad y salud en el trabajo (SST) y el sistema de propiedad intelectual (PI)</w:t>
      </w:r>
      <w:r w:rsidR="004D7CEF" w:rsidRPr="00E66241">
        <w:rPr>
          <w:rFonts w:ascii="Arial" w:hAnsi="Arial"/>
          <w:sz w:val="22"/>
          <w:lang w:val="es-ES_tradnl"/>
        </w:rPr>
        <w:t xml:space="preserve">. </w:t>
      </w:r>
      <w:r w:rsidRPr="00E66241">
        <w:rPr>
          <w:rFonts w:ascii="Arial" w:hAnsi="Arial"/>
          <w:sz w:val="22"/>
          <w:lang w:val="es-ES_tradnl"/>
        </w:rPr>
        <w:t>Atendiendo a lo solicitado por el Comité, el principal objetivo del estudio consiste en analizar de qué manera las herramientas de PI pueden contribuir a crear entornos de trabajo más seguros y a reducir la importante carga mundial que suponen los accidentes laborales y las enfermedades profesionales</w:t>
      </w:r>
      <w:r w:rsidR="004D7CEF" w:rsidRPr="00E66241">
        <w:rPr>
          <w:rFonts w:ascii="Arial" w:hAnsi="Arial"/>
          <w:sz w:val="22"/>
          <w:lang w:val="es-ES_tradnl"/>
        </w:rPr>
        <w:t xml:space="preserve">. </w:t>
      </w:r>
      <w:r w:rsidRPr="00E66241">
        <w:rPr>
          <w:rFonts w:ascii="Arial" w:hAnsi="Arial"/>
          <w:sz w:val="22"/>
          <w:lang w:val="es-ES_tradnl"/>
        </w:rPr>
        <w:t>En el estudio se examina el panorama mundial en materia de SST, se pasa revista a la normativa internacional y nacional, se presentan las principales estadísticas, se esboza el papel de la tecnología y se describen las contribuciones específicas de distintas categorías de PI, centrándose especialmente en cuatro países piloto, a saber: Camerún, Gambia, la República Islámica del Irán y Túnez</w:t>
      </w:r>
      <w:r w:rsidR="004D7CEF" w:rsidRPr="00E66241">
        <w:rPr>
          <w:rFonts w:ascii="Arial" w:hAnsi="Arial"/>
          <w:sz w:val="22"/>
          <w:lang w:val="es-ES_tradnl"/>
        </w:rPr>
        <w:t xml:space="preserve">. </w:t>
      </w:r>
      <w:r w:rsidRPr="00E66241">
        <w:rPr>
          <w:rFonts w:ascii="Arial" w:hAnsi="Arial"/>
          <w:sz w:val="22"/>
          <w:lang w:val="es-ES_tradnl"/>
        </w:rPr>
        <w:t>El estudio concluye con recomendaciones para mejorar las contribuciones del sistema de PI a la gestión de la SST y para hacer frente a los efectos de la falsificación en la seguridad y la salud en el lugar de trabajo.</w:t>
      </w:r>
    </w:p>
    <w:p w14:paraId="0AF68637" w14:textId="187F0396" w:rsidR="0001430F" w:rsidRPr="00E66241" w:rsidRDefault="0001430F" w:rsidP="00E66241">
      <w:pPr>
        <w:pStyle w:val="ListParagraph"/>
        <w:numPr>
          <w:ilvl w:val="0"/>
          <w:numId w:val="57"/>
        </w:numPr>
        <w:tabs>
          <w:tab w:val="left" w:pos="567"/>
        </w:tabs>
        <w:ind w:left="0" w:firstLine="0"/>
        <w:rPr>
          <w:rFonts w:ascii="Arial" w:hAnsi="Arial" w:cs="Arial"/>
          <w:sz w:val="22"/>
          <w:szCs w:val="22"/>
          <w:lang w:val="es-ES_tradnl"/>
        </w:rPr>
      </w:pPr>
      <w:r w:rsidRPr="00E66241">
        <w:rPr>
          <w:rFonts w:ascii="Arial" w:hAnsi="Arial"/>
          <w:b/>
          <w:sz w:val="22"/>
          <w:lang w:val="es-ES_tradnl"/>
        </w:rPr>
        <w:t>Magnitud y alcance de los retos en materia de SST</w:t>
      </w:r>
    </w:p>
    <w:p w14:paraId="2E87B21D" w14:textId="780F3084" w:rsidR="0001430F" w:rsidRPr="00E66241" w:rsidRDefault="0001430F" w:rsidP="00480225">
      <w:pPr>
        <w:jc w:val="left"/>
        <w:rPr>
          <w:rFonts w:ascii="Arial" w:hAnsi="Arial" w:cs="Arial"/>
          <w:sz w:val="22"/>
          <w:szCs w:val="22"/>
          <w:lang w:val="es-ES_tradnl"/>
        </w:rPr>
      </w:pPr>
      <w:r w:rsidRPr="00E66241">
        <w:rPr>
          <w:rFonts w:ascii="Arial" w:hAnsi="Arial"/>
          <w:sz w:val="22"/>
          <w:lang w:val="es-ES_tradnl"/>
        </w:rPr>
        <w:t>La seguridad y la salud en el lugar de trabajo representan una carga importante para la salud pública</w:t>
      </w:r>
      <w:r w:rsidR="004D7CEF" w:rsidRPr="00E66241">
        <w:rPr>
          <w:rFonts w:ascii="Arial" w:hAnsi="Arial"/>
          <w:sz w:val="22"/>
          <w:lang w:val="es-ES_tradnl"/>
        </w:rPr>
        <w:t xml:space="preserve">. </w:t>
      </w:r>
      <w:r w:rsidRPr="00E66241">
        <w:rPr>
          <w:rFonts w:ascii="Arial" w:hAnsi="Arial"/>
          <w:sz w:val="22"/>
          <w:lang w:val="es-ES_tradnl"/>
        </w:rPr>
        <w:t>El derecho a un entorno laboral seguro y saludable se sustenta en los derechos humanos fundamentales y es objeto de una serie de convenios y recomendaciones establecidos por la Organización Internacional del Trabajo (OIT)</w:t>
      </w:r>
      <w:r w:rsidR="004D7CEF" w:rsidRPr="00E66241">
        <w:rPr>
          <w:rFonts w:ascii="Arial" w:hAnsi="Arial"/>
          <w:sz w:val="22"/>
          <w:lang w:val="es-ES_tradnl"/>
        </w:rPr>
        <w:t xml:space="preserve">. </w:t>
      </w:r>
      <w:r w:rsidRPr="00E66241">
        <w:rPr>
          <w:rFonts w:ascii="Arial" w:hAnsi="Arial"/>
          <w:sz w:val="22"/>
          <w:lang w:val="es-ES_tradnl"/>
        </w:rPr>
        <w:t>La naturaleza de los retos con que se enfrentan los programas destinados a abordar la SST se refleja en la Estrategia Global de la OIT en materia de Seguridad y Salud en el Trabajo</w:t>
      </w:r>
      <w:r w:rsidR="00E66241" w:rsidRPr="00E66241">
        <w:rPr>
          <w:rFonts w:ascii="Arial" w:hAnsi="Arial"/>
          <w:sz w:val="22"/>
          <w:lang w:val="es-ES_tradnl"/>
        </w:rPr>
        <w:t> </w:t>
      </w:r>
      <w:r w:rsidRPr="00E66241">
        <w:rPr>
          <w:rFonts w:ascii="Arial" w:hAnsi="Arial"/>
          <w:sz w:val="22"/>
          <w:lang w:val="es-ES_tradnl"/>
        </w:rPr>
        <w:t>2024-2030 y el plan de acción para su aplicación, que se articulan en torno a la mejora de los marcos nacionales, el fortalecimiento de la coordinación, las asociaciones, la inversión y la mejora de los sistemas de gestión</w:t>
      </w:r>
      <w:r w:rsidR="004D7CEF" w:rsidRPr="00E66241">
        <w:rPr>
          <w:rFonts w:ascii="Arial" w:hAnsi="Arial"/>
          <w:sz w:val="22"/>
          <w:lang w:val="es-ES_tradnl"/>
        </w:rPr>
        <w:t xml:space="preserve">. </w:t>
      </w:r>
    </w:p>
    <w:p w14:paraId="26C8DCFA" w14:textId="0B2B8BE7" w:rsidR="0001430F" w:rsidRPr="00E66241" w:rsidRDefault="0001430F" w:rsidP="00480225">
      <w:pPr>
        <w:jc w:val="left"/>
        <w:rPr>
          <w:rFonts w:ascii="Arial" w:hAnsi="Arial" w:cs="Arial"/>
          <w:sz w:val="22"/>
          <w:szCs w:val="22"/>
          <w:lang w:val="es-ES_tradnl"/>
        </w:rPr>
      </w:pPr>
      <w:r w:rsidRPr="00E66241">
        <w:rPr>
          <w:rFonts w:ascii="Arial" w:hAnsi="Arial"/>
          <w:sz w:val="22"/>
          <w:lang w:val="es-ES_tradnl"/>
        </w:rPr>
        <w:t>Entre las principales esferas de actuación figuran las siguientes: normas e instrumentos internacionales; desarrollo y difusión de conocimientos; promoción, sensibilización y movilización; asistencia técnica; y cooperación multilateral</w:t>
      </w:r>
      <w:r w:rsidR="004D7CEF" w:rsidRPr="00E66241">
        <w:rPr>
          <w:rFonts w:ascii="Arial" w:hAnsi="Arial"/>
          <w:sz w:val="22"/>
          <w:lang w:val="es-ES_tradnl"/>
        </w:rPr>
        <w:t xml:space="preserve">. </w:t>
      </w:r>
      <w:r w:rsidRPr="00E66241">
        <w:rPr>
          <w:rFonts w:ascii="Arial" w:hAnsi="Arial"/>
          <w:sz w:val="22"/>
          <w:lang w:val="es-ES_tradnl"/>
        </w:rPr>
        <w:t xml:space="preserve">La formulación de políticas y la aplicación de programas en el plano internacional deja un margen de maniobra considerable para la adopción de políticas nacionales adaptadas, pero se insiste de manera firme y continua en la formación, la sensibilización y el fortalecimiento de capacidades como elementos fundamentales de una estrategia eficaz de gestión de la SST. </w:t>
      </w:r>
    </w:p>
    <w:p w14:paraId="02D21F84" w14:textId="60FB13AB" w:rsidR="0001430F" w:rsidRPr="00E66241" w:rsidRDefault="0001430F" w:rsidP="00480225">
      <w:pPr>
        <w:jc w:val="left"/>
        <w:rPr>
          <w:rFonts w:ascii="Arial" w:hAnsi="Arial" w:cs="Arial"/>
          <w:sz w:val="22"/>
          <w:szCs w:val="22"/>
          <w:lang w:val="es-ES_tradnl"/>
        </w:rPr>
      </w:pPr>
      <w:r w:rsidRPr="00E66241">
        <w:rPr>
          <w:rFonts w:ascii="Arial" w:hAnsi="Arial"/>
          <w:sz w:val="22"/>
          <w:lang w:val="es-ES_tradnl"/>
        </w:rPr>
        <w:t>Desde el año 2000, las estadísticas per cápita muestran un descenso general a escala mundial de las muertes y los años de vida ajustados por discapacidad (AVAD), pero tales cifras, comparadas con el crecimiento demográfico, siguen representando un aumento absoluto y una carga importante para la salud pública</w:t>
      </w:r>
      <w:r w:rsidR="004D7CEF" w:rsidRPr="00E66241">
        <w:rPr>
          <w:rFonts w:ascii="Arial" w:hAnsi="Arial"/>
          <w:sz w:val="22"/>
          <w:lang w:val="es-ES_tradnl"/>
        </w:rPr>
        <w:t xml:space="preserve">. </w:t>
      </w:r>
      <w:r w:rsidRPr="00E66241">
        <w:rPr>
          <w:rFonts w:ascii="Arial" w:hAnsi="Arial"/>
          <w:sz w:val="22"/>
          <w:lang w:val="es-ES_tradnl"/>
        </w:rPr>
        <w:t>Así, cada año mueren millones de trabajadores por factores relacionados con el trabajo, y cientos de millones sufren lesiones no mortales</w:t>
      </w:r>
      <w:r w:rsidR="004D7CEF" w:rsidRPr="00E66241">
        <w:rPr>
          <w:rFonts w:ascii="Arial" w:hAnsi="Arial"/>
          <w:sz w:val="22"/>
          <w:lang w:val="es-ES_tradnl"/>
        </w:rPr>
        <w:t xml:space="preserve">. </w:t>
      </w:r>
      <w:r w:rsidRPr="00E66241">
        <w:rPr>
          <w:rFonts w:ascii="Arial" w:hAnsi="Arial"/>
          <w:sz w:val="22"/>
          <w:lang w:val="es-ES_tradnl"/>
        </w:rPr>
        <w:t xml:space="preserve">Las principales causas de mortalidad relacionada con el trabajo en el mundo son la exposición a largas jornadas de trabajo (que provoca derrames cerebrales y cardiopatías), la exposición a partículas, gases y humos (que causa enfermedades </w:t>
      </w:r>
      <w:r w:rsidRPr="00E66241">
        <w:rPr>
          <w:rFonts w:ascii="Arial" w:hAnsi="Arial"/>
          <w:sz w:val="22"/>
          <w:lang w:val="es-ES_tradnl"/>
        </w:rPr>
        <w:lastRenderedPageBreak/>
        <w:t>pulmonares obstructivas crónicas), las lesiones profesionales y la exposición a sustancias como el amianto y l</w:t>
      </w:r>
      <w:r w:rsidR="00A72515" w:rsidRPr="00E66241">
        <w:rPr>
          <w:rFonts w:ascii="Arial" w:hAnsi="Arial"/>
          <w:sz w:val="22"/>
          <w:lang w:val="es-ES_tradnl"/>
        </w:rPr>
        <w:t>a</w:t>
      </w:r>
      <w:r w:rsidRPr="00E66241">
        <w:rPr>
          <w:rFonts w:ascii="Arial" w:hAnsi="Arial"/>
          <w:sz w:val="22"/>
          <w:lang w:val="es-ES_tradnl"/>
        </w:rPr>
        <w:t xml:space="preserve"> sílice</w:t>
      </w:r>
      <w:r w:rsidR="004D7CEF" w:rsidRPr="00E66241">
        <w:rPr>
          <w:rFonts w:ascii="Arial" w:hAnsi="Arial"/>
          <w:sz w:val="22"/>
          <w:lang w:val="es-ES_tradnl"/>
        </w:rPr>
        <w:t xml:space="preserve">. </w:t>
      </w:r>
      <w:r w:rsidRPr="00E66241">
        <w:rPr>
          <w:rFonts w:ascii="Arial" w:hAnsi="Arial"/>
          <w:sz w:val="22"/>
          <w:lang w:val="es-ES_tradnl"/>
        </w:rPr>
        <w:t>Si bien las lesiones profesionales representan una parte importante de los años de vida ajustados por discapacidad (AVAD), las enfermedades no transmisibles derivadas de la exposición en el lugar de trabajo son la principal causa de mortalidad.</w:t>
      </w:r>
    </w:p>
    <w:p w14:paraId="520FC360" w14:textId="1F64195B" w:rsidR="0001430F" w:rsidRPr="00E66241" w:rsidRDefault="0001430F" w:rsidP="00B10DD5">
      <w:pPr>
        <w:spacing w:after="360"/>
        <w:jc w:val="left"/>
        <w:rPr>
          <w:rFonts w:ascii="Arial" w:hAnsi="Arial" w:cs="Arial"/>
          <w:sz w:val="22"/>
          <w:szCs w:val="22"/>
          <w:lang w:val="es-ES_tradnl"/>
        </w:rPr>
      </w:pPr>
      <w:r w:rsidRPr="00E66241">
        <w:rPr>
          <w:rFonts w:ascii="Arial" w:hAnsi="Arial"/>
          <w:sz w:val="22"/>
          <w:lang w:val="es-ES_tradnl"/>
        </w:rPr>
        <w:t>Un examen del marco internacional de seguridad y salud en el trabajo ilustra de qué manera la gestión eficaz de la SST exige un planteamiento global, integrado y de mejora constante</w:t>
      </w:r>
      <w:r w:rsidR="004D7CEF" w:rsidRPr="00E66241">
        <w:rPr>
          <w:rFonts w:ascii="Arial" w:hAnsi="Arial"/>
          <w:sz w:val="22"/>
          <w:lang w:val="es-ES_tradnl"/>
        </w:rPr>
        <w:t xml:space="preserve">. </w:t>
      </w:r>
      <w:r w:rsidRPr="00E66241">
        <w:rPr>
          <w:rFonts w:ascii="Arial" w:hAnsi="Arial"/>
          <w:sz w:val="22"/>
          <w:lang w:val="es-ES_tradnl"/>
        </w:rPr>
        <w:t>Esto implica marcos de políticas nacionales sólidos, legislación, supervisión, observancia de ley, recopilación de datos, investigación, consulta y participación de los trabajadores, formación y cooperación internacional</w:t>
      </w:r>
      <w:r w:rsidR="004D7CEF" w:rsidRPr="00E66241">
        <w:rPr>
          <w:rFonts w:ascii="Arial" w:hAnsi="Arial"/>
          <w:sz w:val="22"/>
          <w:lang w:val="es-ES_tradnl"/>
        </w:rPr>
        <w:t xml:space="preserve">. </w:t>
      </w:r>
      <w:r w:rsidRPr="00E66241">
        <w:rPr>
          <w:rFonts w:ascii="Arial" w:hAnsi="Arial"/>
          <w:sz w:val="22"/>
          <w:lang w:val="es-ES_tradnl"/>
        </w:rPr>
        <w:t xml:space="preserve">Si bien los </w:t>
      </w:r>
      <w:r w:rsidRPr="00E66241">
        <w:rPr>
          <w:rFonts w:ascii="Arial" w:hAnsi="Arial"/>
          <w:b/>
          <w:bCs/>
          <w:sz w:val="22"/>
          <w:lang w:val="es-ES_tradnl"/>
        </w:rPr>
        <w:t>marcos internacionales proporcionan orientaciones generales</w:t>
      </w:r>
      <w:r w:rsidRPr="00E66241">
        <w:rPr>
          <w:rFonts w:ascii="Arial" w:hAnsi="Arial"/>
          <w:sz w:val="22"/>
          <w:lang w:val="es-ES_tradnl"/>
        </w:rPr>
        <w:t>, los gobiernos nacionales disponen de un amplio margen para adaptar sus políticas a los contextos locales.</w:t>
      </w:r>
    </w:p>
    <w:p w14:paraId="41C70B1A" w14:textId="06BA8FD2" w:rsidR="0001430F" w:rsidRPr="00E66241" w:rsidRDefault="0001430F" w:rsidP="00E66241">
      <w:pPr>
        <w:pStyle w:val="ListParagraph"/>
        <w:numPr>
          <w:ilvl w:val="0"/>
          <w:numId w:val="57"/>
        </w:numPr>
        <w:tabs>
          <w:tab w:val="left" w:pos="567"/>
        </w:tabs>
        <w:ind w:left="0" w:firstLine="0"/>
        <w:rPr>
          <w:rFonts w:ascii="Arial" w:hAnsi="Arial" w:cs="Arial"/>
          <w:sz w:val="22"/>
          <w:szCs w:val="22"/>
          <w:lang w:val="es-ES_tradnl"/>
        </w:rPr>
      </w:pPr>
      <w:r w:rsidRPr="00E66241">
        <w:rPr>
          <w:rFonts w:ascii="Arial" w:hAnsi="Arial"/>
          <w:b/>
          <w:sz w:val="22"/>
          <w:lang w:val="es-ES_tradnl"/>
        </w:rPr>
        <w:t>La intersección entre la dimensión tecnológica y la PI</w:t>
      </w:r>
    </w:p>
    <w:p w14:paraId="0C01AB08" w14:textId="64F8420F" w:rsidR="0001430F" w:rsidRPr="00E66241" w:rsidRDefault="0001430F" w:rsidP="00480225">
      <w:pPr>
        <w:jc w:val="left"/>
        <w:rPr>
          <w:rFonts w:ascii="Arial" w:hAnsi="Arial" w:cs="Arial"/>
          <w:sz w:val="22"/>
          <w:szCs w:val="22"/>
          <w:lang w:val="es-ES_tradnl"/>
        </w:rPr>
      </w:pPr>
      <w:r w:rsidRPr="00E66241">
        <w:rPr>
          <w:rFonts w:ascii="Arial" w:hAnsi="Arial"/>
          <w:sz w:val="22"/>
          <w:lang w:val="es-ES_tradnl"/>
        </w:rPr>
        <w:t>La tecnología desempeña un doble papel en la SST</w:t>
      </w:r>
      <w:r w:rsidR="004D7CEF" w:rsidRPr="00E66241">
        <w:rPr>
          <w:rFonts w:ascii="Arial" w:hAnsi="Arial"/>
          <w:sz w:val="22"/>
          <w:lang w:val="es-ES_tradnl"/>
        </w:rPr>
        <w:t xml:space="preserve">. </w:t>
      </w:r>
      <w:r w:rsidRPr="00E66241">
        <w:rPr>
          <w:rFonts w:ascii="Arial" w:hAnsi="Arial"/>
          <w:sz w:val="22"/>
          <w:lang w:val="es-ES_tradnl"/>
        </w:rPr>
        <w:t>Si bien puede ser una fuente de riesgos en el lugar de trabajo, también sirve como una herramienta indispensable para predecir, detectar y supervisar los riesgos en el lugar de trabajo, así como para brindar protección contra ellos</w:t>
      </w:r>
      <w:r w:rsidR="004D7CEF" w:rsidRPr="00E66241">
        <w:rPr>
          <w:rFonts w:ascii="Arial" w:hAnsi="Arial"/>
          <w:sz w:val="22"/>
          <w:lang w:val="es-ES_tradnl"/>
        </w:rPr>
        <w:t xml:space="preserve">. </w:t>
      </w:r>
      <w:r w:rsidRPr="00E66241">
        <w:rPr>
          <w:rFonts w:ascii="Arial" w:hAnsi="Arial"/>
          <w:sz w:val="22"/>
          <w:lang w:val="es-ES_tradnl"/>
        </w:rPr>
        <w:t>Aplicando una clasificación de las tecnologías utilizada por la OMPI en un informe paralelo sobre la actividad de patentamiento, el estudio divide las tecnologías pertinentes en tres grandes categorías: predicción (por ejemplo, análisis de riesgos basado en la IA), detección (por ejemplo, monitores de gases tóxicos y detectores de amianto) y protección (por ejemplo, equipos de protección individual (EPI), mecanismos de prevención de caídas y diseño ergonómico de los lugares de trabajo)</w:t>
      </w:r>
      <w:r w:rsidR="004D7CEF" w:rsidRPr="00E66241">
        <w:rPr>
          <w:rFonts w:ascii="Arial" w:hAnsi="Arial"/>
          <w:sz w:val="22"/>
          <w:lang w:val="es-ES_tradnl"/>
        </w:rPr>
        <w:t xml:space="preserve">. </w:t>
      </w:r>
      <w:r w:rsidRPr="00E66241">
        <w:rPr>
          <w:rFonts w:ascii="Arial" w:hAnsi="Arial"/>
          <w:sz w:val="22"/>
          <w:lang w:val="es-ES_tradnl"/>
        </w:rPr>
        <w:t>Sin embargo, la tecnología no es una solución autónoma para la gestión de los riesgos en materia de SST</w:t>
      </w:r>
      <w:r w:rsidR="004D7CEF" w:rsidRPr="00E66241">
        <w:rPr>
          <w:rFonts w:ascii="Arial" w:hAnsi="Arial"/>
          <w:sz w:val="22"/>
          <w:lang w:val="es-ES_tradnl"/>
        </w:rPr>
        <w:t xml:space="preserve">. </w:t>
      </w:r>
      <w:r w:rsidRPr="00E66241">
        <w:rPr>
          <w:rFonts w:ascii="Arial" w:hAnsi="Arial"/>
          <w:sz w:val="22"/>
          <w:lang w:val="es-ES_tradnl"/>
        </w:rPr>
        <w:t>Su eficacia, y por tanto la contribución del sistema de PI, depende de su integración en programas más amplios de gestión de la SST centrados en:</w:t>
      </w:r>
      <w:r w:rsidR="00E66241" w:rsidRPr="00E66241">
        <w:rPr>
          <w:rFonts w:ascii="Arial" w:hAnsi="Arial"/>
          <w:sz w:val="22"/>
          <w:lang w:val="es-ES_tradnl"/>
        </w:rPr>
        <w:t xml:space="preserve"> </w:t>
      </w:r>
      <w:r w:rsidRPr="00E66241">
        <w:rPr>
          <w:rFonts w:ascii="Arial" w:hAnsi="Arial"/>
          <w:sz w:val="22"/>
          <w:lang w:val="es-ES_tradnl"/>
        </w:rPr>
        <w:t>a) la predicción y el seguimiento de los riesgos en el lugar de trabajo; b) las intervenciones para prevenir o minimizar los riesgos; y c) la formación en el uso eficaz de las soluciones tecnológicas</w:t>
      </w:r>
      <w:r w:rsidR="004D7CEF" w:rsidRPr="00E66241">
        <w:rPr>
          <w:rFonts w:ascii="Arial" w:hAnsi="Arial"/>
          <w:sz w:val="22"/>
          <w:lang w:val="es-ES_tradnl"/>
        </w:rPr>
        <w:t xml:space="preserve">. </w:t>
      </w:r>
    </w:p>
    <w:p w14:paraId="370B096E" w14:textId="77777777" w:rsidR="0001430F" w:rsidRPr="00E66241" w:rsidRDefault="0001430F" w:rsidP="00480225">
      <w:pPr>
        <w:jc w:val="left"/>
        <w:rPr>
          <w:rFonts w:ascii="Arial" w:hAnsi="Arial" w:cs="Arial"/>
          <w:sz w:val="22"/>
          <w:szCs w:val="22"/>
          <w:lang w:val="es-ES_tradnl"/>
        </w:rPr>
      </w:pPr>
      <w:r w:rsidRPr="00E66241">
        <w:rPr>
          <w:rFonts w:ascii="Arial" w:hAnsi="Arial"/>
          <w:sz w:val="22"/>
          <w:lang w:val="es-ES_tradnl"/>
        </w:rPr>
        <w:t>Varias categorías de PI pueden contribuir a la gestión de la SST; teniendo en cuenta en particular la dimensión tecnológica, sus funciones pueden resumirse de la siguiente manera:</w:t>
      </w:r>
    </w:p>
    <w:p w14:paraId="3D758B4A" w14:textId="6182A471" w:rsidR="0001430F" w:rsidRPr="00E66241" w:rsidRDefault="0001430F" w:rsidP="00E66241">
      <w:pPr>
        <w:numPr>
          <w:ilvl w:val="0"/>
          <w:numId w:val="54"/>
        </w:numPr>
        <w:tabs>
          <w:tab w:val="clear" w:pos="720"/>
        </w:tabs>
        <w:ind w:left="851" w:hanging="284"/>
        <w:jc w:val="left"/>
        <w:rPr>
          <w:rFonts w:ascii="Arial" w:hAnsi="Arial" w:cs="Arial"/>
          <w:sz w:val="22"/>
          <w:szCs w:val="22"/>
          <w:lang w:val="es-ES_tradnl"/>
        </w:rPr>
      </w:pPr>
      <w:r w:rsidRPr="00E66241">
        <w:rPr>
          <w:rFonts w:ascii="Arial" w:hAnsi="Arial"/>
          <w:sz w:val="22"/>
          <w:lang w:val="es-ES_tradnl"/>
        </w:rPr>
        <w:t xml:space="preserve">Las </w:t>
      </w:r>
      <w:r w:rsidRPr="00E66241">
        <w:rPr>
          <w:rFonts w:ascii="Arial" w:hAnsi="Arial"/>
          <w:b/>
          <w:sz w:val="22"/>
          <w:lang w:val="es-ES_tradnl"/>
        </w:rPr>
        <w:t>patentes</w:t>
      </w:r>
      <w:r w:rsidRPr="00E66241">
        <w:rPr>
          <w:rFonts w:ascii="Arial" w:hAnsi="Arial"/>
          <w:sz w:val="22"/>
          <w:lang w:val="es-ES_tradnl"/>
        </w:rPr>
        <w:t xml:space="preserve"> apoyan la innovación y la difusión de una amplia gama de tecnologías de SST</w:t>
      </w:r>
      <w:r w:rsidR="004D7CEF" w:rsidRPr="00E66241">
        <w:rPr>
          <w:rFonts w:ascii="Arial" w:hAnsi="Arial"/>
          <w:sz w:val="22"/>
          <w:lang w:val="es-ES_tradnl"/>
        </w:rPr>
        <w:t xml:space="preserve">. </w:t>
      </w:r>
      <w:r w:rsidRPr="00E66241">
        <w:rPr>
          <w:rFonts w:ascii="Arial" w:hAnsi="Arial"/>
          <w:sz w:val="22"/>
          <w:lang w:val="es-ES_tradnl"/>
        </w:rPr>
        <w:t>Como vasto repositorio de información técnica, las bases de datos de patentes permiten el análisis del panorama tecnológico, el seguimiento de los nuevos avances y la determinación de posibles soluciones, la evaluación de la libertad de acción y el establecimiento de un marco para la concesión de licencias de la tecnología relacionada con la predicción, el seguimiento y la prevención de riesgos en materia de SST</w:t>
      </w:r>
      <w:r w:rsidR="004D7CEF" w:rsidRPr="00E66241">
        <w:rPr>
          <w:rFonts w:ascii="Arial" w:hAnsi="Arial"/>
          <w:sz w:val="22"/>
          <w:lang w:val="es-ES_tradnl"/>
        </w:rPr>
        <w:t xml:space="preserve">. </w:t>
      </w:r>
      <w:r w:rsidRPr="00E66241">
        <w:rPr>
          <w:rFonts w:ascii="Arial" w:hAnsi="Arial"/>
          <w:sz w:val="22"/>
          <w:lang w:val="es-ES_tradnl"/>
        </w:rPr>
        <w:t>Dado el carácter territorial de los derechos de patente, y teniendo en cuenta las tendencias habituales de la presentación de solicitudes, gran parte de la tecnología patentada pertinente, incluso la más reciente, es de dominio público en muchos países en desarrollo</w:t>
      </w:r>
      <w:r w:rsidR="004D7CEF" w:rsidRPr="00E66241">
        <w:rPr>
          <w:rFonts w:ascii="Arial" w:hAnsi="Arial"/>
          <w:sz w:val="22"/>
          <w:lang w:val="es-ES_tradnl"/>
        </w:rPr>
        <w:t xml:space="preserve">. </w:t>
      </w:r>
      <w:r w:rsidRPr="00E66241">
        <w:rPr>
          <w:rFonts w:ascii="Arial" w:hAnsi="Arial"/>
          <w:sz w:val="22"/>
          <w:lang w:val="es-ES_tradnl"/>
        </w:rPr>
        <w:t xml:space="preserve">El análisis experto de patentes puede ayudar a determinar la libertad de acción respecto de dichas tecnologías. </w:t>
      </w:r>
    </w:p>
    <w:p w14:paraId="616D76EA" w14:textId="5FB1E945" w:rsidR="0001430F" w:rsidRPr="00E66241" w:rsidRDefault="0001430F" w:rsidP="00E66241">
      <w:pPr>
        <w:numPr>
          <w:ilvl w:val="0"/>
          <w:numId w:val="54"/>
        </w:numPr>
        <w:tabs>
          <w:tab w:val="clear" w:pos="720"/>
        </w:tabs>
        <w:ind w:left="851" w:hanging="284"/>
        <w:jc w:val="left"/>
        <w:rPr>
          <w:rFonts w:ascii="Arial" w:hAnsi="Arial" w:cs="Arial"/>
          <w:sz w:val="22"/>
          <w:szCs w:val="22"/>
          <w:lang w:val="es-ES_tradnl"/>
        </w:rPr>
      </w:pPr>
      <w:r w:rsidRPr="00E66241">
        <w:rPr>
          <w:rFonts w:ascii="Arial" w:hAnsi="Arial"/>
          <w:sz w:val="22"/>
          <w:lang w:val="es-ES_tradnl"/>
        </w:rPr>
        <w:t xml:space="preserve">Las </w:t>
      </w:r>
      <w:r w:rsidRPr="00E66241">
        <w:rPr>
          <w:rFonts w:ascii="Arial" w:hAnsi="Arial"/>
          <w:b/>
          <w:sz w:val="22"/>
          <w:lang w:val="es-ES_tradnl"/>
        </w:rPr>
        <w:t>marcas</w:t>
      </w:r>
      <w:r w:rsidRPr="00E66241">
        <w:rPr>
          <w:rFonts w:ascii="Arial" w:hAnsi="Arial"/>
          <w:sz w:val="22"/>
          <w:lang w:val="es-ES_tradnl"/>
        </w:rPr>
        <w:t xml:space="preserve"> y las </w:t>
      </w:r>
      <w:r w:rsidRPr="00E66241">
        <w:rPr>
          <w:rFonts w:ascii="Arial" w:hAnsi="Arial"/>
          <w:b/>
          <w:sz w:val="22"/>
          <w:lang w:val="es-ES_tradnl"/>
        </w:rPr>
        <w:t>marcas de certificación</w:t>
      </w:r>
      <w:r w:rsidRPr="00E66241">
        <w:rPr>
          <w:rFonts w:ascii="Arial" w:hAnsi="Arial"/>
          <w:sz w:val="22"/>
          <w:lang w:val="es-ES_tradnl"/>
        </w:rPr>
        <w:t>, al distinguir los productos y servicios en el mercado, desempeñan un papel importante para garantizar el cumplimiento de las normas de seguridad y calidad</w:t>
      </w:r>
      <w:r w:rsidR="004D7CEF" w:rsidRPr="00E66241">
        <w:rPr>
          <w:rFonts w:ascii="Arial" w:hAnsi="Arial"/>
          <w:sz w:val="22"/>
          <w:lang w:val="es-ES_tradnl"/>
        </w:rPr>
        <w:t xml:space="preserve">. </w:t>
      </w:r>
      <w:r w:rsidRPr="00E66241">
        <w:rPr>
          <w:rFonts w:ascii="Arial" w:hAnsi="Arial"/>
          <w:sz w:val="22"/>
          <w:lang w:val="es-ES_tradnl"/>
        </w:rPr>
        <w:t xml:space="preserve">Las marcas de certificación proporcionan un </w:t>
      </w:r>
      <w:r w:rsidRPr="00E66241">
        <w:rPr>
          <w:rFonts w:ascii="Arial" w:hAnsi="Arial"/>
          <w:sz w:val="22"/>
          <w:lang w:val="es-ES_tradnl"/>
        </w:rPr>
        <w:lastRenderedPageBreak/>
        <w:t>mecanismo directo para que los reguladores y los usuarios verifiquen el cumplimiento de las normas pertinentes en materia de SST y para luchar contra la falsificación</w:t>
      </w:r>
      <w:r w:rsidR="004D7CEF" w:rsidRPr="00E66241">
        <w:rPr>
          <w:rFonts w:ascii="Arial" w:hAnsi="Arial"/>
          <w:sz w:val="22"/>
          <w:lang w:val="es-ES_tradnl"/>
        </w:rPr>
        <w:t xml:space="preserve">. </w:t>
      </w:r>
      <w:r w:rsidRPr="00E66241">
        <w:rPr>
          <w:rFonts w:ascii="Arial" w:hAnsi="Arial"/>
          <w:sz w:val="22"/>
          <w:lang w:val="es-ES_tradnl"/>
        </w:rPr>
        <w:t>Por ejemplo, la conocida norma N95 de protección respiratoria (mascarillas) es objeto de marcas de certificación registradas por la agencia estadounidense NIOSH</w:t>
      </w:r>
      <w:r w:rsidR="004D7CEF" w:rsidRPr="00E66241">
        <w:rPr>
          <w:rFonts w:ascii="Arial" w:hAnsi="Arial"/>
          <w:sz w:val="22"/>
          <w:lang w:val="es-ES_tradnl"/>
        </w:rPr>
        <w:t xml:space="preserve">. </w:t>
      </w:r>
      <w:r w:rsidRPr="00E66241">
        <w:rPr>
          <w:rFonts w:ascii="Arial" w:hAnsi="Arial"/>
          <w:sz w:val="22"/>
          <w:lang w:val="es-ES_tradnl"/>
        </w:rPr>
        <w:t xml:space="preserve">Por otra parte, la marca </w:t>
      </w:r>
      <w:r w:rsidR="004D7CEF" w:rsidRPr="00E66241">
        <w:rPr>
          <w:rFonts w:ascii="Arial" w:hAnsi="Arial"/>
          <w:sz w:val="22"/>
          <w:lang w:val="es-ES_tradnl"/>
        </w:rPr>
        <w:t>“</w:t>
      </w:r>
      <w:r w:rsidRPr="00E66241">
        <w:rPr>
          <w:rFonts w:ascii="Arial" w:hAnsi="Arial"/>
          <w:sz w:val="22"/>
          <w:lang w:val="es-ES_tradnl"/>
        </w:rPr>
        <w:t>Salamatouna</w:t>
      </w:r>
      <w:r w:rsidR="004D7CEF" w:rsidRPr="00E66241">
        <w:rPr>
          <w:rFonts w:ascii="Arial" w:hAnsi="Arial"/>
          <w:sz w:val="22"/>
          <w:lang w:val="es-ES_tradnl"/>
        </w:rPr>
        <w:t>”</w:t>
      </w:r>
      <w:r w:rsidRPr="00E66241">
        <w:rPr>
          <w:rFonts w:ascii="Arial" w:hAnsi="Arial"/>
          <w:sz w:val="22"/>
          <w:lang w:val="es-ES_tradnl"/>
        </w:rPr>
        <w:t xml:space="preserve"> de Marruecos constituye un estudio de caso pertinente sobre el uso de marcas de certificación para la lucha contra la falsificación y, por tanto, para mejorar la seguridad y la trazabilidad.</w:t>
      </w:r>
    </w:p>
    <w:p w14:paraId="3F77D177" w14:textId="38793F8C" w:rsidR="0001430F" w:rsidRPr="00E66241" w:rsidRDefault="0001430F" w:rsidP="00E66241">
      <w:pPr>
        <w:numPr>
          <w:ilvl w:val="0"/>
          <w:numId w:val="54"/>
        </w:numPr>
        <w:tabs>
          <w:tab w:val="clear" w:pos="720"/>
        </w:tabs>
        <w:spacing w:before="240"/>
        <w:ind w:left="851" w:hanging="284"/>
        <w:jc w:val="left"/>
        <w:rPr>
          <w:rFonts w:ascii="Arial" w:hAnsi="Arial" w:cs="Arial"/>
          <w:sz w:val="22"/>
          <w:szCs w:val="22"/>
          <w:lang w:val="es-ES_tradnl"/>
        </w:rPr>
      </w:pPr>
      <w:r w:rsidRPr="00E66241">
        <w:rPr>
          <w:rFonts w:ascii="Arial" w:hAnsi="Arial"/>
          <w:sz w:val="22"/>
          <w:lang w:val="es-ES_tradnl"/>
        </w:rPr>
        <w:t xml:space="preserve">La </w:t>
      </w:r>
      <w:r w:rsidRPr="00E66241">
        <w:rPr>
          <w:rFonts w:ascii="Arial" w:hAnsi="Arial"/>
          <w:b/>
          <w:sz w:val="22"/>
          <w:lang w:val="es-ES_tradnl"/>
        </w:rPr>
        <w:t>represión de la competencia desleal</w:t>
      </w:r>
      <w:r w:rsidRPr="00E66241">
        <w:rPr>
          <w:rFonts w:ascii="Arial" w:hAnsi="Arial"/>
          <w:sz w:val="22"/>
          <w:lang w:val="es-ES_tradnl"/>
        </w:rPr>
        <w:t>, que complementa la legislación sobre marcas, proporciona medios para emprender acciones legales contra las prácticas comerciales engañosas y otras prácticas comerciales deshonestas, incluido el engaño al consumidor, proporcionando un mecanismo para hacer frente a las afirmaciones falsas o engañosas sobre la seguridad y el cumplimiento de las normas cuando se trata de productos, como una herramienta o un EPI, que se utilizan en el lugar de trabajo</w:t>
      </w:r>
      <w:r w:rsidR="004D7CEF" w:rsidRPr="00E66241">
        <w:rPr>
          <w:rFonts w:ascii="Arial" w:hAnsi="Arial"/>
          <w:sz w:val="22"/>
          <w:lang w:val="es-ES_tradnl"/>
        </w:rPr>
        <w:t xml:space="preserve">. </w:t>
      </w:r>
      <w:r w:rsidRPr="00E66241">
        <w:rPr>
          <w:rFonts w:ascii="Arial" w:hAnsi="Arial"/>
          <w:sz w:val="22"/>
          <w:lang w:val="es-ES_tradnl"/>
        </w:rPr>
        <w:t xml:space="preserve">Los campos superpuestos de la </w:t>
      </w:r>
      <w:r w:rsidRPr="00E66241">
        <w:rPr>
          <w:rFonts w:ascii="Arial" w:hAnsi="Arial"/>
          <w:b/>
          <w:sz w:val="22"/>
          <w:lang w:val="es-ES_tradnl"/>
        </w:rPr>
        <w:t>información confidencial</w:t>
      </w:r>
      <w:r w:rsidRPr="00E66241">
        <w:rPr>
          <w:rFonts w:ascii="Arial" w:hAnsi="Arial"/>
          <w:sz w:val="22"/>
          <w:lang w:val="es-ES_tradnl"/>
        </w:rPr>
        <w:t xml:space="preserve"> y la </w:t>
      </w:r>
      <w:r w:rsidRPr="00E66241">
        <w:rPr>
          <w:rFonts w:ascii="Arial" w:hAnsi="Arial"/>
          <w:b/>
          <w:sz w:val="22"/>
          <w:lang w:val="es-ES_tradnl"/>
        </w:rPr>
        <w:t>confidencialidad de los datos</w:t>
      </w:r>
      <w:r w:rsidRPr="00E66241">
        <w:rPr>
          <w:rFonts w:ascii="Arial" w:hAnsi="Arial"/>
          <w:sz w:val="22"/>
          <w:lang w:val="es-ES_tradnl"/>
        </w:rPr>
        <w:t xml:space="preserve"> pueden entrar en juego dada la necesidad de protección y respeto de determinada información sensible que puede recopilarse en el curso de la supervisión de los fenómenos de SST en el lugar de trabajo. </w:t>
      </w:r>
    </w:p>
    <w:p w14:paraId="3AB205AE" w14:textId="5732B7F3" w:rsidR="0001430F" w:rsidRPr="00E66241" w:rsidRDefault="0001430F" w:rsidP="00E66241">
      <w:pPr>
        <w:pStyle w:val="ListParagraph"/>
        <w:numPr>
          <w:ilvl w:val="0"/>
          <w:numId w:val="57"/>
        </w:numPr>
        <w:tabs>
          <w:tab w:val="left" w:pos="567"/>
        </w:tabs>
        <w:ind w:left="0" w:firstLine="0"/>
        <w:rPr>
          <w:rFonts w:ascii="Arial" w:hAnsi="Arial" w:cs="Arial"/>
          <w:b/>
          <w:bCs/>
          <w:sz w:val="22"/>
          <w:szCs w:val="22"/>
          <w:lang w:val="es-ES_tradnl"/>
        </w:rPr>
      </w:pPr>
      <w:r w:rsidRPr="00E66241">
        <w:rPr>
          <w:rFonts w:ascii="Arial" w:hAnsi="Arial"/>
          <w:b/>
          <w:sz w:val="22"/>
          <w:lang w:val="es-ES_tradnl"/>
        </w:rPr>
        <w:t xml:space="preserve">Conclusiones prácticas </w:t>
      </w:r>
    </w:p>
    <w:p w14:paraId="5A90B728" w14:textId="77777777" w:rsidR="0001430F" w:rsidRPr="00E66241" w:rsidRDefault="0001430F" w:rsidP="00E66241">
      <w:pPr>
        <w:numPr>
          <w:ilvl w:val="0"/>
          <w:numId w:val="54"/>
        </w:numPr>
        <w:tabs>
          <w:tab w:val="clear" w:pos="720"/>
        </w:tabs>
        <w:ind w:left="851" w:hanging="284"/>
        <w:jc w:val="left"/>
        <w:rPr>
          <w:rFonts w:ascii="Arial" w:hAnsi="Arial"/>
          <w:sz w:val="22"/>
          <w:lang w:val="es-ES_tradnl"/>
        </w:rPr>
      </w:pPr>
      <w:r w:rsidRPr="00E66241">
        <w:rPr>
          <w:rFonts w:ascii="Arial" w:hAnsi="Arial"/>
          <w:sz w:val="22"/>
          <w:lang w:val="es-ES_tradnl"/>
        </w:rPr>
        <w:t>Las herramientas de PI y la formación deben integrarse en la gestión de la SST en vez de tratarse como temas separados.</w:t>
      </w:r>
    </w:p>
    <w:p w14:paraId="7CCF564A" w14:textId="426BAADA" w:rsidR="0001430F" w:rsidRPr="00E66241" w:rsidRDefault="0001430F" w:rsidP="00E66241">
      <w:pPr>
        <w:numPr>
          <w:ilvl w:val="0"/>
          <w:numId w:val="54"/>
        </w:numPr>
        <w:tabs>
          <w:tab w:val="clear" w:pos="720"/>
        </w:tabs>
        <w:ind w:left="851" w:hanging="284"/>
        <w:jc w:val="left"/>
        <w:rPr>
          <w:rFonts w:ascii="Arial" w:hAnsi="Arial"/>
          <w:sz w:val="22"/>
          <w:lang w:val="es-ES_tradnl"/>
        </w:rPr>
      </w:pPr>
      <w:r w:rsidRPr="00E66241">
        <w:rPr>
          <w:rFonts w:ascii="Arial" w:hAnsi="Arial"/>
          <w:sz w:val="22"/>
          <w:lang w:val="es-ES_tradnl"/>
        </w:rPr>
        <w:t>Las bases de datos de patentes son fuentes valiosas para detectar las tecnologías de SST existentes y emergentes, muchas de las cuales pueden ser ya de dominio público en los países en desarrollo</w:t>
      </w:r>
      <w:r w:rsidR="004D7CEF" w:rsidRPr="00E66241">
        <w:rPr>
          <w:rFonts w:ascii="Arial" w:hAnsi="Arial"/>
          <w:sz w:val="22"/>
          <w:lang w:val="es-ES_tradnl"/>
        </w:rPr>
        <w:t xml:space="preserve">. </w:t>
      </w:r>
      <w:r w:rsidRPr="00E66241">
        <w:rPr>
          <w:rFonts w:ascii="Arial" w:hAnsi="Arial"/>
          <w:sz w:val="22"/>
          <w:lang w:val="es-ES_tradnl"/>
        </w:rPr>
        <w:t>La formación de las partes interesadas (por medio de programas como los CATI de la OMPI) en el uso de la información sobre patentes aumentará su valor para la SST</w:t>
      </w:r>
      <w:r w:rsidR="004D7CEF" w:rsidRPr="00E66241">
        <w:rPr>
          <w:rFonts w:ascii="Arial" w:hAnsi="Arial"/>
          <w:sz w:val="22"/>
          <w:lang w:val="es-ES_tradnl"/>
        </w:rPr>
        <w:t xml:space="preserve">. </w:t>
      </w:r>
      <w:r w:rsidRPr="00E66241">
        <w:rPr>
          <w:rFonts w:ascii="Arial" w:hAnsi="Arial"/>
          <w:sz w:val="22"/>
          <w:lang w:val="es-ES_tradnl"/>
        </w:rPr>
        <w:t xml:space="preserve">Los propios programas de SST pueden dar origen a invenciones patentables, lo que plantea la posibilidad de gestionar las carteras de PI resultantes. </w:t>
      </w:r>
    </w:p>
    <w:p w14:paraId="392E5024" w14:textId="7F6D9BD2" w:rsidR="0001430F" w:rsidRPr="00E66241" w:rsidRDefault="0001430F" w:rsidP="00E66241">
      <w:pPr>
        <w:numPr>
          <w:ilvl w:val="0"/>
          <w:numId w:val="54"/>
        </w:numPr>
        <w:tabs>
          <w:tab w:val="clear" w:pos="720"/>
        </w:tabs>
        <w:ind w:left="851" w:hanging="284"/>
        <w:jc w:val="left"/>
        <w:rPr>
          <w:rFonts w:ascii="Arial" w:hAnsi="Arial"/>
          <w:sz w:val="22"/>
          <w:lang w:val="es-ES_tradnl"/>
        </w:rPr>
      </w:pPr>
      <w:r w:rsidRPr="00E66241">
        <w:rPr>
          <w:rFonts w:ascii="Arial" w:hAnsi="Arial"/>
          <w:sz w:val="22"/>
          <w:lang w:val="es-ES_tradnl"/>
        </w:rPr>
        <w:t>Las marcas de certificación son herramientas poderosas para verificar el cumplimiento de las normas de SST (como las normas sobre los EPI) y generar confianza</w:t>
      </w:r>
      <w:r w:rsidR="004D7CEF" w:rsidRPr="00E66241">
        <w:rPr>
          <w:rFonts w:ascii="Arial" w:hAnsi="Arial"/>
          <w:sz w:val="22"/>
          <w:lang w:val="es-ES_tradnl"/>
        </w:rPr>
        <w:t xml:space="preserve">. </w:t>
      </w:r>
      <w:r w:rsidRPr="00E66241">
        <w:rPr>
          <w:rFonts w:ascii="Arial" w:hAnsi="Arial"/>
          <w:sz w:val="22"/>
          <w:lang w:val="es-ES_tradnl"/>
        </w:rPr>
        <w:t>Los organismos nacionales de normalización y las oficinas de PI pueden colaborar para promover su uso</w:t>
      </w:r>
      <w:r w:rsidR="004D7CEF" w:rsidRPr="00E66241">
        <w:rPr>
          <w:rFonts w:ascii="Arial" w:hAnsi="Arial"/>
          <w:sz w:val="22"/>
          <w:lang w:val="es-ES_tradnl"/>
        </w:rPr>
        <w:t>.</w:t>
      </w:r>
      <w:r w:rsidR="00E66241" w:rsidRPr="00E66241">
        <w:rPr>
          <w:rFonts w:ascii="Arial" w:hAnsi="Arial"/>
          <w:sz w:val="22"/>
          <w:lang w:val="es-ES_tradnl"/>
        </w:rPr>
        <w:t xml:space="preserve"> </w:t>
      </w:r>
    </w:p>
    <w:p w14:paraId="40C54746" w14:textId="0E5C1442" w:rsidR="0001430F" w:rsidRPr="00E66241" w:rsidRDefault="0001430F" w:rsidP="00E66241">
      <w:pPr>
        <w:numPr>
          <w:ilvl w:val="0"/>
          <w:numId w:val="54"/>
        </w:numPr>
        <w:tabs>
          <w:tab w:val="clear" w:pos="720"/>
        </w:tabs>
        <w:ind w:left="851" w:hanging="284"/>
        <w:jc w:val="left"/>
        <w:rPr>
          <w:rFonts w:ascii="Arial" w:hAnsi="Arial"/>
          <w:sz w:val="22"/>
          <w:lang w:val="es-ES_tradnl"/>
        </w:rPr>
      </w:pPr>
      <w:r w:rsidRPr="00E66241">
        <w:rPr>
          <w:rFonts w:ascii="Arial" w:hAnsi="Arial"/>
          <w:sz w:val="22"/>
          <w:lang w:val="es-ES_tradnl"/>
        </w:rPr>
        <w:t>Los productos de imitación fraudulenta, de calidad inferior o falsificados (EPI, herramientas, materiales) plantean graves riesgos para la SST</w:t>
      </w:r>
      <w:r w:rsidR="004D7CEF" w:rsidRPr="00E66241">
        <w:rPr>
          <w:rFonts w:ascii="Arial" w:hAnsi="Arial"/>
          <w:sz w:val="22"/>
          <w:lang w:val="es-ES_tradnl"/>
        </w:rPr>
        <w:t xml:space="preserve">. </w:t>
      </w:r>
      <w:r w:rsidRPr="00E66241">
        <w:rPr>
          <w:rFonts w:ascii="Arial" w:hAnsi="Arial"/>
          <w:sz w:val="22"/>
          <w:lang w:val="es-ES_tradnl"/>
        </w:rPr>
        <w:t xml:space="preserve">Abordar esta cuestión exige un enfoque pluridimensional: </w:t>
      </w:r>
    </w:p>
    <w:p w14:paraId="6B4C2C3B" w14:textId="31B1BD3A" w:rsidR="0001430F" w:rsidRPr="00E66241" w:rsidRDefault="0001430F" w:rsidP="00E66241">
      <w:pPr>
        <w:numPr>
          <w:ilvl w:val="1"/>
          <w:numId w:val="55"/>
        </w:numPr>
        <w:tabs>
          <w:tab w:val="clear" w:pos="1440"/>
        </w:tabs>
        <w:ind w:left="1276" w:hanging="283"/>
        <w:jc w:val="left"/>
        <w:rPr>
          <w:rFonts w:ascii="Arial" w:hAnsi="Arial" w:cs="Arial"/>
          <w:sz w:val="22"/>
          <w:szCs w:val="22"/>
          <w:lang w:val="es-ES_tradnl"/>
        </w:rPr>
      </w:pPr>
      <w:r w:rsidRPr="00E66241">
        <w:rPr>
          <w:rFonts w:ascii="Arial" w:hAnsi="Arial"/>
          <w:sz w:val="22"/>
          <w:lang w:val="es-ES_tradnl"/>
        </w:rPr>
        <w:t>Sensibilización y formación:</w:t>
      </w:r>
      <w:r w:rsidR="00E66241" w:rsidRPr="00E66241">
        <w:rPr>
          <w:rFonts w:ascii="Arial" w:hAnsi="Arial"/>
          <w:sz w:val="22"/>
          <w:lang w:val="es-ES_tradnl"/>
        </w:rPr>
        <w:t xml:space="preserve"> </w:t>
      </w:r>
      <w:r w:rsidRPr="00E66241">
        <w:rPr>
          <w:rFonts w:ascii="Arial" w:hAnsi="Arial"/>
          <w:sz w:val="22"/>
          <w:lang w:val="es-ES_tradnl"/>
        </w:rPr>
        <w:t xml:space="preserve">Educar a los responsables de compras, directivos y trabajadores para que reconozcan los signos de falsificación (etiquetado o embalaje deficientes, números incoherentes, certificación inexistente o no válida, calidad de fabricación o funcionalidad deficientes). </w:t>
      </w:r>
    </w:p>
    <w:p w14:paraId="6449D189" w14:textId="72EBA115" w:rsidR="0001430F" w:rsidRPr="00E66241" w:rsidRDefault="0001430F" w:rsidP="00E66241">
      <w:pPr>
        <w:numPr>
          <w:ilvl w:val="1"/>
          <w:numId w:val="55"/>
        </w:numPr>
        <w:tabs>
          <w:tab w:val="clear" w:pos="1440"/>
        </w:tabs>
        <w:ind w:left="1276" w:hanging="283"/>
        <w:jc w:val="left"/>
        <w:rPr>
          <w:rFonts w:ascii="Arial" w:hAnsi="Arial" w:cs="Arial"/>
          <w:sz w:val="22"/>
          <w:szCs w:val="22"/>
          <w:lang w:val="es-ES_tradnl"/>
        </w:rPr>
      </w:pPr>
      <w:r w:rsidRPr="00E66241">
        <w:rPr>
          <w:rFonts w:ascii="Arial" w:hAnsi="Arial"/>
          <w:sz w:val="22"/>
          <w:lang w:val="es-ES_tradnl"/>
        </w:rPr>
        <w:t>Diligencia debida:</w:t>
      </w:r>
      <w:r w:rsidR="00E66241" w:rsidRPr="00E66241">
        <w:rPr>
          <w:rFonts w:ascii="Arial" w:hAnsi="Arial"/>
          <w:sz w:val="22"/>
          <w:lang w:val="es-ES_tradnl"/>
        </w:rPr>
        <w:t xml:space="preserve"> </w:t>
      </w:r>
      <w:r w:rsidRPr="00E66241">
        <w:rPr>
          <w:rFonts w:ascii="Arial" w:hAnsi="Arial"/>
          <w:sz w:val="22"/>
          <w:lang w:val="es-ES_tradnl"/>
        </w:rPr>
        <w:t>Integrar los controles de autenticidad y conformidad en los sistemas de gestión de la contratación y la SST</w:t>
      </w:r>
      <w:r w:rsidR="004D7CEF" w:rsidRPr="00E66241">
        <w:rPr>
          <w:rFonts w:ascii="Arial" w:hAnsi="Arial"/>
          <w:sz w:val="22"/>
          <w:lang w:val="es-ES_tradnl"/>
        </w:rPr>
        <w:t>.</w:t>
      </w:r>
      <w:r w:rsidR="00E66241" w:rsidRPr="00E66241">
        <w:rPr>
          <w:rFonts w:ascii="Arial" w:hAnsi="Arial"/>
          <w:sz w:val="22"/>
          <w:lang w:val="es-ES_tradnl"/>
        </w:rPr>
        <w:t xml:space="preserve"> </w:t>
      </w:r>
    </w:p>
    <w:p w14:paraId="7EF86994" w14:textId="49526FC0" w:rsidR="0001430F" w:rsidRPr="00E66241" w:rsidRDefault="0001430F" w:rsidP="00E66241">
      <w:pPr>
        <w:numPr>
          <w:ilvl w:val="1"/>
          <w:numId w:val="55"/>
        </w:numPr>
        <w:tabs>
          <w:tab w:val="clear" w:pos="1440"/>
        </w:tabs>
        <w:ind w:left="1276" w:hanging="283"/>
        <w:jc w:val="left"/>
        <w:rPr>
          <w:rFonts w:ascii="Arial" w:hAnsi="Arial" w:cs="Arial"/>
          <w:sz w:val="22"/>
          <w:szCs w:val="22"/>
          <w:lang w:val="es-ES_tradnl"/>
        </w:rPr>
      </w:pPr>
      <w:r w:rsidRPr="00E66241">
        <w:rPr>
          <w:rFonts w:ascii="Arial" w:hAnsi="Arial"/>
          <w:sz w:val="22"/>
          <w:lang w:val="es-ES_tradnl"/>
        </w:rPr>
        <w:lastRenderedPageBreak/>
        <w:t>Cooperación interinstitucional:</w:t>
      </w:r>
      <w:r w:rsidR="00E66241" w:rsidRPr="00E66241">
        <w:rPr>
          <w:rFonts w:ascii="Arial" w:hAnsi="Arial"/>
          <w:sz w:val="22"/>
          <w:lang w:val="es-ES_tradnl"/>
        </w:rPr>
        <w:t xml:space="preserve"> </w:t>
      </w:r>
      <w:r w:rsidRPr="00E66241">
        <w:rPr>
          <w:rFonts w:ascii="Arial" w:hAnsi="Arial"/>
          <w:sz w:val="22"/>
          <w:lang w:val="es-ES_tradnl"/>
        </w:rPr>
        <w:t>Mejorar la colaboración entre los reguladores en materia de SST, las oficinas de PI, las aduanas, la policía y los organismos de normalización</w:t>
      </w:r>
      <w:r w:rsidR="004D7CEF" w:rsidRPr="00E66241">
        <w:rPr>
          <w:rFonts w:ascii="Arial" w:hAnsi="Arial"/>
          <w:sz w:val="22"/>
          <w:lang w:val="es-ES_tradnl"/>
        </w:rPr>
        <w:t>.</w:t>
      </w:r>
      <w:r w:rsidR="00E66241" w:rsidRPr="00E66241">
        <w:rPr>
          <w:rFonts w:ascii="Arial" w:hAnsi="Arial"/>
          <w:sz w:val="22"/>
          <w:lang w:val="es-ES_tradnl"/>
        </w:rPr>
        <w:t xml:space="preserve"> </w:t>
      </w:r>
    </w:p>
    <w:p w14:paraId="1AF759CA" w14:textId="2052989B" w:rsidR="0001430F" w:rsidRPr="00E66241" w:rsidRDefault="0001430F" w:rsidP="00E66241">
      <w:pPr>
        <w:numPr>
          <w:ilvl w:val="1"/>
          <w:numId w:val="55"/>
        </w:numPr>
        <w:tabs>
          <w:tab w:val="clear" w:pos="1440"/>
        </w:tabs>
        <w:ind w:left="1276" w:hanging="283"/>
        <w:jc w:val="left"/>
        <w:rPr>
          <w:rFonts w:ascii="Arial" w:hAnsi="Arial" w:cs="Arial"/>
          <w:sz w:val="22"/>
          <w:szCs w:val="22"/>
          <w:lang w:val="es-ES_tradnl"/>
        </w:rPr>
      </w:pPr>
      <w:r w:rsidRPr="00E66241">
        <w:rPr>
          <w:rFonts w:ascii="Arial" w:hAnsi="Arial"/>
          <w:sz w:val="22"/>
          <w:lang w:val="es-ES_tradnl"/>
        </w:rPr>
        <w:t>Utilizar la aplicación de las marcas y las marcas de certificación, las medidas en frontera y la legislación sobre competencia desleal de forma complementaria para garantizar la vigilancia y reprimir las falsificaciones que puedan causar riesgos para la SST.</w:t>
      </w:r>
    </w:p>
    <w:p w14:paraId="1E3C5A26" w14:textId="74668139" w:rsidR="0001430F" w:rsidRPr="00E66241" w:rsidRDefault="0001430F" w:rsidP="00E66241">
      <w:pPr>
        <w:numPr>
          <w:ilvl w:val="0"/>
          <w:numId w:val="54"/>
        </w:numPr>
        <w:tabs>
          <w:tab w:val="clear" w:pos="720"/>
        </w:tabs>
        <w:ind w:left="851" w:hanging="284"/>
        <w:jc w:val="left"/>
        <w:rPr>
          <w:rFonts w:ascii="Arial" w:hAnsi="Arial" w:cs="Arial"/>
          <w:sz w:val="22"/>
          <w:szCs w:val="22"/>
          <w:lang w:val="es-ES_tradnl"/>
        </w:rPr>
      </w:pPr>
      <w:r w:rsidRPr="00E66241">
        <w:rPr>
          <w:rFonts w:ascii="Arial" w:hAnsi="Arial"/>
          <w:sz w:val="22"/>
          <w:lang w:val="es-ES_tradnl"/>
        </w:rPr>
        <w:t>La sensibilización y los conocimientos prácticos en materia de PI (uso de información sobre patentes, uso de marcas y marcas de certificación, medidas de respuesta frente a los productos falsificados) deberían integrarse en los programas existentes de formación y sensibilización sobre la SST que ya son obligatorios en muchos países</w:t>
      </w:r>
      <w:r w:rsidR="004D7CEF" w:rsidRPr="00E66241">
        <w:rPr>
          <w:rFonts w:ascii="Arial" w:hAnsi="Arial"/>
          <w:sz w:val="22"/>
          <w:lang w:val="es-ES_tradnl"/>
        </w:rPr>
        <w:t xml:space="preserve">. </w:t>
      </w:r>
      <w:r w:rsidRPr="00E66241">
        <w:rPr>
          <w:rFonts w:ascii="Arial" w:hAnsi="Arial"/>
          <w:sz w:val="22"/>
          <w:lang w:val="es-ES_tradnl"/>
        </w:rPr>
        <w:t>Esto garantizará una mayor pertinencia y eficacia, en vez de abordar la PI como un ámbito especializado que debe considerarse de forma aislada</w:t>
      </w:r>
      <w:r w:rsidR="004D7CEF" w:rsidRPr="00E66241">
        <w:rPr>
          <w:rFonts w:ascii="Arial" w:hAnsi="Arial"/>
          <w:sz w:val="22"/>
          <w:lang w:val="es-ES_tradnl"/>
        </w:rPr>
        <w:t xml:space="preserve">. </w:t>
      </w:r>
      <w:r w:rsidRPr="00E66241">
        <w:rPr>
          <w:rFonts w:ascii="Arial" w:hAnsi="Arial"/>
          <w:sz w:val="22"/>
          <w:lang w:val="es-ES_tradnl"/>
        </w:rPr>
        <w:t>Los programas y materiales de formación y sensibilización de carácter general pueden adaptarse para este fin, pero con un contenido a medida para públicos específicos según las funciones que desempeñan (por ejemplo, responsables políticos, autoridades normativas, directivos de empresas y trabajadores) y de los sectores clave que experimentan niveles significativos de riesgo en materia de SST (por ejemplo, agricultura, construcción, industria manufacturera)</w:t>
      </w:r>
      <w:r w:rsidR="004D7CEF" w:rsidRPr="00E66241">
        <w:rPr>
          <w:rFonts w:ascii="Arial" w:hAnsi="Arial"/>
          <w:sz w:val="22"/>
          <w:lang w:val="es-ES_tradnl"/>
        </w:rPr>
        <w:t xml:space="preserve">. </w:t>
      </w:r>
      <w:r w:rsidRPr="00E66241">
        <w:rPr>
          <w:rFonts w:ascii="Arial" w:hAnsi="Arial"/>
          <w:sz w:val="22"/>
          <w:lang w:val="es-ES_tradnl"/>
        </w:rPr>
        <w:t>La mejor forma de lograrlo es mediante estudios de casos concretos y ejemplos que pongan de relieve las aplicaciones prácticas de la PI en la SST, reforzando su pertinencia y efectos.</w:t>
      </w:r>
    </w:p>
    <w:p w14:paraId="20E8F0AE" w14:textId="1F69A4DB" w:rsidR="0001430F" w:rsidRPr="00E66241" w:rsidRDefault="0001430F" w:rsidP="00E66241">
      <w:pPr>
        <w:pStyle w:val="ListParagraph"/>
        <w:numPr>
          <w:ilvl w:val="0"/>
          <w:numId w:val="57"/>
        </w:numPr>
        <w:tabs>
          <w:tab w:val="left" w:pos="567"/>
        </w:tabs>
        <w:ind w:left="0" w:firstLine="0"/>
        <w:rPr>
          <w:rFonts w:ascii="Arial" w:hAnsi="Arial" w:cs="Arial"/>
          <w:sz w:val="22"/>
          <w:szCs w:val="22"/>
          <w:lang w:val="es-ES_tradnl"/>
        </w:rPr>
      </w:pPr>
      <w:r w:rsidRPr="00E66241">
        <w:rPr>
          <w:rFonts w:ascii="Arial" w:hAnsi="Arial"/>
          <w:b/>
          <w:sz w:val="22"/>
          <w:lang w:val="es-ES_tradnl"/>
        </w:rPr>
        <w:t>Recomendaciones:</w:t>
      </w:r>
    </w:p>
    <w:p w14:paraId="23660227" w14:textId="674028BD" w:rsidR="0001430F" w:rsidRPr="00E66241" w:rsidRDefault="0001430F" w:rsidP="00E66241">
      <w:pPr>
        <w:numPr>
          <w:ilvl w:val="0"/>
          <w:numId w:val="56"/>
        </w:numPr>
        <w:tabs>
          <w:tab w:val="clear" w:pos="720"/>
        </w:tabs>
        <w:ind w:left="851" w:hanging="284"/>
        <w:jc w:val="left"/>
        <w:rPr>
          <w:rFonts w:ascii="Arial" w:hAnsi="Arial" w:cs="Arial"/>
          <w:sz w:val="22"/>
          <w:szCs w:val="22"/>
          <w:lang w:val="es-ES_tradnl"/>
        </w:rPr>
      </w:pPr>
      <w:r w:rsidRPr="00E66241">
        <w:rPr>
          <w:rFonts w:ascii="Arial" w:hAnsi="Arial"/>
          <w:b/>
          <w:sz w:val="22"/>
          <w:lang w:val="es-ES_tradnl"/>
        </w:rPr>
        <w:t>Adoptar un enfoque integrado y recíproco:</w:t>
      </w:r>
      <w:r w:rsidR="00E66241" w:rsidRPr="00E66241">
        <w:rPr>
          <w:rFonts w:ascii="Arial" w:hAnsi="Arial"/>
          <w:sz w:val="22"/>
          <w:lang w:val="es-ES_tradnl"/>
        </w:rPr>
        <w:t xml:space="preserve"> </w:t>
      </w:r>
      <w:r w:rsidRPr="00E66241">
        <w:rPr>
          <w:rFonts w:ascii="Arial" w:hAnsi="Arial"/>
          <w:sz w:val="22"/>
          <w:lang w:val="es-ES_tradnl"/>
        </w:rPr>
        <w:t>Fomentar vínculos más sólidos y prácticos entre los ámbitos de la SST y la PI</w:t>
      </w:r>
      <w:r w:rsidR="004D7CEF" w:rsidRPr="00E66241">
        <w:rPr>
          <w:rFonts w:ascii="Arial" w:hAnsi="Arial"/>
          <w:sz w:val="22"/>
          <w:lang w:val="es-ES_tradnl"/>
        </w:rPr>
        <w:t xml:space="preserve">. </w:t>
      </w:r>
      <w:r w:rsidRPr="00E66241">
        <w:rPr>
          <w:rFonts w:ascii="Arial" w:hAnsi="Arial"/>
          <w:sz w:val="22"/>
          <w:lang w:val="es-ES_tradnl"/>
        </w:rPr>
        <w:t>Integrar la sensibilización sobre la PI en los programas de SST, y las consideraciones de SST en la formación y las políticas en materia de PI.</w:t>
      </w:r>
    </w:p>
    <w:p w14:paraId="1B6D5BD3" w14:textId="5FB4BF71" w:rsidR="0001430F" w:rsidRPr="00E66241" w:rsidRDefault="0001430F" w:rsidP="00E66241">
      <w:pPr>
        <w:numPr>
          <w:ilvl w:val="0"/>
          <w:numId w:val="56"/>
        </w:numPr>
        <w:tabs>
          <w:tab w:val="clear" w:pos="720"/>
        </w:tabs>
        <w:ind w:left="851" w:hanging="284"/>
        <w:jc w:val="left"/>
        <w:rPr>
          <w:rFonts w:ascii="Arial" w:hAnsi="Arial" w:cs="Arial"/>
          <w:sz w:val="22"/>
          <w:szCs w:val="22"/>
          <w:lang w:val="es-ES_tradnl"/>
        </w:rPr>
      </w:pPr>
      <w:r w:rsidRPr="00E66241">
        <w:rPr>
          <w:rFonts w:ascii="Arial" w:hAnsi="Arial"/>
          <w:b/>
          <w:sz w:val="22"/>
          <w:lang w:val="es-ES_tradnl"/>
        </w:rPr>
        <w:t>Velar por la alineación con los programas de SST existentes:</w:t>
      </w:r>
      <w:r w:rsidR="00E66241" w:rsidRPr="00E66241">
        <w:rPr>
          <w:rFonts w:ascii="Arial" w:hAnsi="Arial"/>
          <w:sz w:val="22"/>
          <w:lang w:val="es-ES_tradnl"/>
        </w:rPr>
        <w:t xml:space="preserve"> </w:t>
      </w:r>
      <w:r w:rsidRPr="00E66241">
        <w:rPr>
          <w:rFonts w:ascii="Arial" w:hAnsi="Arial"/>
          <w:sz w:val="22"/>
          <w:lang w:val="es-ES_tradnl"/>
        </w:rPr>
        <w:t>Alinear las iniciativas relacionadas con la PI con los marcos nacionales e internacionales existentes en materia de SST (según el modelo de la Estrategia Global de la OIT) y utilizar las estructuras existentes de comunicación, formación y consulta para garantizar la pertinencia y la eficacia</w:t>
      </w:r>
      <w:r w:rsidR="004D7CEF" w:rsidRPr="00E66241">
        <w:rPr>
          <w:rFonts w:ascii="Arial" w:hAnsi="Arial"/>
          <w:sz w:val="22"/>
          <w:lang w:val="es-ES_tradnl"/>
        </w:rPr>
        <w:t xml:space="preserve">. </w:t>
      </w:r>
      <w:r w:rsidRPr="00E66241">
        <w:rPr>
          <w:rFonts w:ascii="Arial" w:hAnsi="Arial"/>
          <w:sz w:val="22"/>
          <w:lang w:val="es-ES_tradnl"/>
        </w:rPr>
        <w:t xml:space="preserve">Hacer hincapié en la participación de los trabajadores. </w:t>
      </w:r>
    </w:p>
    <w:p w14:paraId="4D687655" w14:textId="7A60BBAF" w:rsidR="0001430F" w:rsidRPr="00E66241" w:rsidRDefault="0001430F" w:rsidP="00E66241">
      <w:pPr>
        <w:numPr>
          <w:ilvl w:val="0"/>
          <w:numId w:val="56"/>
        </w:numPr>
        <w:tabs>
          <w:tab w:val="clear" w:pos="720"/>
        </w:tabs>
        <w:ind w:left="851" w:hanging="284"/>
        <w:jc w:val="left"/>
        <w:rPr>
          <w:rFonts w:ascii="Arial" w:hAnsi="Arial" w:cs="Arial"/>
          <w:sz w:val="22"/>
          <w:szCs w:val="22"/>
          <w:lang w:val="es-ES_tradnl"/>
        </w:rPr>
      </w:pPr>
      <w:r w:rsidRPr="00E66241">
        <w:rPr>
          <w:rFonts w:ascii="Arial" w:hAnsi="Arial"/>
          <w:b/>
          <w:sz w:val="22"/>
          <w:lang w:val="es-ES_tradnl"/>
        </w:rPr>
        <w:t>Elaborar contenidos sobre PI adaptados a la formación en SST:</w:t>
      </w:r>
      <w:r w:rsidR="00E66241" w:rsidRPr="00E66241">
        <w:rPr>
          <w:rFonts w:ascii="Arial" w:hAnsi="Arial"/>
          <w:sz w:val="22"/>
          <w:lang w:val="es-ES_tradnl"/>
        </w:rPr>
        <w:t xml:space="preserve"> </w:t>
      </w:r>
      <w:r w:rsidRPr="00E66241">
        <w:rPr>
          <w:rFonts w:ascii="Arial" w:hAnsi="Arial"/>
          <w:sz w:val="22"/>
          <w:lang w:val="es-ES_tradnl"/>
        </w:rPr>
        <w:t>Adaptar los materiales de formación en materia de PI de la OMPI y de otras fuentes (información sobre patentes, licencias y transferencia de tecnología, acceso a materiales de dominio público, marcas de certificación y medidas contra la falsificación) mediante la incorporación de contextos, ejemplos y estudios de casos específicos de SST, a fin de que sean pertinentes para los destinatarios y los sectores de alto riesgo, como la agricultura, la construcción, la industria manufacturera y la minería, que emplean a un gran número de trabajadores en los países piloto.</w:t>
      </w:r>
    </w:p>
    <w:p w14:paraId="3B907C10" w14:textId="4D5E4902" w:rsidR="0001430F" w:rsidRPr="00E66241" w:rsidRDefault="0001430F" w:rsidP="00E66241">
      <w:pPr>
        <w:numPr>
          <w:ilvl w:val="0"/>
          <w:numId w:val="56"/>
        </w:numPr>
        <w:tabs>
          <w:tab w:val="clear" w:pos="720"/>
        </w:tabs>
        <w:ind w:left="851" w:hanging="284"/>
        <w:jc w:val="left"/>
        <w:rPr>
          <w:rFonts w:ascii="Arial" w:hAnsi="Arial" w:cs="Arial"/>
          <w:sz w:val="22"/>
          <w:szCs w:val="22"/>
          <w:lang w:val="es-ES_tradnl"/>
        </w:rPr>
      </w:pPr>
      <w:r w:rsidRPr="00E66241">
        <w:rPr>
          <w:rFonts w:ascii="Arial" w:hAnsi="Arial"/>
          <w:b/>
          <w:sz w:val="22"/>
          <w:lang w:val="es-ES_tradnl"/>
        </w:rPr>
        <w:lastRenderedPageBreak/>
        <w:t>Promover la coordinación interinstitucional:</w:t>
      </w:r>
      <w:r w:rsidR="00E66241" w:rsidRPr="00E66241">
        <w:rPr>
          <w:rFonts w:ascii="Arial" w:hAnsi="Arial"/>
          <w:sz w:val="22"/>
          <w:lang w:val="es-ES_tradnl"/>
        </w:rPr>
        <w:t xml:space="preserve"> </w:t>
      </w:r>
      <w:r w:rsidRPr="00E66241">
        <w:rPr>
          <w:rFonts w:ascii="Arial" w:hAnsi="Arial"/>
          <w:sz w:val="22"/>
          <w:lang w:val="es-ES_tradnl"/>
        </w:rPr>
        <w:t>Fortalecer la colaboración a nivel nacional e internacional entre las autoridades de SST, las oficinas de PI, los organismos de normalización, las aduanas, la policía, las asociaciones industriales y los representantes de los trabajadores.</w:t>
      </w:r>
    </w:p>
    <w:p w14:paraId="30F43BD8" w14:textId="7E3175C3" w:rsidR="0001430F" w:rsidRPr="00E66241" w:rsidRDefault="0001430F" w:rsidP="00E66241">
      <w:pPr>
        <w:numPr>
          <w:ilvl w:val="0"/>
          <w:numId w:val="56"/>
        </w:numPr>
        <w:tabs>
          <w:tab w:val="clear" w:pos="720"/>
        </w:tabs>
        <w:ind w:left="851" w:hanging="284"/>
        <w:jc w:val="left"/>
        <w:rPr>
          <w:rFonts w:ascii="Arial" w:hAnsi="Arial" w:cs="Arial"/>
          <w:sz w:val="22"/>
          <w:szCs w:val="22"/>
          <w:lang w:val="es-ES_tradnl"/>
        </w:rPr>
      </w:pPr>
      <w:r w:rsidRPr="00E66241">
        <w:rPr>
          <w:rFonts w:ascii="Arial" w:hAnsi="Arial"/>
          <w:b/>
          <w:sz w:val="22"/>
          <w:lang w:val="es-ES_tradnl"/>
        </w:rPr>
        <w:t>Integrar la dimensión de la PI en la gestión de la SST:</w:t>
      </w:r>
      <w:r w:rsidR="00E66241" w:rsidRPr="00E66241">
        <w:rPr>
          <w:rFonts w:ascii="Arial" w:hAnsi="Arial"/>
          <w:sz w:val="22"/>
          <w:lang w:val="es-ES_tradnl"/>
        </w:rPr>
        <w:t xml:space="preserve"> </w:t>
      </w:r>
      <w:r w:rsidRPr="00E66241">
        <w:rPr>
          <w:rFonts w:ascii="Arial" w:hAnsi="Arial"/>
          <w:sz w:val="22"/>
          <w:lang w:val="es-ES_tradnl"/>
        </w:rPr>
        <w:t>Integrar las herramientas de PI en el marco más amplio de los objetivos de la SST, evitando los programas de PI independientes cuando la integración sea más eficaz</w:t>
      </w:r>
      <w:r w:rsidR="004D7CEF" w:rsidRPr="00E66241">
        <w:rPr>
          <w:rFonts w:ascii="Arial" w:hAnsi="Arial"/>
          <w:sz w:val="22"/>
          <w:lang w:val="es-ES_tradnl"/>
        </w:rPr>
        <w:t xml:space="preserve">. </w:t>
      </w:r>
      <w:r w:rsidRPr="00E66241">
        <w:rPr>
          <w:rFonts w:ascii="Arial" w:hAnsi="Arial"/>
          <w:sz w:val="22"/>
          <w:lang w:val="es-ES_tradnl"/>
        </w:rPr>
        <w:t>Elaborar módulos especializados en PI para impartir formaciones específicas. (por ejemplo, búsqueda de patentes, uso de marcas de certificación)</w:t>
      </w:r>
      <w:r w:rsidR="004D7CEF" w:rsidRPr="00E66241">
        <w:rPr>
          <w:rFonts w:ascii="Arial" w:hAnsi="Arial"/>
          <w:sz w:val="22"/>
          <w:lang w:val="es-ES_tradnl"/>
        </w:rPr>
        <w:t>.</w:t>
      </w:r>
      <w:r w:rsidR="00E66241" w:rsidRPr="00E66241">
        <w:rPr>
          <w:rFonts w:ascii="Arial" w:hAnsi="Arial"/>
          <w:sz w:val="22"/>
          <w:lang w:val="es-ES_tradnl"/>
        </w:rPr>
        <w:t xml:space="preserve"> </w:t>
      </w:r>
    </w:p>
    <w:p w14:paraId="24A892A1" w14:textId="77777777" w:rsidR="0001430F" w:rsidRPr="00E66241" w:rsidRDefault="0001430F" w:rsidP="00E66241">
      <w:pPr>
        <w:numPr>
          <w:ilvl w:val="0"/>
          <w:numId w:val="56"/>
        </w:numPr>
        <w:tabs>
          <w:tab w:val="clear" w:pos="720"/>
        </w:tabs>
        <w:ind w:left="851" w:hanging="284"/>
        <w:jc w:val="left"/>
        <w:rPr>
          <w:rFonts w:ascii="Arial" w:hAnsi="Arial" w:cs="Arial"/>
          <w:sz w:val="22"/>
          <w:szCs w:val="22"/>
          <w:lang w:val="es-ES_tradnl"/>
        </w:rPr>
      </w:pPr>
      <w:r w:rsidRPr="00E66241">
        <w:rPr>
          <w:rFonts w:ascii="Arial" w:hAnsi="Arial"/>
          <w:b/>
          <w:sz w:val="22"/>
          <w:lang w:val="es-ES_tradnl"/>
        </w:rPr>
        <w:t xml:space="preserve">Desarrollar y </w:t>
      </w:r>
      <w:r w:rsidRPr="00E66241">
        <w:rPr>
          <w:rFonts w:ascii="Arial" w:hAnsi="Arial"/>
          <w:sz w:val="22"/>
          <w:lang w:val="es-ES_tradnl"/>
        </w:rPr>
        <w:t>promover</w:t>
      </w:r>
      <w:r w:rsidRPr="00E66241">
        <w:rPr>
          <w:rFonts w:ascii="Arial" w:hAnsi="Arial"/>
          <w:b/>
          <w:sz w:val="22"/>
          <w:lang w:val="es-ES_tradnl"/>
        </w:rPr>
        <w:t xml:space="preserve"> herramientas específicas de PI para la SST</w:t>
      </w:r>
      <w:r w:rsidRPr="00E66241">
        <w:rPr>
          <w:rFonts w:ascii="Arial" w:hAnsi="Arial"/>
          <w:sz w:val="22"/>
          <w:lang w:val="es-ES_tradnl"/>
        </w:rPr>
        <w:t xml:space="preserve"> </w:t>
      </w:r>
    </w:p>
    <w:p w14:paraId="720DF710" w14:textId="1EDDA318" w:rsidR="0001430F" w:rsidRPr="00E66241" w:rsidRDefault="0001430F" w:rsidP="00E66241">
      <w:pPr>
        <w:numPr>
          <w:ilvl w:val="1"/>
          <w:numId w:val="56"/>
        </w:numPr>
        <w:tabs>
          <w:tab w:val="clear" w:pos="1440"/>
        </w:tabs>
        <w:ind w:left="1134" w:hanging="283"/>
        <w:jc w:val="left"/>
        <w:rPr>
          <w:rFonts w:ascii="Arial" w:hAnsi="Arial" w:cs="Arial"/>
          <w:sz w:val="22"/>
          <w:szCs w:val="22"/>
          <w:lang w:val="es-ES_tradnl"/>
        </w:rPr>
      </w:pPr>
      <w:r w:rsidRPr="00E66241">
        <w:rPr>
          <w:rFonts w:ascii="Arial" w:hAnsi="Arial"/>
          <w:b/>
          <w:sz w:val="22"/>
          <w:lang w:val="es-ES_tradnl"/>
        </w:rPr>
        <w:t>Vigilancia tecnológica:</w:t>
      </w:r>
      <w:r w:rsidR="00E66241" w:rsidRPr="00E66241">
        <w:rPr>
          <w:rFonts w:ascii="Arial" w:hAnsi="Arial"/>
          <w:sz w:val="22"/>
          <w:lang w:val="es-ES_tradnl"/>
        </w:rPr>
        <w:t xml:space="preserve"> </w:t>
      </w:r>
      <w:r w:rsidRPr="00E66241">
        <w:rPr>
          <w:rFonts w:ascii="Arial" w:hAnsi="Arial"/>
          <w:sz w:val="22"/>
          <w:lang w:val="es-ES_tradnl"/>
        </w:rPr>
        <w:t>Impartir formación a los especialistas pertinentes sobre el uso de la información en materia de patentes, incluso con el apoyo de los CATI de la OMPI.</w:t>
      </w:r>
    </w:p>
    <w:p w14:paraId="1CCC1315" w14:textId="56EE77F6" w:rsidR="0001430F" w:rsidRPr="00E66241" w:rsidRDefault="0001430F" w:rsidP="00E66241">
      <w:pPr>
        <w:numPr>
          <w:ilvl w:val="1"/>
          <w:numId w:val="56"/>
        </w:numPr>
        <w:tabs>
          <w:tab w:val="clear" w:pos="1440"/>
        </w:tabs>
        <w:ind w:left="1134" w:hanging="283"/>
        <w:jc w:val="left"/>
        <w:rPr>
          <w:rFonts w:ascii="Arial" w:hAnsi="Arial" w:cs="Arial"/>
          <w:sz w:val="22"/>
          <w:szCs w:val="22"/>
          <w:lang w:val="es-ES_tradnl"/>
        </w:rPr>
      </w:pPr>
      <w:r w:rsidRPr="00E66241">
        <w:rPr>
          <w:rFonts w:ascii="Arial" w:hAnsi="Arial"/>
          <w:b/>
          <w:sz w:val="22"/>
          <w:lang w:val="es-ES_tradnl"/>
        </w:rPr>
        <w:t>Adquirir tecnología:</w:t>
      </w:r>
      <w:r w:rsidR="00E66241" w:rsidRPr="00E66241">
        <w:rPr>
          <w:rFonts w:ascii="Arial" w:hAnsi="Arial"/>
          <w:sz w:val="22"/>
          <w:lang w:val="es-ES_tradnl"/>
        </w:rPr>
        <w:t xml:space="preserve"> </w:t>
      </w:r>
      <w:r w:rsidRPr="00E66241">
        <w:rPr>
          <w:rFonts w:ascii="Arial" w:hAnsi="Arial"/>
          <w:sz w:val="22"/>
          <w:lang w:val="es-ES_tradnl"/>
        </w:rPr>
        <w:t>Adaptar las herramientas y orientaciones existentes sobre el análisis de riesgo de infracción de patentes y la negociación de licencias con ejemplos específicos de SST, reconociendo el carácter de dominio público de muchas tecnologías en los países en desarrollo.</w:t>
      </w:r>
    </w:p>
    <w:p w14:paraId="5C04C041" w14:textId="790AE2E4" w:rsidR="0001430F" w:rsidRPr="00E66241" w:rsidRDefault="0001430F" w:rsidP="00E66241">
      <w:pPr>
        <w:numPr>
          <w:ilvl w:val="1"/>
          <w:numId w:val="56"/>
        </w:numPr>
        <w:tabs>
          <w:tab w:val="clear" w:pos="1440"/>
        </w:tabs>
        <w:ind w:left="1134" w:hanging="283"/>
        <w:jc w:val="left"/>
        <w:rPr>
          <w:rFonts w:ascii="Arial" w:hAnsi="Arial" w:cs="Arial"/>
          <w:sz w:val="22"/>
          <w:szCs w:val="22"/>
          <w:lang w:val="es-ES_tradnl"/>
        </w:rPr>
      </w:pPr>
      <w:r w:rsidRPr="00E66241">
        <w:rPr>
          <w:rFonts w:ascii="Arial" w:hAnsi="Arial"/>
          <w:b/>
          <w:sz w:val="22"/>
          <w:lang w:val="es-ES_tradnl"/>
        </w:rPr>
        <w:t>Gestionar la innovación:</w:t>
      </w:r>
      <w:r w:rsidR="00E66241" w:rsidRPr="00E66241">
        <w:rPr>
          <w:rFonts w:ascii="Arial" w:hAnsi="Arial"/>
          <w:sz w:val="22"/>
          <w:lang w:val="es-ES_tradnl"/>
        </w:rPr>
        <w:t xml:space="preserve"> </w:t>
      </w:r>
      <w:r w:rsidRPr="00E66241">
        <w:rPr>
          <w:rFonts w:ascii="Arial" w:hAnsi="Arial"/>
          <w:sz w:val="22"/>
          <w:lang w:val="es-ES_tradnl"/>
        </w:rPr>
        <w:t>Aplicar las políticas de gestión de la PI existentes en las empresas y las instituciones educativas o de investigación para que abarquen las innovaciones en materia de SST desarrolladas internamente.</w:t>
      </w:r>
    </w:p>
    <w:p w14:paraId="3D505D39" w14:textId="2C6830B0" w:rsidR="0001430F" w:rsidRPr="00E66241" w:rsidRDefault="0001430F" w:rsidP="00E66241">
      <w:pPr>
        <w:numPr>
          <w:ilvl w:val="0"/>
          <w:numId w:val="56"/>
        </w:numPr>
        <w:tabs>
          <w:tab w:val="clear" w:pos="720"/>
        </w:tabs>
        <w:ind w:left="851" w:hanging="284"/>
        <w:jc w:val="left"/>
        <w:rPr>
          <w:rFonts w:ascii="Arial" w:hAnsi="Arial" w:cs="Arial"/>
          <w:sz w:val="22"/>
          <w:szCs w:val="22"/>
          <w:lang w:val="es-ES_tradnl"/>
        </w:rPr>
      </w:pPr>
      <w:r w:rsidRPr="00E66241">
        <w:rPr>
          <w:rFonts w:ascii="Arial" w:hAnsi="Arial"/>
          <w:b/>
          <w:sz w:val="22"/>
          <w:lang w:val="es-ES_tradnl"/>
        </w:rPr>
        <w:t>Prevenir y combatir la falsificación:</w:t>
      </w:r>
      <w:r w:rsidR="00E66241" w:rsidRPr="00E66241">
        <w:rPr>
          <w:rFonts w:ascii="Arial" w:hAnsi="Arial"/>
          <w:sz w:val="22"/>
          <w:lang w:val="es-ES_tradnl"/>
        </w:rPr>
        <w:t xml:space="preserve"> </w:t>
      </w:r>
      <w:r w:rsidRPr="00E66241">
        <w:rPr>
          <w:rFonts w:ascii="Arial" w:hAnsi="Arial"/>
          <w:sz w:val="22"/>
          <w:lang w:val="es-ES_tradnl"/>
        </w:rPr>
        <w:t xml:space="preserve">Aplicar medidas específicas en materia de sensibilización, formación y observancia en relación con los productos de imitación fraudulenta, de calidad inferior o falsificados que afecten a la SST. </w:t>
      </w:r>
    </w:p>
    <w:p w14:paraId="4F1524DB" w14:textId="77777777" w:rsidR="0001430F" w:rsidRPr="00E66241" w:rsidRDefault="0001430F" w:rsidP="00E66241">
      <w:pPr>
        <w:numPr>
          <w:ilvl w:val="1"/>
          <w:numId w:val="56"/>
        </w:numPr>
        <w:tabs>
          <w:tab w:val="clear" w:pos="1440"/>
        </w:tabs>
        <w:ind w:left="1134" w:hanging="283"/>
        <w:jc w:val="left"/>
        <w:rPr>
          <w:rFonts w:ascii="Arial" w:hAnsi="Arial" w:cs="Arial"/>
          <w:sz w:val="22"/>
          <w:szCs w:val="22"/>
          <w:lang w:val="es-ES_tradnl"/>
        </w:rPr>
      </w:pPr>
      <w:r w:rsidRPr="00E66241">
        <w:rPr>
          <w:rFonts w:ascii="Arial" w:hAnsi="Arial"/>
          <w:sz w:val="22"/>
          <w:lang w:val="es-ES_tradnl"/>
        </w:rPr>
        <w:t>Integrar los controles en la gestión de la SST y la contratación.</w:t>
      </w:r>
    </w:p>
    <w:p w14:paraId="7933B488" w14:textId="77777777" w:rsidR="0001430F" w:rsidRPr="00E66241" w:rsidRDefault="0001430F" w:rsidP="00E66241">
      <w:pPr>
        <w:numPr>
          <w:ilvl w:val="1"/>
          <w:numId w:val="56"/>
        </w:numPr>
        <w:tabs>
          <w:tab w:val="clear" w:pos="1440"/>
        </w:tabs>
        <w:ind w:left="1134" w:hanging="283"/>
        <w:jc w:val="left"/>
        <w:rPr>
          <w:rFonts w:ascii="Arial" w:hAnsi="Arial" w:cs="Arial"/>
          <w:sz w:val="22"/>
          <w:szCs w:val="22"/>
          <w:lang w:val="es-ES_tradnl"/>
        </w:rPr>
      </w:pPr>
      <w:r w:rsidRPr="00E66241">
        <w:rPr>
          <w:rFonts w:ascii="Arial" w:hAnsi="Arial"/>
          <w:sz w:val="22"/>
          <w:lang w:val="es-ES_tradnl"/>
        </w:rPr>
        <w:t>Impartir formación a los agentes clave (aduanas, directivos, trabajadores) para detectar las señales de alarma (etiquetado deficiente, certificación defectuosa, incoherencias con la documentación).</w:t>
      </w:r>
    </w:p>
    <w:p w14:paraId="0F6086E3" w14:textId="1F0E5F35" w:rsidR="00B31B8B" w:rsidRPr="00E66241" w:rsidRDefault="0001430F" w:rsidP="00E66241">
      <w:pPr>
        <w:numPr>
          <w:ilvl w:val="1"/>
          <w:numId w:val="56"/>
        </w:numPr>
        <w:tabs>
          <w:tab w:val="clear" w:pos="1440"/>
        </w:tabs>
        <w:ind w:left="1134" w:hanging="283"/>
        <w:jc w:val="left"/>
        <w:rPr>
          <w:rFonts w:ascii="Arial" w:hAnsi="Arial" w:cs="Arial"/>
          <w:sz w:val="22"/>
          <w:szCs w:val="22"/>
          <w:lang w:val="es-ES_tradnl"/>
        </w:rPr>
      </w:pPr>
      <w:r w:rsidRPr="00E66241">
        <w:rPr>
          <w:rFonts w:ascii="Arial" w:hAnsi="Arial"/>
          <w:sz w:val="22"/>
          <w:lang w:val="es-ES_tradnl"/>
        </w:rPr>
        <w:t>Promover el uso de marcas de certificación por parte de las autoridades normativas.</w:t>
      </w:r>
    </w:p>
    <w:p w14:paraId="50328E4C" w14:textId="5F4CE072" w:rsidR="00B31B8B" w:rsidRPr="00E66241" w:rsidRDefault="00B31B8B" w:rsidP="00E66241">
      <w:pPr>
        <w:spacing w:after="600" w:line="240" w:lineRule="auto"/>
        <w:ind w:right="-896"/>
        <w:jc w:val="left"/>
        <w:rPr>
          <w:lang w:val="es-ES_tradnl"/>
        </w:rPr>
      </w:pPr>
      <w:r w:rsidRPr="00E66241">
        <w:rPr>
          <w:rFonts w:ascii="Arial" w:hAnsi="Arial"/>
          <w:sz w:val="22"/>
          <w:lang w:val="es-ES_tradnl"/>
        </w:rPr>
        <w:t>El estudio exploratorio completo está disponible en:</w:t>
      </w:r>
      <w:r w:rsidR="00E66241" w:rsidRPr="00E66241">
        <w:rPr>
          <w:rFonts w:ascii="Arial" w:hAnsi="Arial"/>
          <w:sz w:val="22"/>
          <w:lang w:val="es-ES_tradnl"/>
        </w:rPr>
        <w:t xml:space="preserve"> </w:t>
      </w:r>
      <w:hyperlink r:id="rId11" w:history="1">
        <w:r w:rsidRPr="00E66241">
          <w:rPr>
            <w:rStyle w:val="Hyperlink"/>
            <w:rFonts w:ascii="Arial" w:hAnsi="Arial"/>
            <w:sz w:val="22"/>
            <w:lang w:val="es-ES_tradnl"/>
          </w:rPr>
          <w:t>https://dacatalogue.wipo.int/projects/DA_1_10_19_30_31_45_1</w:t>
        </w:r>
      </w:hyperlink>
    </w:p>
    <w:p w14:paraId="2C70EB56" w14:textId="6EA51317" w:rsidR="00611484" w:rsidRPr="00E66241" w:rsidRDefault="00611484" w:rsidP="00E66241">
      <w:pPr>
        <w:pStyle w:val="Endofdocument"/>
        <w:rPr>
          <w:rFonts w:cs="Arial"/>
          <w:szCs w:val="22"/>
          <w:lang w:val="es-ES_tradnl"/>
        </w:rPr>
      </w:pPr>
      <w:r w:rsidRPr="00E66241">
        <w:rPr>
          <w:lang w:val="es-ES_tradnl"/>
        </w:rPr>
        <w:t>[Fin del Anexo y del documento]</w:t>
      </w:r>
    </w:p>
    <w:sectPr w:rsidR="00611484" w:rsidRPr="00E66241" w:rsidSect="0000453E">
      <w:headerReference w:type="first" r:id="rId12"/>
      <w:pgSz w:w="11906" w:h="16838"/>
      <w:pgMar w:top="1440" w:right="1440" w:bottom="1440" w:left="1440" w:header="510" w:footer="10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CB4E3" w14:textId="77777777" w:rsidR="0036179B" w:rsidRDefault="0036179B" w:rsidP="00A5623F">
      <w:r>
        <w:separator/>
      </w:r>
    </w:p>
  </w:endnote>
  <w:endnote w:type="continuationSeparator" w:id="0">
    <w:p w14:paraId="155DB900" w14:textId="77777777" w:rsidR="0036179B" w:rsidRDefault="0036179B" w:rsidP="00A5623F">
      <w:r>
        <w:continuationSeparator/>
      </w:r>
    </w:p>
  </w:endnote>
  <w:endnote w:type="continuationNotice" w:id="1">
    <w:p w14:paraId="4F76ADA2" w14:textId="77777777" w:rsidR="0036179B" w:rsidRDefault="003617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0EA60" w14:textId="77777777" w:rsidR="0036179B" w:rsidRDefault="0036179B" w:rsidP="00A5623F">
      <w:r>
        <w:separator/>
      </w:r>
    </w:p>
  </w:footnote>
  <w:footnote w:type="continuationSeparator" w:id="0">
    <w:p w14:paraId="35B428A0" w14:textId="77777777" w:rsidR="0036179B" w:rsidRDefault="0036179B" w:rsidP="00A5623F">
      <w:r>
        <w:continuationSeparator/>
      </w:r>
    </w:p>
  </w:footnote>
  <w:footnote w:type="continuationNotice" w:id="1">
    <w:p w14:paraId="6EBE13FE" w14:textId="77777777" w:rsidR="0036179B" w:rsidRDefault="003617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7870B" w14:textId="65B9FD2A" w:rsidR="00480225" w:rsidRPr="00E66241" w:rsidRDefault="00480225" w:rsidP="00480225">
    <w:pPr>
      <w:spacing w:after="0" w:line="240" w:lineRule="auto"/>
      <w:jc w:val="right"/>
      <w:rPr>
        <w:rFonts w:ascii="Arial" w:hAnsi="Arial" w:cs="Arial"/>
        <w:caps/>
        <w:sz w:val="22"/>
        <w:szCs w:val="22"/>
      </w:rPr>
    </w:pPr>
    <w:bookmarkStart w:id="5" w:name="Code2"/>
    <w:bookmarkEnd w:id="5"/>
    <w:r w:rsidRPr="00E66241">
      <w:rPr>
        <w:rFonts w:ascii="Arial" w:hAnsi="Arial" w:cs="Arial"/>
        <w:caps/>
        <w:sz w:val="22"/>
        <w:szCs w:val="22"/>
      </w:rPr>
      <w:t>CDIP/34/INF/4</w:t>
    </w:r>
  </w:p>
  <w:p w14:paraId="58383FE6" w14:textId="77777777" w:rsidR="00480225" w:rsidRPr="00E66241" w:rsidRDefault="00480225" w:rsidP="00A90ACD">
    <w:pPr>
      <w:spacing w:after="0" w:line="240" w:lineRule="auto"/>
      <w:jc w:val="right"/>
      <w:rPr>
        <w:rFonts w:ascii="Arial" w:hAnsi="Arial" w:cs="Arial"/>
        <w:sz w:val="22"/>
        <w:szCs w:val="22"/>
      </w:rPr>
    </w:pPr>
    <w:r w:rsidRPr="00E66241">
      <w:rPr>
        <w:rFonts w:ascii="Arial" w:hAnsi="Arial" w:cs="Arial"/>
        <w:sz w:val="22"/>
        <w:szCs w:val="22"/>
      </w:rPr>
      <w:t xml:space="preserve">Anexo, página </w:t>
    </w:r>
    <w:r w:rsidRPr="00E66241">
      <w:rPr>
        <w:rFonts w:ascii="Arial" w:hAnsi="Arial" w:cs="Arial"/>
        <w:sz w:val="22"/>
        <w:szCs w:val="22"/>
      </w:rPr>
      <w:fldChar w:fldCharType="begin"/>
    </w:r>
    <w:r w:rsidRPr="00E66241">
      <w:rPr>
        <w:rFonts w:ascii="Arial" w:hAnsi="Arial" w:cs="Arial"/>
        <w:sz w:val="22"/>
        <w:szCs w:val="22"/>
      </w:rPr>
      <w:instrText xml:space="preserve"> PAGE  \* MERGEFORMAT </w:instrText>
    </w:r>
    <w:r w:rsidRPr="00E66241">
      <w:rPr>
        <w:rFonts w:ascii="Arial" w:hAnsi="Arial" w:cs="Arial"/>
        <w:sz w:val="22"/>
        <w:szCs w:val="22"/>
      </w:rPr>
      <w:fldChar w:fldCharType="separate"/>
    </w:r>
    <w:r w:rsidRPr="00E66241">
      <w:rPr>
        <w:rFonts w:ascii="Arial" w:hAnsi="Arial" w:cs="Arial"/>
        <w:sz w:val="22"/>
        <w:szCs w:val="22"/>
      </w:rPr>
      <w:t>2</w:t>
    </w:r>
    <w:r w:rsidRPr="00E66241">
      <w:rPr>
        <w:rFonts w:ascii="Arial" w:hAnsi="Arial" w:cs="Arial"/>
        <w:sz w:val="22"/>
        <w:szCs w:val="22"/>
      </w:rPr>
      <w:fldChar w:fldCharType="end"/>
    </w:r>
  </w:p>
  <w:p w14:paraId="4C633190" w14:textId="77777777" w:rsidR="00480225" w:rsidRPr="00E66241" w:rsidRDefault="00480225" w:rsidP="00872712">
    <w:pPr>
      <w:spacing w:after="0" w:line="240" w:lineRule="auto"/>
      <w:jc w:val="right"/>
      <w:rPr>
        <w:rFonts w:ascii="Arial" w:hAnsi="Arial" w:cs="Arial"/>
        <w:cap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E586D" w14:textId="77777777" w:rsidR="00A90ACD" w:rsidRPr="00872712" w:rsidRDefault="00A90ACD" w:rsidP="00A90ACD">
    <w:pPr>
      <w:pStyle w:val="Header"/>
      <w:jc w:val="right"/>
      <w:rPr>
        <w:rFonts w:ascii="Arial" w:hAnsi="Arial" w:cs="Arial"/>
        <w:sz w:val="22"/>
        <w:szCs w:val="22"/>
      </w:rPr>
    </w:pPr>
    <w:r>
      <w:rPr>
        <w:rFonts w:ascii="Arial" w:hAnsi="Arial"/>
        <w:sz w:val="22"/>
      </w:rPr>
      <w:t>CDIP/34/INF/4</w:t>
    </w:r>
  </w:p>
  <w:p w14:paraId="25B31049" w14:textId="77777777" w:rsidR="00A90ACD" w:rsidRPr="00872712" w:rsidRDefault="00A90ACD" w:rsidP="00A90ACD">
    <w:pPr>
      <w:pStyle w:val="Header"/>
      <w:jc w:val="right"/>
      <w:rPr>
        <w:rFonts w:ascii="Arial" w:hAnsi="Arial" w:cs="Arial"/>
        <w:sz w:val="22"/>
        <w:szCs w:val="22"/>
      </w:rPr>
    </w:pPr>
    <w:r>
      <w:rPr>
        <w:rFonts w:ascii="Arial" w:hAnsi="Arial"/>
        <w:sz w:val="22"/>
      </w:rPr>
      <w:t>ANEXO</w:t>
    </w:r>
  </w:p>
  <w:p w14:paraId="61848D52" w14:textId="77777777" w:rsidR="00A90ACD" w:rsidRPr="00A90ACD" w:rsidRDefault="00A90ACD" w:rsidP="00A90A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F0594"/>
    <w:multiLevelType w:val="hybridMultilevel"/>
    <w:tmpl w:val="79C88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D31090"/>
    <w:multiLevelType w:val="multilevel"/>
    <w:tmpl w:val="0D9E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04CE0"/>
    <w:multiLevelType w:val="hybridMultilevel"/>
    <w:tmpl w:val="9F7A73D4"/>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Aptos" w:eastAsiaTheme="minorHAnsi" w:hAnsi="Aptos" w:cstheme="minorBidi"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98B4B16"/>
    <w:multiLevelType w:val="multilevel"/>
    <w:tmpl w:val="468E0DA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004E98"/>
    <w:multiLevelType w:val="multilevel"/>
    <w:tmpl w:val="CBFC2626"/>
    <w:lvl w:ilvl="0">
      <w:start w:val="1"/>
      <w:numFmt w:val="lowerRoman"/>
      <w:lvlText w:val="%1."/>
      <w:lvlJc w:val="righ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CF556C"/>
    <w:multiLevelType w:val="hybridMultilevel"/>
    <w:tmpl w:val="95D6D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0C792D"/>
    <w:multiLevelType w:val="hybridMultilevel"/>
    <w:tmpl w:val="07663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1F560B"/>
    <w:multiLevelType w:val="hybridMultilevel"/>
    <w:tmpl w:val="C3CE3C6E"/>
    <w:lvl w:ilvl="0" w:tplc="CE123BF0">
      <w:start w:val="1"/>
      <w:numFmt w:val="decimal"/>
      <w:lvlText w:val="%1."/>
      <w:lvlJc w:val="left"/>
      <w:pPr>
        <w:ind w:left="720" w:hanging="360"/>
      </w:pPr>
      <w:rPr>
        <w:rFonts w:ascii="Arial" w:hAnsi="Arial" w:cs="Arial" w:hint="default"/>
        <w:i/>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859DB"/>
    <w:multiLevelType w:val="hybridMultilevel"/>
    <w:tmpl w:val="F9168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210892"/>
    <w:multiLevelType w:val="hybridMultilevel"/>
    <w:tmpl w:val="07C0B466"/>
    <w:lvl w:ilvl="0" w:tplc="33E43FC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7C6DF6"/>
    <w:multiLevelType w:val="hybridMultilevel"/>
    <w:tmpl w:val="66A2F0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AE91213"/>
    <w:multiLevelType w:val="hybridMultilevel"/>
    <w:tmpl w:val="45E8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2568EC"/>
    <w:multiLevelType w:val="hybridMultilevel"/>
    <w:tmpl w:val="F48C5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202E4375"/>
    <w:multiLevelType w:val="hybridMultilevel"/>
    <w:tmpl w:val="5CAA7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EB1F89"/>
    <w:multiLevelType w:val="multilevel"/>
    <w:tmpl w:val="8642319C"/>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0B5F6B"/>
    <w:multiLevelType w:val="hybridMultilevel"/>
    <w:tmpl w:val="180A9C64"/>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3E840FD"/>
    <w:multiLevelType w:val="hybridMultilevel"/>
    <w:tmpl w:val="CDC0E578"/>
    <w:lvl w:ilvl="0" w:tplc="33E43FC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A500F9"/>
    <w:multiLevelType w:val="hybridMultilevel"/>
    <w:tmpl w:val="17DEE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BB27BCF"/>
    <w:multiLevelType w:val="hybridMultilevel"/>
    <w:tmpl w:val="F88473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F24C67"/>
    <w:multiLevelType w:val="multilevel"/>
    <w:tmpl w:val="C3CE6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EF19A0"/>
    <w:multiLevelType w:val="hybridMultilevel"/>
    <w:tmpl w:val="4B7AE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9317C2"/>
    <w:multiLevelType w:val="hybridMultilevel"/>
    <w:tmpl w:val="29E81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B30746"/>
    <w:multiLevelType w:val="hybridMultilevel"/>
    <w:tmpl w:val="539AB6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F432EFF"/>
    <w:multiLevelType w:val="hybridMultilevel"/>
    <w:tmpl w:val="44DAB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24752F"/>
    <w:multiLevelType w:val="hybridMultilevel"/>
    <w:tmpl w:val="CC3EE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9E15A7"/>
    <w:multiLevelType w:val="hybridMultilevel"/>
    <w:tmpl w:val="ADF8A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113A52"/>
    <w:multiLevelType w:val="hybridMultilevel"/>
    <w:tmpl w:val="C87CE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5D5F6F"/>
    <w:multiLevelType w:val="hybridMultilevel"/>
    <w:tmpl w:val="05644C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9921CD6"/>
    <w:multiLevelType w:val="hybridMultilevel"/>
    <w:tmpl w:val="6CF6A75E"/>
    <w:lvl w:ilvl="0" w:tplc="1026C89A">
      <w:start w:val="1"/>
      <w:numFmt w:val="lowerRoman"/>
      <w:lvlText w:val="(%1)"/>
      <w:lvlJc w:val="left"/>
      <w:pPr>
        <w:ind w:left="758" w:hanging="720"/>
      </w:pPr>
      <w:rPr>
        <w:rFonts w:hint="default"/>
      </w:rPr>
    </w:lvl>
    <w:lvl w:ilvl="1" w:tplc="0C090019" w:tentative="1">
      <w:start w:val="1"/>
      <w:numFmt w:val="lowerLetter"/>
      <w:lvlText w:val="%2."/>
      <w:lvlJc w:val="left"/>
      <w:pPr>
        <w:ind w:left="1118" w:hanging="360"/>
      </w:pPr>
    </w:lvl>
    <w:lvl w:ilvl="2" w:tplc="0C09001B" w:tentative="1">
      <w:start w:val="1"/>
      <w:numFmt w:val="lowerRoman"/>
      <w:lvlText w:val="%3."/>
      <w:lvlJc w:val="right"/>
      <w:pPr>
        <w:ind w:left="1838" w:hanging="180"/>
      </w:pPr>
    </w:lvl>
    <w:lvl w:ilvl="3" w:tplc="0C09000F" w:tentative="1">
      <w:start w:val="1"/>
      <w:numFmt w:val="decimal"/>
      <w:lvlText w:val="%4."/>
      <w:lvlJc w:val="left"/>
      <w:pPr>
        <w:ind w:left="2558" w:hanging="360"/>
      </w:pPr>
    </w:lvl>
    <w:lvl w:ilvl="4" w:tplc="0C090019" w:tentative="1">
      <w:start w:val="1"/>
      <w:numFmt w:val="lowerLetter"/>
      <w:lvlText w:val="%5."/>
      <w:lvlJc w:val="left"/>
      <w:pPr>
        <w:ind w:left="3278" w:hanging="360"/>
      </w:pPr>
    </w:lvl>
    <w:lvl w:ilvl="5" w:tplc="0C09001B" w:tentative="1">
      <w:start w:val="1"/>
      <w:numFmt w:val="lowerRoman"/>
      <w:lvlText w:val="%6."/>
      <w:lvlJc w:val="right"/>
      <w:pPr>
        <w:ind w:left="3998" w:hanging="180"/>
      </w:pPr>
    </w:lvl>
    <w:lvl w:ilvl="6" w:tplc="0C09000F" w:tentative="1">
      <w:start w:val="1"/>
      <w:numFmt w:val="decimal"/>
      <w:lvlText w:val="%7."/>
      <w:lvlJc w:val="left"/>
      <w:pPr>
        <w:ind w:left="4718" w:hanging="360"/>
      </w:pPr>
    </w:lvl>
    <w:lvl w:ilvl="7" w:tplc="0C090019" w:tentative="1">
      <w:start w:val="1"/>
      <w:numFmt w:val="lowerLetter"/>
      <w:lvlText w:val="%8."/>
      <w:lvlJc w:val="left"/>
      <w:pPr>
        <w:ind w:left="5438" w:hanging="360"/>
      </w:pPr>
    </w:lvl>
    <w:lvl w:ilvl="8" w:tplc="0C09001B" w:tentative="1">
      <w:start w:val="1"/>
      <w:numFmt w:val="lowerRoman"/>
      <w:lvlText w:val="%9."/>
      <w:lvlJc w:val="right"/>
      <w:pPr>
        <w:ind w:left="6158" w:hanging="180"/>
      </w:pPr>
    </w:lvl>
  </w:abstractNum>
  <w:abstractNum w:abstractNumId="30" w15:restartNumberingAfterBreak="0">
    <w:nsid w:val="4B141452"/>
    <w:multiLevelType w:val="hybridMultilevel"/>
    <w:tmpl w:val="D53CFC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40789832">
      <w:start w:val="1"/>
      <w:numFmt w:val="bullet"/>
      <w:lvlText w:val="-"/>
      <w:lvlJc w:val="left"/>
      <w:pPr>
        <w:ind w:left="2880" w:hanging="360"/>
      </w:pPr>
      <w:rPr>
        <w:rFonts w:ascii="Aptos" w:eastAsiaTheme="minorHAnsi" w:hAnsi="Aptos" w:cstheme="minorBidi"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DD24956"/>
    <w:multiLevelType w:val="hybridMultilevel"/>
    <w:tmpl w:val="67102F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9F7197"/>
    <w:multiLevelType w:val="multilevel"/>
    <w:tmpl w:val="FFB44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EBA7F0E"/>
    <w:multiLevelType w:val="hybridMultilevel"/>
    <w:tmpl w:val="0302B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315B54"/>
    <w:multiLevelType w:val="hybridMultilevel"/>
    <w:tmpl w:val="F77252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5B43017"/>
    <w:multiLevelType w:val="hybridMultilevel"/>
    <w:tmpl w:val="5E845E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884021B"/>
    <w:multiLevelType w:val="hybridMultilevel"/>
    <w:tmpl w:val="DB5031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A0E1411"/>
    <w:multiLevelType w:val="multilevel"/>
    <w:tmpl w:val="468E0DA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E2E50D9"/>
    <w:multiLevelType w:val="hybridMultilevel"/>
    <w:tmpl w:val="D1B82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EEC49F1"/>
    <w:multiLevelType w:val="hybridMultilevel"/>
    <w:tmpl w:val="B9325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410A30"/>
    <w:multiLevelType w:val="hybridMultilevel"/>
    <w:tmpl w:val="1FA8A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AF0B98"/>
    <w:multiLevelType w:val="hybridMultilevel"/>
    <w:tmpl w:val="D0C00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4670DF7"/>
    <w:multiLevelType w:val="hybridMultilevel"/>
    <w:tmpl w:val="E654A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85B3F49"/>
    <w:multiLevelType w:val="hybridMultilevel"/>
    <w:tmpl w:val="4C3C2D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B822B18"/>
    <w:multiLevelType w:val="hybridMultilevel"/>
    <w:tmpl w:val="CFEC1C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BC53AD6"/>
    <w:multiLevelType w:val="multilevel"/>
    <w:tmpl w:val="CB2C0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F100CC2"/>
    <w:multiLevelType w:val="hybridMultilevel"/>
    <w:tmpl w:val="5DDE78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6F46184E"/>
    <w:multiLevelType w:val="hybridMultilevel"/>
    <w:tmpl w:val="8A52DE5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75143FE3"/>
    <w:multiLevelType w:val="hybridMultilevel"/>
    <w:tmpl w:val="62F24C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68C27AE"/>
    <w:multiLevelType w:val="hybridMultilevel"/>
    <w:tmpl w:val="09A207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83E43D0"/>
    <w:multiLevelType w:val="hybridMultilevel"/>
    <w:tmpl w:val="677A3F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78A10FA7"/>
    <w:multiLevelType w:val="hybridMultilevel"/>
    <w:tmpl w:val="71101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B2E74B4"/>
    <w:multiLevelType w:val="hybridMultilevel"/>
    <w:tmpl w:val="8DC68C98"/>
    <w:lvl w:ilvl="0" w:tplc="08E20D7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B52525F"/>
    <w:multiLevelType w:val="hybridMultilevel"/>
    <w:tmpl w:val="A6A205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7BC04F63"/>
    <w:multiLevelType w:val="hybridMultilevel"/>
    <w:tmpl w:val="AFEEE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0948920">
    <w:abstractNumId w:val="35"/>
  </w:num>
  <w:num w:numId="2" w16cid:durableId="1472400174">
    <w:abstractNumId w:val="16"/>
  </w:num>
  <w:num w:numId="3" w16cid:durableId="478109563">
    <w:abstractNumId w:val="22"/>
  </w:num>
  <w:num w:numId="4" w16cid:durableId="2089114307">
    <w:abstractNumId w:val="23"/>
  </w:num>
  <w:num w:numId="5" w16cid:durableId="2080472861">
    <w:abstractNumId w:val="30"/>
  </w:num>
  <w:num w:numId="6" w16cid:durableId="1196622700">
    <w:abstractNumId w:val="15"/>
  </w:num>
  <w:num w:numId="7" w16cid:durableId="65497039">
    <w:abstractNumId w:val="2"/>
  </w:num>
  <w:num w:numId="8" w16cid:durableId="627668868">
    <w:abstractNumId w:val="42"/>
  </w:num>
  <w:num w:numId="9" w16cid:durableId="276066412">
    <w:abstractNumId w:val="21"/>
  </w:num>
  <w:num w:numId="10" w16cid:durableId="1597593238">
    <w:abstractNumId w:val="51"/>
  </w:num>
  <w:num w:numId="11" w16cid:durableId="194781153">
    <w:abstractNumId w:val="28"/>
  </w:num>
  <w:num w:numId="12" w16cid:durableId="925309675">
    <w:abstractNumId w:val="36"/>
  </w:num>
  <w:num w:numId="13" w16cid:durableId="426929576">
    <w:abstractNumId w:val="29"/>
  </w:num>
  <w:num w:numId="14" w16cid:durableId="1186486000">
    <w:abstractNumId w:val="53"/>
  </w:num>
  <w:num w:numId="15" w16cid:durableId="2087141671">
    <w:abstractNumId w:val="18"/>
  </w:num>
  <w:num w:numId="16" w16cid:durableId="403532955">
    <w:abstractNumId w:val="47"/>
  </w:num>
  <w:num w:numId="17" w16cid:durableId="549537148">
    <w:abstractNumId w:val="50"/>
  </w:num>
  <w:num w:numId="18" w16cid:durableId="614673386">
    <w:abstractNumId w:val="41"/>
  </w:num>
  <w:num w:numId="19" w16cid:durableId="138692535">
    <w:abstractNumId w:val="44"/>
  </w:num>
  <w:num w:numId="20" w16cid:durableId="671377994">
    <w:abstractNumId w:val="49"/>
  </w:num>
  <w:num w:numId="21" w16cid:durableId="837960662">
    <w:abstractNumId w:val="12"/>
  </w:num>
  <w:num w:numId="22" w16cid:durableId="817571241">
    <w:abstractNumId w:val="0"/>
  </w:num>
  <w:num w:numId="23" w16cid:durableId="815221700">
    <w:abstractNumId w:val="48"/>
  </w:num>
  <w:num w:numId="24" w16cid:durableId="741491766">
    <w:abstractNumId w:val="11"/>
  </w:num>
  <w:num w:numId="25" w16cid:durableId="723871499">
    <w:abstractNumId w:val="39"/>
  </w:num>
  <w:num w:numId="26" w16cid:durableId="1042242773">
    <w:abstractNumId w:val="5"/>
  </w:num>
  <w:num w:numId="27" w16cid:durableId="1278217564">
    <w:abstractNumId w:val="25"/>
  </w:num>
  <w:num w:numId="28" w16cid:durableId="1285192653">
    <w:abstractNumId w:val="19"/>
  </w:num>
  <w:num w:numId="29" w16cid:durableId="1728527777">
    <w:abstractNumId w:val="10"/>
  </w:num>
  <w:num w:numId="30" w16cid:durableId="239872644">
    <w:abstractNumId w:val="26"/>
  </w:num>
  <w:num w:numId="31" w16cid:durableId="287392340">
    <w:abstractNumId w:val="45"/>
  </w:num>
  <w:num w:numId="32" w16cid:durableId="832600907">
    <w:abstractNumId w:val="32"/>
  </w:num>
  <w:num w:numId="33" w16cid:durableId="2035301863">
    <w:abstractNumId w:val="8"/>
  </w:num>
  <w:num w:numId="34" w16cid:durableId="10047470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06604005">
    <w:abstractNumId w:val="14"/>
  </w:num>
  <w:num w:numId="36" w16cid:durableId="1637367584">
    <w:abstractNumId w:val="43"/>
  </w:num>
  <w:num w:numId="37" w16cid:durableId="289436828">
    <w:abstractNumId w:val="38"/>
  </w:num>
  <w:num w:numId="38" w16cid:durableId="1256331075">
    <w:abstractNumId w:val="6"/>
  </w:num>
  <w:num w:numId="39" w16cid:durableId="1574659674">
    <w:abstractNumId w:val="31"/>
  </w:num>
  <w:num w:numId="40" w16cid:durableId="32506113">
    <w:abstractNumId w:val="37"/>
  </w:num>
  <w:num w:numId="41" w16cid:durableId="1582979841">
    <w:abstractNumId w:val="3"/>
  </w:num>
  <w:num w:numId="42" w16cid:durableId="45956969">
    <w:abstractNumId w:val="34"/>
  </w:num>
  <w:num w:numId="43" w16cid:durableId="1054499735">
    <w:abstractNumId w:val="46"/>
  </w:num>
  <w:num w:numId="44" w16cid:durableId="1248659880">
    <w:abstractNumId w:val="13"/>
  </w:num>
  <w:num w:numId="45" w16cid:durableId="9083421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6294447">
    <w:abstractNumId w:val="24"/>
  </w:num>
  <w:num w:numId="47" w16cid:durableId="301231844">
    <w:abstractNumId w:val="54"/>
  </w:num>
  <w:num w:numId="48" w16cid:durableId="1985699260">
    <w:abstractNumId w:val="33"/>
  </w:num>
  <w:num w:numId="49" w16cid:durableId="1128474648">
    <w:abstractNumId w:val="40"/>
  </w:num>
  <w:num w:numId="50" w16cid:durableId="1369065400">
    <w:abstractNumId w:val="17"/>
  </w:num>
  <w:num w:numId="51" w16cid:durableId="1665889224">
    <w:abstractNumId w:val="9"/>
  </w:num>
  <w:num w:numId="52" w16cid:durableId="1565752056">
    <w:abstractNumId w:val="27"/>
  </w:num>
  <w:num w:numId="53" w16cid:durableId="52824017">
    <w:abstractNumId w:val="7"/>
  </w:num>
  <w:num w:numId="54" w16cid:durableId="1699118966">
    <w:abstractNumId w:val="1"/>
  </w:num>
  <w:num w:numId="55" w16cid:durableId="1089077804">
    <w:abstractNumId w:val="20"/>
  </w:num>
  <w:num w:numId="56" w16cid:durableId="800611690">
    <w:abstractNumId w:val="4"/>
  </w:num>
  <w:num w:numId="57" w16cid:durableId="862862115">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65F4A42-7675-4E2D-B9E7-80762475E4D4}"/>
    <w:docVar w:name="dgnword-eventsink" w:val="2172056031744"/>
  </w:docVars>
  <w:rsids>
    <w:rsidRoot w:val="00692A41"/>
    <w:rsid w:val="00001E32"/>
    <w:rsid w:val="0000453E"/>
    <w:rsid w:val="00010923"/>
    <w:rsid w:val="00012AC3"/>
    <w:rsid w:val="0001430F"/>
    <w:rsid w:val="0002361C"/>
    <w:rsid w:val="00024DCB"/>
    <w:rsid w:val="00026152"/>
    <w:rsid w:val="000341CE"/>
    <w:rsid w:val="00040B9E"/>
    <w:rsid w:val="00053584"/>
    <w:rsid w:val="00056AE2"/>
    <w:rsid w:val="00056F2C"/>
    <w:rsid w:val="000606EE"/>
    <w:rsid w:val="00083541"/>
    <w:rsid w:val="0008766A"/>
    <w:rsid w:val="00087982"/>
    <w:rsid w:val="000911FA"/>
    <w:rsid w:val="00092919"/>
    <w:rsid w:val="000A5850"/>
    <w:rsid w:val="000B2068"/>
    <w:rsid w:val="000B25C7"/>
    <w:rsid w:val="000B65C4"/>
    <w:rsid w:val="000C1A91"/>
    <w:rsid w:val="000C4FF5"/>
    <w:rsid w:val="000D1334"/>
    <w:rsid w:val="000D28A1"/>
    <w:rsid w:val="000D3CEC"/>
    <w:rsid w:val="000E23A6"/>
    <w:rsid w:val="000E4816"/>
    <w:rsid w:val="000E4E50"/>
    <w:rsid w:val="0010405B"/>
    <w:rsid w:val="00111D8C"/>
    <w:rsid w:val="00112365"/>
    <w:rsid w:val="00116484"/>
    <w:rsid w:val="00121E53"/>
    <w:rsid w:val="00122236"/>
    <w:rsid w:val="00132C0F"/>
    <w:rsid w:val="00140347"/>
    <w:rsid w:val="001425D0"/>
    <w:rsid w:val="0015004F"/>
    <w:rsid w:val="0017074A"/>
    <w:rsid w:val="00185C41"/>
    <w:rsid w:val="0019515A"/>
    <w:rsid w:val="001A0D10"/>
    <w:rsid w:val="001C5346"/>
    <w:rsid w:val="001C7FE9"/>
    <w:rsid w:val="001D4674"/>
    <w:rsid w:val="001E220A"/>
    <w:rsid w:val="001E7E9B"/>
    <w:rsid w:val="001F34FE"/>
    <w:rsid w:val="0020395C"/>
    <w:rsid w:val="00210586"/>
    <w:rsid w:val="00210B3A"/>
    <w:rsid w:val="002130F4"/>
    <w:rsid w:val="00216367"/>
    <w:rsid w:val="00226209"/>
    <w:rsid w:val="0023578E"/>
    <w:rsid w:val="002518AF"/>
    <w:rsid w:val="00254FA3"/>
    <w:rsid w:val="002728F3"/>
    <w:rsid w:val="00273EEE"/>
    <w:rsid w:val="0028177F"/>
    <w:rsid w:val="00287321"/>
    <w:rsid w:val="002A0E43"/>
    <w:rsid w:val="002A1026"/>
    <w:rsid w:val="002A2E68"/>
    <w:rsid w:val="002A6096"/>
    <w:rsid w:val="002A765B"/>
    <w:rsid w:val="002B0E28"/>
    <w:rsid w:val="002B45FC"/>
    <w:rsid w:val="002B7235"/>
    <w:rsid w:val="002F2C8D"/>
    <w:rsid w:val="002F3FE5"/>
    <w:rsid w:val="002F6B2A"/>
    <w:rsid w:val="003011FD"/>
    <w:rsid w:val="003038A0"/>
    <w:rsid w:val="003040A8"/>
    <w:rsid w:val="00306EAA"/>
    <w:rsid w:val="00313C23"/>
    <w:rsid w:val="003175B6"/>
    <w:rsid w:val="0035283B"/>
    <w:rsid w:val="0036179B"/>
    <w:rsid w:val="00362683"/>
    <w:rsid w:val="00387CB4"/>
    <w:rsid w:val="00394023"/>
    <w:rsid w:val="003A5C57"/>
    <w:rsid w:val="003B4A10"/>
    <w:rsid w:val="003B7D80"/>
    <w:rsid w:val="003D719E"/>
    <w:rsid w:val="003F6C4F"/>
    <w:rsid w:val="00407270"/>
    <w:rsid w:val="0041042C"/>
    <w:rsid w:val="004115AF"/>
    <w:rsid w:val="00420E84"/>
    <w:rsid w:val="004304CE"/>
    <w:rsid w:val="004335A4"/>
    <w:rsid w:val="00445FD1"/>
    <w:rsid w:val="00461410"/>
    <w:rsid w:val="004621B1"/>
    <w:rsid w:val="004624B6"/>
    <w:rsid w:val="00464F6C"/>
    <w:rsid w:val="00477979"/>
    <w:rsid w:val="00480225"/>
    <w:rsid w:val="00481BCB"/>
    <w:rsid w:val="00492C5F"/>
    <w:rsid w:val="004A1ED3"/>
    <w:rsid w:val="004B280B"/>
    <w:rsid w:val="004C63EA"/>
    <w:rsid w:val="004D4C1B"/>
    <w:rsid w:val="004D7CEF"/>
    <w:rsid w:val="004E348E"/>
    <w:rsid w:val="004E5E75"/>
    <w:rsid w:val="004E6E0A"/>
    <w:rsid w:val="004E7698"/>
    <w:rsid w:val="00501996"/>
    <w:rsid w:val="00502041"/>
    <w:rsid w:val="0050385F"/>
    <w:rsid w:val="00504EE5"/>
    <w:rsid w:val="00507D57"/>
    <w:rsid w:val="00513D31"/>
    <w:rsid w:val="005154DC"/>
    <w:rsid w:val="00523E8F"/>
    <w:rsid w:val="0052518B"/>
    <w:rsid w:val="00526A63"/>
    <w:rsid w:val="005360C0"/>
    <w:rsid w:val="0056157C"/>
    <w:rsid w:val="00562377"/>
    <w:rsid w:val="0058231D"/>
    <w:rsid w:val="00586DF1"/>
    <w:rsid w:val="00593638"/>
    <w:rsid w:val="00593FB0"/>
    <w:rsid w:val="005A45FA"/>
    <w:rsid w:val="005B04D6"/>
    <w:rsid w:val="005B2027"/>
    <w:rsid w:val="005C410B"/>
    <w:rsid w:val="005C712A"/>
    <w:rsid w:val="005E02D1"/>
    <w:rsid w:val="005F7D96"/>
    <w:rsid w:val="005F7FBC"/>
    <w:rsid w:val="0060183B"/>
    <w:rsid w:val="00611484"/>
    <w:rsid w:val="00611CC0"/>
    <w:rsid w:val="006125B1"/>
    <w:rsid w:val="00613016"/>
    <w:rsid w:val="006172BE"/>
    <w:rsid w:val="00624CC2"/>
    <w:rsid w:val="00633FED"/>
    <w:rsid w:val="006365BD"/>
    <w:rsid w:val="0063719D"/>
    <w:rsid w:val="0064436E"/>
    <w:rsid w:val="00644D62"/>
    <w:rsid w:val="006609D6"/>
    <w:rsid w:val="006644D2"/>
    <w:rsid w:val="00673328"/>
    <w:rsid w:val="006821D9"/>
    <w:rsid w:val="00682F67"/>
    <w:rsid w:val="00692A41"/>
    <w:rsid w:val="00692C10"/>
    <w:rsid w:val="006B1932"/>
    <w:rsid w:val="006B3D00"/>
    <w:rsid w:val="006C304F"/>
    <w:rsid w:val="006C37BD"/>
    <w:rsid w:val="006D097B"/>
    <w:rsid w:val="006D687E"/>
    <w:rsid w:val="006D6B8D"/>
    <w:rsid w:val="006F2118"/>
    <w:rsid w:val="00706E5D"/>
    <w:rsid w:val="00712675"/>
    <w:rsid w:val="00713341"/>
    <w:rsid w:val="00717824"/>
    <w:rsid w:val="00720EDD"/>
    <w:rsid w:val="007265AC"/>
    <w:rsid w:val="00726955"/>
    <w:rsid w:val="0073759F"/>
    <w:rsid w:val="0074215B"/>
    <w:rsid w:val="00742672"/>
    <w:rsid w:val="00754DF8"/>
    <w:rsid w:val="00755BF2"/>
    <w:rsid w:val="00762EC3"/>
    <w:rsid w:val="0076555D"/>
    <w:rsid w:val="0076788B"/>
    <w:rsid w:val="00767D18"/>
    <w:rsid w:val="0077242F"/>
    <w:rsid w:val="00782144"/>
    <w:rsid w:val="0078537E"/>
    <w:rsid w:val="007A5AD1"/>
    <w:rsid w:val="007A690A"/>
    <w:rsid w:val="007B4370"/>
    <w:rsid w:val="007B6DA7"/>
    <w:rsid w:val="007C07C6"/>
    <w:rsid w:val="007C68A9"/>
    <w:rsid w:val="007C750F"/>
    <w:rsid w:val="007D32F9"/>
    <w:rsid w:val="007D3F14"/>
    <w:rsid w:val="007E0B15"/>
    <w:rsid w:val="007E1411"/>
    <w:rsid w:val="007E60D5"/>
    <w:rsid w:val="007F3394"/>
    <w:rsid w:val="008052EF"/>
    <w:rsid w:val="00811B5E"/>
    <w:rsid w:val="00815645"/>
    <w:rsid w:val="0081618A"/>
    <w:rsid w:val="008242FE"/>
    <w:rsid w:val="00826EFC"/>
    <w:rsid w:val="00827E1F"/>
    <w:rsid w:val="008333F8"/>
    <w:rsid w:val="008366F7"/>
    <w:rsid w:val="00840559"/>
    <w:rsid w:val="008420CB"/>
    <w:rsid w:val="00843F78"/>
    <w:rsid w:val="0085097A"/>
    <w:rsid w:val="00851812"/>
    <w:rsid w:val="008603C9"/>
    <w:rsid w:val="008607C4"/>
    <w:rsid w:val="00862712"/>
    <w:rsid w:val="008632FC"/>
    <w:rsid w:val="008660B3"/>
    <w:rsid w:val="00871028"/>
    <w:rsid w:val="00872712"/>
    <w:rsid w:val="0087578E"/>
    <w:rsid w:val="00875B4E"/>
    <w:rsid w:val="00876C3F"/>
    <w:rsid w:val="008828C1"/>
    <w:rsid w:val="00882B7B"/>
    <w:rsid w:val="00894629"/>
    <w:rsid w:val="0089688C"/>
    <w:rsid w:val="008A269F"/>
    <w:rsid w:val="008B7AC1"/>
    <w:rsid w:val="008E1EE3"/>
    <w:rsid w:val="008E31C5"/>
    <w:rsid w:val="008E4E60"/>
    <w:rsid w:val="008E7A68"/>
    <w:rsid w:val="008F1165"/>
    <w:rsid w:val="008F4F0E"/>
    <w:rsid w:val="008F7CD5"/>
    <w:rsid w:val="00916E63"/>
    <w:rsid w:val="0091762A"/>
    <w:rsid w:val="00920927"/>
    <w:rsid w:val="009306A4"/>
    <w:rsid w:val="00934539"/>
    <w:rsid w:val="00936B9F"/>
    <w:rsid w:val="00936ED8"/>
    <w:rsid w:val="00940D00"/>
    <w:rsid w:val="00940F33"/>
    <w:rsid w:val="00940F61"/>
    <w:rsid w:val="00943D76"/>
    <w:rsid w:val="009556DD"/>
    <w:rsid w:val="00967AEC"/>
    <w:rsid w:val="00970B59"/>
    <w:rsid w:val="0097414B"/>
    <w:rsid w:val="0097482C"/>
    <w:rsid w:val="009818A9"/>
    <w:rsid w:val="00981FDD"/>
    <w:rsid w:val="00983804"/>
    <w:rsid w:val="009B0DAF"/>
    <w:rsid w:val="009B5A72"/>
    <w:rsid w:val="009B5AFE"/>
    <w:rsid w:val="009C3A46"/>
    <w:rsid w:val="009D01F1"/>
    <w:rsid w:val="009D0FB8"/>
    <w:rsid w:val="009D42FE"/>
    <w:rsid w:val="009E28EC"/>
    <w:rsid w:val="009E356F"/>
    <w:rsid w:val="009E4A5E"/>
    <w:rsid w:val="009F1115"/>
    <w:rsid w:val="009F11EA"/>
    <w:rsid w:val="009F7B80"/>
    <w:rsid w:val="00A074D5"/>
    <w:rsid w:val="00A16CE9"/>
    <w:rsid w:val="00A21C81"/>
    <w:rsid w:val="00A2299A"/>
    <w:rsid w:val="00A230FA"/>
    <w:rsid w:val="00A33DD1"/>
    <w:rsid w:val="00A34780"/>
    <w:rsid w:val="00A34AAC"/>
    <w:rsid w:val="00A36F22"/>
    <w:rsid w:val="00A5623F"/>
    <w:rsid w:val="00A6140D"/>
    <w:rsid w:val="00A61C96"/>
    <w:rsid w:val="00A63606"/>
    <w:rsid w:val="00A72515"/>
    <w:rsid w:val="00A90ACD"/>
    <w:rsid w:val="00A96C55"/>
    <w:rsid w:val="00A97BC2"/>
    <w:rsid w:val="00AA4BBB"/>
    <w:rsid w:val="00AB208C"/>
    <w:rsid w:val="00AD797A"/>
    <w:rsid w:val="00AE1DA3"/>
    <w:rsid w:val="00AF0797"/>
    <w:rsid w:val="00AF12A8"/>
    <w:rsid w:val="00AF2204"/>
    <w:rsid w:val="00AF5B8B"/>
    <w:rsid w:val="00B02E51"/>
    <w:rsid w:val="00B03396"/>
    <w:rsid w:val="00B069F7"/>
    <w:rsid w:val="00B10DD5"/>
    <w:rsid w:val="00B13209"/>
    <w:rsid w:val="00B1775F"/>
    <w:rsid w:val="00B27855"/>
    <w:rsid w:val="00B30EAB"/>
    <w:rsid w:val="00B31B8B"/>
    <w:rsid w:val="00B420B0"/>
    <w:rsid w:val="00B43EC1"/>
    <w:rsid w:val="00B462E7"/>
    <w:rsid w:val="00B53F38"/>
    <w:rsid w:val="00B6473C"/>
    <w:rsid w:val="00B64E72"/>
    <w:rsid w:val="00B67840"/>
    <w:rsid w:val="00B67F8B"/>
    <w:rsid w:val="00B766D3"/>
    <w:rsid w:val="00B977A1"/>
    <w:rsid w:val="00BB08B6"/>
    <w:rsid w:val="00BB2ECB"/>
    <w:rsid w:val="00BB7693"/>
    <w:rsid w:val="00BC0EEB"/>
    <w:rsid w:val="00BD0796"/>
    <w:rsid w:val="00BD1991"/>
    <w:rsid w:val="00BD5510"/>
    <w:rsid w:val="00BE241C"/>
    <w:rsid w:val="00BF1EB2"/>
    <w:rsid w:val="00C17A94"/>
    <w:rsid w:val="00C20D13"/>
    <w:rsid w:val="00C21880"/>
    <w:rsid w:val="00C30C8F"/>
    <w:rsid w:val="00C31A0D"/>
    <w:rsid w:val="00C40D68"/>
    <w:rsid w:val="00C41DDE"/>
    <w:rsid w:val="00C447A6"/>
    <w:rsid w:val="00C60463"/>
    <w:rsid w:val="00C77AC2"/>
    <w:rsid w:val="00C81861"/>
    <w:rsid w:val="00C96B35"/>
    <w:rsid w:val="00CC1F9A"/>
    <w:rsid w:val="00CC2C06"/>
    <w:rsid w:val="00CD10C1"/>
    <w:rsid w:val="00CD3A62"/>
    <w:rsid w:val="00CD3EF4"/>
    <w:rsid w:val="00CD5EC8"/>
    <w:rsid w:val="00CE163B"/>
    <w:rsid w:val="00CF12AE"/>
    <w:rsid w:val="00CF3740"/>
    <w:rsid w:val="00CF374E"/>
    <w:rsid w:val="00CF69D7"/>
    <w:rsid w:val="00CF6C34"/>
    <w:rsid w:val="00D265F6"/>
    <w:rsid w:val="00D26EFB"/>
    <w:rsid w:val="00D371BE"/>
    <w:rsid w:val="00D56CAC"/>
    <w:rsid w:val="00D57BA6"/>
    <w:rsid w:val="00D64079"/>
    <w:rsid w:val="00D65B69"/>
    <w:rsid w:val="00D666E3"/>
    <w:rsid w:val="00D7096E"/>
    <w:rsid w:val="00D73D95"/>
    <w:rsid w:val="00D8304E"/>
    <w:rsid w:val="00D95454"/>
    <w:rsid w:val="00DB3E8B"/>
    <w:rsid w:val="00DC0CC1"/>
    <w:rsid w:val="00DC75CA"/>
    <w:rsid w:val="00DD04D6"/>
    <w:rsid w:val="00DD07A6"/>
    <w:rsid w:val="00DD23FB"/>
    <w:rsid w:val="00DD5263"/>
    <w:rsid w:val="00DE2E14"/>
    <w:rsid w:val="00DE62C5"/>
    <w:rsid w:val="00DE67BC"/>
    <w:rsid w:val="00DF3CC6"/>
    <w:rsid w:val="00E01D37"/>
    <w:rsid w:val="00E03222"/>
    <w:rsid w:val="00E07E49"/>
    <w:rsid w:val="00E20D3F"/>
    <w:rsid w:val="00E23229"/>
    <w:rsid w:val="00E2594F"/>
    <w:rsid w:val="00E260B9"/>
    <w:rsid w:val="00E40ED3"/>
    <w:rsid w:val="00E57FCE"/>
    <w:rsid w:val="00E608AD"/>
    <w:rsid w:val="00E60E0F"/>
    <w:rsid w:val="00E66241"/>
    <w:rsid w:val="00E704BF"/>
    <w:rsid w:val="00E7273D"/>
    <w:rsid w:val="00E83BC6"/>
    <w:rsid w:val="00E84F90"/>
    <w:rsid w:val="00E86321"/>
    <w:rsid w:val="00E86B58"/>
    <w:rsid w:val="00E90E38"/>
    <w:rsid w:val="00E919B0"/>
    <w:rsid w:val="00EB2868"/>
    <w:rsid w:val="00EB4F61"/>
    <w:rsid w:val="00EC13BF"/>
    <w:rsid w:val="00EC427D"/>
    <w:rsid w:val="00ED06DA"/>
    <w:rsid w:val="00ED4868"/>
    <w:rsid w:val="00ED5D7B"/>
    <w:rsid w:val="00EE3F24"/>
    <w:rsid w:val="00EF09B9"/>
    <w:rsid w:val="00EF2AD1"/>
    <w:rsid w:val="00F02EA1"/>
    <w:rsid w:val="00F066D7"/>
    <w:rsid w:val="00F11BE8"/>
    <w:rsid w:val="00F135D4"/>
    <w:rsid w:val="00F14616"/>
    <w:rsid w:val="00F14974"/>
    <w:rsid w:val="00F22405"/>
    <w:rsid w:val="00F262EF"/>
    <w:rsid w:val="00F26408"/>
    <w:rsid w:val="00F27670"/>
    <w:rsid w:val="00F43D97"/>
    <w:rsid w:val="00F46B84"/>
    <w:rsid w:val="00F46CB0"/>
    <w:rsid w:val="00F523BF"/>
    <w:rsid w:val="00F54263"/>
    <w:rsid w:val="00F54DB8"/>
    <w:rsid w:val="00F63DB8"/>
    <w:rsid w:val="00F64ED7"/>
    <w:rsid w:val="00F656E1"/>
    <w:rsid w:val="00F666F0"/>
    <w:rsid w:val="00F71710"/>
    <w:rsid w:val="00F96781"/>
    <w:rsid w:val="00F9729A"/>
    <w:rsid w:val="00FA0335"/>
    <w:rsid w:val="00FB33E1"/>
    <w:rsid w:val="00FD4E50"/>
    <w:rsid w:val="00FE0DF8"/>
    <w:rsid w:val="00FE6986"/>
    <w:rsid w:val="00FE6B67"/>
    <w:rsid w:val="00FF62B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0C557"/>
  <w15:chartTrackingRefBased/>
  <w15:docId w15:val="{79EF128E-478E-4437-9E28-5A0480F8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DF1"/>
    <w:pPr>
      <w:jc w:val="both"/>
    </w:pPr>
    <w:rPr>
      <w:sz w:val="20"/>
      <w:szCs w:val="20"/>
    </w:rPr>
  </w:style>
  <w:style w:type="paragraph" w:styleId="Heading1">
    <w:name w:val="heading 1"/>
    <w:basedOn w:val="Normal"/>
    <w:next w:val="Normal"/>
    <w:link w:val="Heading1Char"/>
    <w:qFormat/>
    <w:rsid w:val="00AF12A8"/>
    <w:pPr>
      <w:keepNext/>
      <w:keepLines/>
      <w:numPr>
        <w:numId w:val="6"/>
      </w:numPr>
      <w:spacing w:before="360" w:after="80"/>
      <w:ind w:left="720"/>
      <w:outlineLvl w:val="0"/>
    </w:pPr>
    <w:rPr>
      <w:rFonts w:asciiTheme="majorHAnsi" w:eastAsiaTheme="majorEastAsia" w:hAnsiTheme="majorHAnsi" w:cstheme="majorBidi"/>
      <w:b/>
      <w:bCs/>
      <w:color w:val="0F4761" w:themeColor="accent1" w:themeShade="BF"/>
      <w:sz w:val="24"/>
      <w:szCs w:val="24"/>
    </w:rPr>
  </w:style>
  <w:style w:type="paragraph" w:styleId="Heading2">
    <w:name w:val="heading 2"/>
    <w:basedOn w:val="Normal"/>
    <w:next w:val="Normal"/>
    <w:link w:val="Heading2Char"/>
    <w:uiPriority w:val="9"/>
    <w:unhideWhenUsed/>
    <w:qFormat/>
    <w:rsid w:val="00B6473C"/>
    <w:pPr>
      <w:keepNext/>
      <w:keepLines/>
      <w:numPr>
        <w:ilvl w:val="1"/>
        <w:numId w:val="6"/>
      </w:numPr>
      <w:spacing w:before="160" w:after="80"/>
      <w:outlineLvl w:val="1"/>
    </w:pPr>
    <w:rPr>
      <w:rFonts w:asciiTheme="majorHAnsi" w:eastAsiaTheme="majorEastAsia" w:hAnsiTheme="majorHAnsi" w:cstheme="majorBidi"/>
      <w:b/>
      <w:bCs/>
      <w:color w:val="0F4761" w:themeColor="accent1" w:themeShade="BF"/>
    </w:rPr>
  </w:style>
  <w:style w:type="paragraph" w:styleId="Heading3">
    <w:name w:val="heading 3"/>
    <w:basedOn w:val="Normal"/>
    <w:next w:val="Normal"/>
    <w:link w:val="Heading3Char"/>
    <w:uiPriority w:val="9"/>
    <w:unhideWhenUsed/>
    <w:qFormat/>
    <w:rsid w:val="002518AF"/>
    <w:pPr>
      <w:keepNext/>
      <w:keepLines/>
      <w:spacing w:before="160" w:after="80"/>
      <w:ind w:firstLine="360"/>
      <w:outlineLvl w:val="2"/>
    </w:pPr>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rsid w:val="00EB4F61"/>
    <w:pPr>
      <w:keepNext/>
      <w:keepLines/>
      <w:spacing w:before="80" w:after="40"/>
      <w:ind w:left="72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692A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2A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2A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2A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2A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2A8"/>
    <w:rPr>
      <w:rFonts w:asciiTheme="majorHAnsi" w:eastAsiaTheme="majorEastAsia" w:hAnsiTheme="majorHAnsi" w:cstheme="majorBidi"/>
      <w:b/>
      <w:bCs/>
      <w:color w:val="0F4761" w:themeColor="accent1" w:themeShade="BF"/>
      <w:lang w:val="es-ES"/>
    </w:rPr>
  </w:style>
  <w:style w:type="character" w:customStyle="1" w:styleId="Heading2Char">
    <w:name w:val="Heading 2 Char"/>
    <w:basedOn w:val="DefaultParagraphFont"/>
    <w:link w:val="Heading2"/>
    <w:uiPriority w:val="9"/>
    <w:rsid w:val="00B6473C"/>
    <w:rPr>
      <w:rFonts w:asciiTheme="majorHAnsi" w:eastAsiaTheme="majorEastAsia" w:hAnsiTheme="majorHAnsi" w:cstheme="majorBidi"/>
      <w:b/>
      <w:bCs/>
      <w:color w:val="0F4761" w:themeColor="accent1" w:themeShade="BF"/>
      <w:sz w:val="20"/>
      <w:szCs w:val="20"/>
      <w:lang w:val="es-ES"/>
    </w:rPr>
  </w:style>
  <w:style w:type="character" w:customStyle="1" w:styleId="Heading3Char">
    <w:name w:val="Heading 3 Char"/>
    <w:basedOn w:val="DefaultParagraphFont"/>
    <w:link w:val="Heading3"/>
    <w:uiPriority w:val="9"/>
    <w:rsid w:val="002518AF"/>
    <w:rPr>
      <w:rFonts w:eastAsiaTheme="majorEastAsia" w:cstheme="majorBidi"/>
      <w:i/>
      <w:iCs/>
      <w:color w:val="0F4761" w:themeColor="accent1" w:themeShade="BF"/>
      <w:lang w:val="es-ES"/>
    </w:rPr>
  </w:style>
  <w:style w:type="character" w:customStyle="1" w:styleId="Heading4Char">
    <w:name w:val="Heading 4 Char"/>
    <w:basedOn w:val="DefaultParagraphFont"/>
    <w:link w:val="Heading4"/>
    <w:uiPriority w:val="9"/>
    <w:rsid w:val="00EB4F61"/>
    <w:rPr>
      <w:rFonts w:eastAsiaTheme="majorEastAsia" w:cstheme="majorBidi"/>
      <w:i/>
      <w:iCs/>
      <w:color w:val="0F4761" w:themeColor="accent1" w:themeShade="BF"/>
      <w:sz w:val="20"/>
      <w:szCs w:val="20"/>
      <w:lang w:val="es-ES"/>
    </w:rPr>
  </w:style>
  <w:style w:type="character" w:customStyle="1" w:styleId="Heading5Char">
    <w:name w:val="Heading 5 Char"/>
    <w:basedOn w:val="DefaultParagraphFont"/>
    <w:link w:val="Heading5"/>
    <w:uiPriority w:val="9"/>
    <w:rsid w:val="00692A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2A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2A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2A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2A41"/>
    <w:rPr>
      <w:rFonts w:eastAsiaTheme="majorEastAsia" w:cstheme="majorBidi"/>
      <w:color w:val="272727" w:themeColor="text1" w:themeTint="D8"/>
    </w:rPr>
  </w:style>
  <w:style w:type="paragraph" w:styleId="Title">
    <w:name w:val="Title"/>
    <w:basedOn w:val="Heading1"/>
    <w:next w:val="Normal"/>
    <w:link w:val="TitleChar"/>
    <w:uiPriority w:val="10"/>
    <w:qFormat/>
    <w:rsid w:val="00B6473C"/>
    <w:pPr>
      <w:numPr>
        <w:numId w:val="0"/>
      </w:numPr>
      <w:spacing w:before="120"/>
      <w:ind w:left="714" w:hanging="357"/>
      <w:jc w:val="center"/>
    </w:pPr>
  </w:style>
  <w:style w:type="character" w:customStyle="1" w:styleId="TitleChar">
    <w:name w:val="Title Char"/>
    <w:basedOn w:val="DefaultParagraphFont"/>
    <w:link w:val="Title"/>
    <w:uiPriority w:val="10"/>
    <w:rsid w:val="00B6473C"/>
    <w:rPr>
      <w:rFonts w:asciiTheme="majorHAnsi" w:eastAsiaTheme="majorEastAsia" w:hAnsiTheme="majorHAnsi" w:cstheme="majorBidi"/>
      <w:b/>
      <w:bCs/>
      <w:color w:val="0F4761" w:themeColor="accent1" w:themeShade="BF"/>
      <w:sz w:val="28"/>
      <w:szCs w:val="28"/>
      <w:lang w:val="es-ES"/>
    </w:rPr>
  </w:style>
  <w:style w:type="paragraph" w:styleId="Subtitle">
    <w:name w:val="Subtitle"/>
    <w:basedOn w:val="Normal"/>
    <w:next w:val="Normal"/>
    <w:link w:val="SubtitleChar"/>
    <w:uiPriority w:val="11"/>
    <w:qFormat/>
    <w:rsid w:val="00692A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2A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2A41"/>
    <w:pPr>
      <w:spacing w:before="160"/>
      <w:jc w:val="center"/>
    </w:pPr>
    <w:rPr>
      <w:i/>
      <w:iCs/>
      <w:color w:val="404040" w:themeColor="text1" w:themeTint="BF"/>
    </w:rPr>
  </w:style>
  <w:style w:type="character" w:customStyle="1" w:styleId="QuoteChar">
    <w:name w:val="Quote Char"/>
    <w:basedOn w:val="DefaultParagraphFont"/>
    <w:link w:val="Quote"/>
    <w:uiPriority w:val="29"/>
    <w:rsid w:val="00692A41"/>
    <w:rPr>
      <w:i/>
      <w:iCs/>
      <w:color w:val="404040" w:themeColor="text1" w:themeTint="BF"/>
    </w:rPr>
  </w:style>
  <w:style w:type="paragraph" w:styleId="ListParagraph">
    <w:name w:val="List Paragraph"/>
    <w:basedOn w:val="Normal"/>
    <w:uiPriority w:val="34"/>
    <w:qFormat/>
    <w:rsid w:val="00692A41"/>
    <w:pPr>
      <w:ind w:left="720"/>
      <w:contextualSpacing/>
    </w:pPr>
  </w:style>
  <w:style w:type="character" w:styleId="IntenseEmphasis">
    <w:name w:val="Intense Emphasis"/>
    <w:basedOn w:val="DefaultParagraphFont"/>
    <w:uiPriority w:val="21"/>
    <w:qFormat/>
    <w:rsid w:val="00692A41"/>
    <w:rPr>
      <w:i/>
      <w:iCs/>
      <w:color w:val="0F4761" w:themeColor="accent1" w:themeShade="BF"/>
    </w:rPr>
  </w:style>
  <w:style w:type="paragraph" w:styleId="IntenseQuote">
    <w:name w:val="Intense Quote"/>
    <w:basedOn w:val="Normal"/>
    <w:next w:val="Normal"/>
    <w:link w:val="IntenseQuoteChar"/>
    <w:uiPriority w:val="30"/>
    <w:qFormat/>
    <w:rsid w:val="00692A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2A41"/>
    <w:rPr>
      <w:i/>
      <w:iCs/>
      <w:color w:val="0F4761" w:themeColor="accent1" w:themeShade="BF"/>
    </w:rPr>
  </w:style>
  <w:style w:type="character" w:styleId="IntenseReference">
    <w:name w:val="Intense Reference"/>
    <w:basedOn w:val="DefaultParagraphFont"/>
    <w:uiPriority w:val="32"/>
    <w:qFormat/>
    <w:rsid w:val="00692A41"/>
    <w:rPr>
      <w:b/>
      <w:bCs/>
      <w:smallCaps/>
      <w:color w:val="0F4761" w:themeColor="accent1" w:themeShade="BF"/>
      <w:spacing w:val="5"/>
    </w:rPr>
  </w:style>
  <w:style w:type="paragraph" w:styleId="FootnoteText">
    <w:name w:val="footnote text"/>
    <w:basedOn w:val="Normal"/>
    <w:link w:val="FootnoteTextChar"/>
    <w:uiPriority w:val="99"/>
    <w:unhideWhenUsed/>
    <w:rsid w:val="0056157C"/>
    <w:pPr>
      <w:spacing w:after="0" w:line="240" w:lineRule="auto"/>
    </w:pPr>
  </w:style>
  <w:style w:type="character" w:customStyle="1" w:styleId="FootnoteTextChar">
    <w:name w:val="Footnote Text Char"/>
    <w:basedOn w:val="DefaultParagraphFont"/>
    <w:link w:val="FootnoteText"/>
    <w:uiPriority w:val="99"/>
    <w:rsid w:val="0056157C"/>
    <w:rPr>
      <w:sz w:val="20"/>
      <w:szCs w:val="20"/>
    </w:rPr>
  </w:style>
  <w:style w:type="character" w:styleId="FootnoteReference">
    <w:name w:val="footnote reference"/>
    <w:basedOn w:val="DefaultParagraphFont"/>
    <w:uiPriority w:val="99"/>
    <w:semiHidden/>
    <w:unhideWhenUsed/>
    <w:rsid w:val="0056157C"/>
    <w:rPr>
      <w:vertAlign w:val="superscript"/>
    </w:rPr>
  </w:style>
  <w:style w:type="table" w:styleId="TableGrid">
    <w:name w:val="Table Grid"/>
    <w:basedOn w:val="TableNormal"/>
    <w:uiPriority w:val="39"/>
    <w:rsid w:val="004E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A6140D"/>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paragraph" w:styleId="TOCHeading">
    <w:name w:val="TOC Heading"/>
    <w:basedOn w:val="Heading1"/>
    <w:next w:val="Normal"/>
    <w:uiPriority w:val="39"/>
    <w:unhideWhenUsed/>
    <w:qFormat/>
    <w:rsid w:val="000B25C7"/>
    <w:pPr>
      <w:numPr>
        <w:numId w:val="0"/>
      </w:numPr>
      <w:spacing w:before="240" w:after="0" w:line="259" w:lineRule="auto"/>
      <w:outlineLvl w:val="9"/>
    </w:pPr>
    <w:rPr>
      <w:b w:val="0"/>
      <w:bCs w:val="0"/>
      <w:kern w:val="0"/>
      <w:sz w:val="32"/>
      <w:szCs w:val="32"/>
      <w:lang w:eastAsia="en-AU"/>
      <w14:ligatures w14:val="none"/>
    </w:rPr>
  </w:style>
  <w:style w:type="paragraph" w:styleId="TOC1">
    <w:name w:val="toc 1"/>
    <w:basedOn w:val="Normal"/>
    <w:next w:val="Normal"/>
    <w:autoRedefine/>
    <w:uiPriority w:val="39"/>
    <w:unhideWhenUsed/>
    <w:rsid w:val="000B25C7"/>
    <w:pPr>
      <w:spacing w:after="100"/>
    </w:pPr>
  </w:style>
  <w:style w:type="paragraph" w:styleId="TOC2">
    <w:name w:val="toc 2"/>
    <w:basedOn w:val="Normal"/>
    <w:next w:val="Normal"/>
    <w:autoRedefine/>
    <w:uiPriority w:val="39"/>
    <w:unhideWhenUsed/>
    <w:rsid w:val="000B25C7"/>
    <w:pPr>
      <w:spacing w:after="100"/>
      <w:ind w:left="240"/>
    </w:pPr>
  </w:style>
  <w:style w:type="character" w:styleId="Hyperlink">
    <w:name w:val="Hyperlink"/>
    <w:basedOn w:val="DefaultParagraphFont"/>
    <w:unhideWhenUsed/>
    <w:rsid w:val="000B25C7"/>
    <w:rPr>
      <w:color w:val="467886" w:themeColor="hyperlink"/>
      <w:u w:val="single"/>
    </w:rPr>
  </w:style>
  <w:style w:type="paragraph" w:styleId="Header">
    <w:name w:val="header"/>
    <w:basedOn w:val="Normal"/>
    <w:link w:val="HeaderChar"/>
    <w:unhideWhenUsed/>
    <w:rsid w:val="00AF12A8"/>
    <w:pPr>
      <w:tabs>
        <w:tab w:val="center" w:pos="4513"/>
        <w:tab w:val="right" w:pos="9026"/>
      </w:tabs>
      <w:spacing w:after="0" w:line="240" w:lineRule="auto"/>
    </w:pPr>
  </w:style>
  <w:style w:type="character" w:customStyle="1" w:styleId="HeaderChar">
    <w:name w:val="Header Char"/>
    <w:basedOn w:val="DefaultParagraphFont"/>
    <w:link w:val="Header"/>
    <w:rsid w:val="00AF12A8"/>
    <w:rPr>
      <w:sz w:val="20"/>
      <w:szCs w:val="20"/>
      <w:lang w:val="es-ES"/>
    </w:rPr>
  </w:style>
  <w:style w:type="paragraph" w:styleId="Footer">
    <w:name w:val="footer"/>
    <w:basedOn w:val="Normal"/>
    <w:link w:val="FooterChar"/>
    <w:uiPriority w:val="99"/>
    <w:unhideWhenUsed/>
    <w:rsid w:val="00AF12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2A8"/>
    <w:rPr>
      <w:sz w:val="20"/>
      <w:szCs w:val="20"/>
      <w:lang w:val="es-ES"/>
    </w:rPr>
  </w:style>
  <w:style w:type="character" w:styleId="UnresolvedMention">
    <w:name w:val="Unresolved Mention"/>
    <w:basedOn w:val="DefaultParagraphFont"/>
    <w:uiPriority w:val="99"/>
    <w:semiHidden/>
    <w:unhideWhenUsed/>
    <w:rsid w:val="006821D9"/>
    <w:rPr>
      <w:color w:val="605E5C"/>
      <w:shd w:val="clear" w:color="auto" w:fill="E1DFDD"/>
    </w:rPr>
  </w:style>
  <w:style w:type="paragraph" w:styleId="Caption">
    <w:name w:val="caption"/>
    <w:basedOn w:val="Normal"/>
    <w:next w:val="Normal"/>
    <w:uiPriority w:val="35"/>
    <w:unhideWhenUsed/>
    <w:qFormat/>
    <w:rsid w:val="004A1ED3"/>
    <w:pPr>
      <w:spacing w:after="200" w:line="240" w:lineRule="auto"/>
    </w:pPr>
    <w:rPr>
      <w:i/>
      <w:iCs/>
      <w:color w:val="0E2841" w:themeColor="text2"/>
      <w:sz w:val="18"/>
      <w:szCs w:val="18"/>
    </w:rPr>
  </w:style>
  <w:style w:type="character" w:styleId="CommentReference">
    <w:name w:val="annotation reference"/>
    <w:basedOn w:val="DefaultParagraphFont"/>
    <w:uiPriority w:val="99"/>
    <w:semiHidden/>
    <w:unhideWhenUsed/>
    <w:rsid w:val="00B420B0"/>
    <w:rPr>
      <w:sz w:val="16"/>
      <w:szCs w:val="16"/>
    </w:rPr>
  </w:style>
  <w:style w:type="table" w:styleId="GridTable5Dark-Accent1">
    <w:name w:val="Grid Table 5 Dark Accent 1"/>
    <w:basedOn w:val="TableNormal"/>
    <w:uiPriority w:val="50"/>
    <w:rsid w:val="00B420B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GridTable4-Accent1">
    <w:name w:val="Grid Table 4 Accent 1"/>
    <w:basedOn w:val="TableNormal"/>
    <w:uiPriority w:val="49"/>
    <w:rsid w:val="00B420B0"/>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TOC3">
    <w:name w:val="toc 3"/>
    <w:basedOn w:val="Normal"/>
    <w:next w:val="Normal"/>
    <w:autoRedefine/>
    <w:uiPriority w:val="39"/>
    <w:unhideWhenUsed/>
    <w:rsid w:val="00B420B0"/>
    <w:pPr>
      <w:spacing w:after="100"/>
      <w:ind w:left="400"/>
    </w:pPr>
  </w:style>
  <w:style w:type="paragraph" w:styleId="TOC4">
    <w:name w:val="toc 4"/>
    <w:basedOn w:val="Normal"/>
    <w:next w:val="Normal"/>
    <w:autoRedefine/>
    <w:uiPriority w:val="39"/>
    <w:unhideWhenUsed/>
    <w:rsid w:val="004E5E75"/>
    <w:pPr>
      <w:spacing w:after="100"/>
      <w:ind w:left="720"/>
      <w:jc w:val="left"/>
    </w:pPr>
    <w:rPr>
      <w:rFonts w:eastAsiaTheme="minorEastAsia"/>
      <w:sz w:val="24"/>
      <w:szCs w:val="24"/>
      <w:lang w:eastAsia="en-AU"/>
    </w:rPr>
  </w:style>
  <w:style w:type="paragraph" w:styleId="TOC5">
    <w:name w:val="toc 5"/>
    <w:basedOn w:val="Normal"/>
    <w:next w:val="Normal"/>
    <w:autoRedefine/>
    <w:uiPriority w:val="39"/>
    <w:unhideWhenUsed/>
    <w:rsid w:val="004E5E75"/>
    <w:pPr>
      <w:spacing w:after="100"/>
      <w:ind w:left="960"/>
      <w:jc w:val="left"/>
    </w:pPr>
    <w:rPr>
      <w:rFonts w:eastAsiaTheme="minorEastAsia"/>
      <w:sz w:val="24"/>
      <w:szCs w:val="24"/>
      <w:lang w:eastAsia="en-AU"/>
    </w:rPr>
  </w:style>
  <w:style w:type="paragraph" w:styleId="TOC6">
    <w:name w:val="toc 6"/>
    <w:basedOn w:val="Normal"/>
    <w:next w:val="Normal"/>
    <w:autoRedefine/>
    <w:uiPriority w:val="39"/>
    <w:unhideWhenUsed/>
    <w:rsid w:val="004E5E75"/>
    <w:pPr>
      <w:spacing w:after="100"/>
      <w:ind w:left="1200"/>
      <w:jc w:val="left"/>
    </w:pPr>
    <w:rPr>
      <w:rFonts w:eastAsiaTheme="minorEastAsia"/>
      <w:sz w:val="24"/>
      <w:szCs w:val="24"/>
      <w:lang w:eastAsia="en-AU"/>
    </w:rPr>
  </w:style>
  <w:style w:type="paragraph" w:styleId="TOC7">
    <w:name w:val="toc 7"/>
    <w:basedOn w:val="Normal"/>
    <w:next w:val="Normal"/>
    <w:autoRedefine/>
    <w:uiPriority w:val="39"/>
    <w:unhideWhenUsed/>
    <w:rsid w:val="004E5E75"/>
    <w:pPr>
      <w:spacing w:after="100"/>
      <w:ind w:left="1440"/>
      <w:jc w:val="left"/>
    </w:pPr>
    <w:rPr>
      <w:rFonts w:eastAsiaTheme="minorEastAsia"/>
      <w:sz w:val="24"/>
      <w:szCs w:val="24"/>
      <w:lang w:eastAsia="en-AU"/>
    </w:rPr>
  </w:style>
  <w:style w:type="paragraph" w:styleId="TOC8">
    <w:name w:val="toc 8"/>
    <w:basedOn w:val="Normal"/>
    <w:next w:val="Normal"/>
    <w:autoRedefine/>
    <w:uiPriority w:val="39"/>
    <w:unhideWhenUsed/>
    <w:rsid w:val="004E5E75"/>
    <w:pPr>
      <w:spacing w:after="100"/>
      <w:ind w:left="1680"/>
      <w:jc w:val="left"/>
    </w:pPr>
    <w:rPr>
      <w:rFonts w:eastAsiaTheme="minorEastAsia"/>
      <w:sz w:val="24"/>
      <w:szCs w:val="24"/>
      <w:lang w:eastAsia="en-AU"/>
    </w:rPr>
  </w:style>
  <w:style w:type="paragraph" w:styleId="TOC9">
    <w:name w:val="toc 9"/>
    <w:basedOn w:val="Normal"/>
    <w:next w:val="Normal"/>
    <w:autoRedefine/>
    <w:uiPriority w:val="39"/>
    <w:unhideWhenUsed/>
    <w:rsid w:val="004E5E75"/>
    <w:pPr>
      <w:spacing w:after="100"/>
      <w:ind w:left="1920"/>
      <w:jc w:val="left"/>
    </w:pPr>
    <w:rPr>
      <w:rFonts w:eastAsiaTheme="minorEastAsia"/>
      <w:sz w:val="24"/>
      <w:szCs w:val="24"/>
      <w:lang w:eastAsia="en-AU"/>
    </w:rPr>
  </w:style>
  <w:style w:type="paragraph" w:styleId="Revision">
    <w:name w:val="Revision"/>
    <w:hidden/>
    <w:uiPriority w:val="99"/>
    <w:semiHidden/>
    <w:rsid w:val="007B6DA7"/>
    <w:pPr>
      <w:spacing w:after="0" w:line="240" w:lineRule="auto"/>
    </w:pPr>
    <w:rPr>
      <w:sz w:val="20"/>
      <w:szCs w:val="20"/>
    </w:rPr>
  </w:style>
  <w:style w:type="paragraph" w:styleId="CommentText">
    <w:name w:val="annotation text"/>
    <w:basedOn w:val="Normal"/>
    <w:link w:val="CommentTextChar"/>
    <w:uiPriority w:val="99"/>
    <w:unhideWhenUsed/>
    <w:rsid w:val="00DE62C5"/>
    <w:pPr>
      <w:spacing w:line="240" w:lineRule="auto"/>
    </w:pPr>
  </w:style>
  <w:style w:type="character" w:customStyle="1" w:styleId="CommentTextChar">
    <w:name w:val="Comment Text Char"/>
    <w:basedOn w:val="DefaultParagraphFont"/>
    <w:link w:val="CommentText"/>
    <w:uiPriority w:val="99"/>
    <w:rsid w:val="00DE62C5"/>
    <w:rPr>
      <w:sz w:val="20"/>
      <w:szCs w:val="20"/>
      <w:lang w:val="es-ES"/>
    </w:rPr>
  </w:style>
  <w:style w:type="paragraph" w:styleId="CommentSubject">
    <w:name w:val="annotation subject"/>
    <w:basedOn w:val="CommentText"/>
    <w:next w:val="CommentText"/>
    <w:link w:val="CommentSubjectChar"/>
    <w:uiPriority w:val="99"/>
    <w:semiHidden/>
    <w:unhideWhenUsed/>
    <w:rsid w:val="00DE62C5"/>
    <w:rPr>
      <w:b/>
      <w:bCs/>
    </w:rPr>
  </w:style>
  <w:style w:type="character" w:customStyle="1" w:styleId="CommentSubjectChar">
    <w:name w:val="Comment Subject Char"/>
    <w:basedOn w:val="CommentTextChar"/>
    <w:link w:val="CommentSubject"/>
    <w:uiPriority w:val="99"/>
    <w:semiHidden/>
    <w:rsid w:val="00DE62C5"/>
    <w:rPr>
      <w:b/>
      <w:bCs/>
      <w:sz w:val="20"/>
      <w:szCs w:val="20"/>
      <w:lang w:val="es-ES"/>
    </w:rPr>
  </w:style>
  <w:style w:type="paragraph" w:customStyle="1" w:styleId="ONUMFS">
    <w:name w:val="ONUM FS"/>
    <w:basedOn w:val="BodyText"/>
    <w:rsid w:val="00AA4BBB"/>
    <w:pPr>
      <w:numPr>
        <w:numId w:val="44"/>
      </w:numPr>
      <w:tabs>
        <w:tab w:val="clear" w:pos="567"/>
      </w:tabs>
      <w:spacing w:after="220" w:line="240" w:lineRule="auto"/>
      <w:ind w:left="360" w:hanging="360"/>
      <w:jc w:val="left"/>
    </w:pPr>
    <w:rPr>
      <w:rFonts w:ascii="Arial" w:eastAsia="SimSun" w:hAnsi="Arial" w:cs="Arial"/>
      <w:kern w:val="0"/>
      <w:sz w:val="22"/>
      <w:lang w:eastAsia="zh-CN"/>
      <w14:ligatures w14:val="none"/>
    </w:rPr>
  </w:style>
  <w:style w:type="paragraph" w:styleId="BodyText">
    <w:name w:val="Body Text"/>
    <w:basedOn w:val="Normal"/>
    <w:link w:val="BodyTextChar"/>
    <w:uiPriority w:val="99"/>
    <w:semiHidden/>
    <w:unhideWhenUsed/>
    <w:rsid w:val="00AA4BBB"/>
    <w:pPr>
      <w:spacing w:after="120"/>
    </w:pPr>
  </w:style>
  <w:style w:type="character" w:customStyle="1" w:styleId="BodyTextChar">
    <w:name w:val="Body Text Char"/>
    <w:basedOn w:val="DefaultParagraphFont"/>
    <w:link w:val="BodyText"/>
    <w:uiPriority w:val="99"/>
    <w:semiHidden/>
    <w:rsid w:val="00AA4BBB"/>
    <w:rPr>
      <w:sz w:val="20"/>
      <w:szCs w:val="20"/>
      <w:lang w:val="es-ES"/>
    </w:rPr>
  </w:style>
  <w:style w:type="paragraph" w:customStyle="1" w:styleId="Default">
    <w:name w:val="Default"/>
    <w:rsid w:val="00E07E49"/>
    <w:pPr>
      <w:autoSpaceDE w:val="0"/>
      <w:autoSpaceDN w:val="0"/>
      <w:adjustRightInd w:val="0"/>
      <w:spacing w:after="0" w:line="240" w:lineRule="auto"/>
    </w:pPr>
    <w:rPr>
      <w:rFonts w:ascii="Times New Roman" w:eastAsia="Batang" w:hAnsi="Times New Roman" w:cs="Times New Roman"/>
      <w:color w:val="000000"/>
      <w:kern w:val="0"/>
      <w:lang w:eastAsia="ko-KR"/>
      <w14:ligatures w14:val="none"/>
    </w:rPr>
  </w:style>
  <w:style w:type="paragraph" w:customStyle="1" w:styleId="Endofdocument">
    <w:name w:val="End of document"/>
    <w:basedOn w:val="Normal"/>
    <w:rsid w:val="00970B59"/>
    <w:pPr>
      <w:spacing w:after="0" w:line="260" w:lineRule="atLeast"/>
      <w:ind w:left="5534"/>
      <w:jc w:val="left"/>
    </w:pPr>
    <w:rPr>
      <w:rFonts w:ascii="Arial" w:eastAsia="Times New Roman" w:hAnsi="Arial" w:cs="Times New Roman"/>
      <w:kern w:val="0"/>
      <w:sz w:val="22"/>
      <w14:ligatures w14:val="none"/>
    </w:rPr>
  </w:style>
  <w:style w:type="character" w:styleId="FollowedHyperlink">
    <w:name w:val="FollowedHyperlink"/>
    <w:basedOn w:val="DefaultParagraphFont"/>
    <w:uiPriority w:val="99"/>
    <w:semiHidden/>
    <w:unhideWhenUsed/>
    <w:rsid w:val="00E60E0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40782">
      <w:bodyDiv w:val="1"/>
      <w:marLeft w:val="0"/>
      <w:marRight w:val="0"/>
      <w:marTop w:val="0"/>
      <w:marBottom w:val="0"/>
      <w:divBdr>
        <w:top w:val="none" w:sz="0" w:space="0" w:color="auto"/>
        <w:left w:val="none" w:sz="0" w:space="0" w:color="auto"/>
        <w:bottom w:val="none" w:sz="0" w:space="0" w:color="auto"/>
        <w:right w:val="none" w:sz="0" w:space="0" w:color="auto"/>
      </w:divBdr>
    </w:div>
    <w:div w:id="75589079">
      <w:bodyDiv w:val="1"/>
      <w:marLeft w:val="0"/>
      <w:marRight w:val="0"/>
      <w:marTop w:val="0"/>
      <w:marBottom w:val="0"/>
      <w:divBdr>
        <w:top w:val="none" w:sz="0" w:space="0" w:color="auto"/>
        <w:left w:val="none" w:sz="0" w:space="0" w:color="auto"/>
        <w:bottom w:val="none" w:sz="0" w:space="0" w:color="auto"/>
        <w:right w:val="none" w:sz="0" w:space="0" w:color="auto"/>
      </w:divBdr>
      <w:divsChild>
        <w:div w:id="678241092">
          <w:marLeft w:val="0"/>
          <w:marRight w:val="0"/>
          <w:marTop w:val="0"/>
          <w:marBottom w:val="0"/>
          <w:divBdr>
            <w:top w:val="none" w:sz="0" w:space="0" w:color="auto"/>
            <w:left w:val="none" w:sz="0" w:space="0" w:color="auto"/>
            <w:bottom w:val="none" w:sz="0" w:space="0" w:color="auto"/>
            <w:right w:val="none" w:sz="0" w:space="0" w:color="auto"/>
          </w:divBdr>
        </w:div>
      </w:divsChild>
    </w:div>
    <w:div w:id="279148604">
      <w:bodyDiv w:val="1"/>
      <w:marLeft w:val="0"/>
      <w:marRight w:val="0"/>
      <w:marTop w:val="0"/>
      <w:marBottom w:val="0"/>
      <w:divBdr>
        <w:top w:val="none" w:sz="0" w:space="0" w:color="auto"/>
        <w:left w:val="none" w:sz="0" w:space="0" w:color="auto"/>
        <w:bottom w:val="none" w:sz="0" w:space="0" w:color="auto"/>
        <w:right w:val="none" w:sz="0" w:space="0" w:color="auto"/>
      </w:divBdr>
    </w:div>
    <w:div w:id="297076415">
      <w:bodyDiv w:val="1"/>
      <w:marLeft w:val="0"/>
      <w:marRight w:val="0"/>
      <w:marTop w:val="0"/>
      <w:marBottom w:val="0"/>
      <w:divBdr>
        <w:top w:val="none" w:sz="0" w:space="0" w:color="auto"/>
        <w:left w:val="none" w:sz="0" w:space="0" w:color="auto"/>
        <w:bottom w:val="none" w:sz="0" w:space="0" w:color="auto"/>
        <w:right w:val="none" w:sz="0" w:space="0" w:color="auto"/>
      </w:divBdr>
    </w:div>
    <w:div w:id="527525900">
      <w:bodyDiv w:val="1"/>
      <w:marLeft w:val="0"/>
      <w:marRight w:val="0"/>
      <w:marTop w:val="0"/>
      <w:marBottom w:val="0"/>
      <w:divBdr>
        <w:top w:val="none" w:sz="0" w:space="0" w:color="auto"/>
        <w:left w:val="none" w:sz="0" w:space="0" w:color="auto"/>
        <w:bottom w:val="none" w:sz="0" w:space="0" w:color="auto"/>
        <w:right w:val="none" w:sz="0" w:space="0" w:color="auto"/>
      </w:divBdr>
      <w:divsChild>
        <w:div w:id="1602034721">
          <w:marLeft w:val="0"/>
          <w:marRight w:val="0"/>
          <w:marTop w:val="0"/>
          <w:marBottom w:val="0"/>
          <w:divBdr>
            <w:top w:val="none" w:sz="0" w:space="0" w:color="auto"/>
            <w:left w:val="none" w:sz="0" w:space="0" w:color="auto"/>
            <w:bottom w:val="none" w:sz="0" w:space="0" w:color="auto"/>
            <w:right w:val="none" w:sz="0" w:space="0" w:color="auto"/>
          </w:divBdr>
        </w:div>
      </w:divsChild>
    </w:div>
    <w:div w:id="702948777">
      <w:bodyDiv w:val="1"/>
      <w:marLeft w:val="0"/>
      <w:marRight w:val="0"/>
      <w:marTop w:val="0"/>
      <w:marBottom w:val="0"/>
      <w:divBdr>
        <w:top w:val="none" w:sz="0" w:space="0" w:color="auto"/>
        <w:left w:val="none" w:sz="0" w:space="0" w:color="auto"/>
        <w:bottom w:val="none" w:sz="0" w:space="0" w:color="auto"/>
        <w:right w:val="none" w:sz="0" w:space="0" w:color="auto"/>
      </w:divBdr>
    </w:div>
    <w:div w:id="840779580">
      <w:bodyDiv w:val="1"/>
      <w:marLeft w:val="0"/>
      <w:marRight w:val="0"/>
      <w:marTop w:val="0"/>
      <w:marBottom w:val="0"/>
      <w:divBdr>
        <w:top w:val="none" w:sz="0" w:space="0" w:color="auto"/>
        <w:left w:val="none" w:sz="0" w:space="0" w:color="auto"/>
        <w:bottom w:val="none" w:sz="0" w:space="0" w:color="auto"/>
        <w:right w:val="none" w:sz="0" w:space="0" w:color="auto"/>
      </w:divBdr>
    </w:div>
    <w:div w:id="930047345">
      <w:bodyDiv w:val="1"/>
      <w:marLeft w:val="0"/>
      <w:marRight w:val="0"/>
      <w:marTop w:val="0"/>
      <w:marBottom w:val="0"/>
      <w:divBdr>
        <w:top w:val="none" w:sz="0" w:space="0" w:color="auto"/>
        <w:left w:val="none" w:sz="0" w:space="0" w:color="auto"/>
        <w:bottom w:val="none" w:sz="0" w:space="0" w:color="auto"/>
        <w:right w:val="none" w:sz="0" w:space="0" w:color="auto"/>
      </w:divBdr>
    </w:div>
    <w:div w:id="1072507697">
      <w:bodyDiv w:val="1"/>
      <w:marLeft w:val="0"/>
      <w:marRight w:val="0"/>
      <w:marTop w:val="0"/>
      <w:marBottom w:val="0"/>
      <w:divBdr>
        <w:top w:val="none" w:sz="0" w:space="0" w:color="auto"/>
        <w:left w:val="none" w:sz="0" w:space="0" w:color="auto"/>
        <w:bottom w:val="none" w:sz="0" w:space="0" w:color="auto"/>
        <w:right w:val="none" w:sz="0" w:space="0" w:color="auto"/>
      </w:divBdr>
    </w:div>
    <w:div w:id="1082720420">
      <w:bodyDiv w:val="1"/>
      <w:marLeft w:val="0"/>
      <w:marRight w:val="0"/>
      <w:marTop w:val="0"/>
      <w:marBottom w:val="0"/>
      <w:divBdr>
        <w:top w:val="none" w:sz="0" w:space="0" w:color="auto"/>
        <w:left w:val="none" w:sz="0" w:space="0" w:color="auto"/>
        <w:bottom w:val="none" w:sz="0" w:space="0" w:color="auto"/>
        <w:right w:val="none" w:sz="0" w:space="0" w:color="auto"/>
      </w:divBdr>
    </w:div>
    <w:div w:id="1135414424">
      <w:bodyDiv w:val="1"/>
      <w:marLeft w:val="0"/>
      <w:marRight w:val="0"/>
      <w:marTop w:val="0"/>
      <w:marBottom w:val="0"/>
      <w:divBdr>
        <w:top w:val="none" w:sz="0" w:space="0" w:color="auto"/>
        <w:left w:val="none" w:sz="0" w:space="0" w:color="auto"/>
        <w:bottom w:val="none" w:sz="0" w:space="0" w:color="auto"/>
        <w:right w:val="none" w:sz="0" w:space="0" w:color="auto"/>
      </w:divBdr>
    </w:div>
    <w:div w:id="1303390847">
      <w:bodyDiv w:val="1"/>
      <w:marLeft w:val="0"/>
      <w:marRight w:val="0"/>
      <w:marTop w:val="0"/>
      <w:marBottom w:val="0"/>
      <w:divBdr>
        <w:top w:val="none" w:sz="0" w:space="0" w:color="auto"/>
        <w:left w:val="none" w:sz="0" w:space="0" w:color="auto"/>
        <w:bottom w:val="none" w:sz="0" w:space="0" w:color="auto"/>
        <w:right w:val="none" w:sz="0" w:space="0" w:color="auto"/>
      </w:divBdr>
    </w:div>
    <w:div w:id="1308247278">
      <w:bodyDiv w:val="1"/>
      <w:marLeft w:val="0"/>
      <w:marRight w:val="0"/>
      <w:marTop w:val="0"/>
      <w:marBottom w:val="0"/>
      <w:divBdr>
        <w:top w:val="none" w:sz="0" w:space="0" w:color="auto"/>
        <w:left w:val="none" w:sz="0" w:space="0" w:color="auto"/>
        <w:bottom w:val="none" w:sz="0" w:space="0" w:color="auto"/>
        <w:right w:val="none" w:sz="0" w:space="0" w:color="auto"/>
      </w:divBdr>
    </w:div>
    <w:div w:id="1393894936">
      <w:bodyDiv w:val="1"/>
      <w:marLeft w:val="0"/>
      <w:marRight w:val="0"/>
      <w:marTop w:val="0"/>
      <w:marBottom w:val="0"/>
      <w:divBdr>
        <w:top w:val="none" w:sz="0" w:space="0" w:color="auto"/>
        <w:left w:val="none" w:sz="0" w:space="0" w:color="auto"/>
        <w:bottom w:val="none" w:sz="0" w:space="0" w:color="auto"/>
        <w:right w:val="none" w:sz="0" w:space="0" w:color="auto"/>
      </w:divBdr>
    </w:div>
    <w:div w:id="1476023767">
      <w:bodyDiv w:val="1"/>
      <w:marLeft w:val="0"/>
      <w:marRight w:val="0"/>
      <w:marTop w:val="0"/>
      <w:marBottom w:val="0"/>
      <w:divBdr>
        <w:top w:val="none" w:sz="0" w:space="0" w:color="auto"/>
        <w:left w:val="none" w:sz="0" w:space="0" w:color="auto"/>
        <w:bottom w:val="none" w:sz="0" w:space="0" w:color="auto"/>
        <w:right w:val="none" w:sz="0" w:space="0" w:color="auto"/>
      </w:divBdr>
    </w:div>
    <w:div w:id="1565871882">
      <w:bodyDiv w:val="1"/>
      <w:marLeft w:val="0"/>
      <w:marRight w:val="0"/>
      <w:marTop w:val="0"/>
      <w:marBottom w:val="0"/>
      <w:divBdr>
        <w:top w:val="none" w:sz="0" w:space="0" w:color="auto"/>
        <w:left w:val="none" w:sz="0" w:space="0" w:color="auto"/>
        <w:bottom w:val="none" w:sz="0" w:space="0" w:color="auto"/>
        <w:right w:val="none" w:sz="0" w:space="0" w:color="auto"/>
      </w:divBdr>
    </w:div>
    <w:div w:id="1585214562">
      <w:bodyDiv w:val="1"/>
      <w:marLeft w:val="0"/>
      <w:marRight w:val="0"/>
      <w:marTop w:val="0"/>
      <w:marBottom w:val="0"/>
      <w:divBdr>
        <w:top w:val="none" w:sz="0" w:space="0" w:color="auto"/>
        <w:left w:val="none" w:sz="0" w:space="0" w:color="auto"/>
        <w:bottom w:val="none" w:sz="0" w:space="0" w:color="auto"/>
        <w:right w:val="none" w:sz="0" w:space="0" w:color="auto"/>
      </w:divBdr>
    </w:div>
    <w:div w:id="198778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catalogue.wipo.int/projects/DA_1_10_19_30_31_45_1"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meetings/es/doc_details.jsp?doc_id=58451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BCD34-8E7C-42E7-A77E-9AD2EECE0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2408</Words>
  <Characters>13727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Taubman</dc:creator>
  <cp:keywords/>
  <dc:description/>
  <cp:lastModifiedBy>ESTEVES DOS SANTOS Anabela</cp:lastModifiedBy>
  <cp:revision>2</cp:revision>
  <dcterms:created xsi:type="dcterms:W3CDTF">2025-04-23T14:39:00Z</dcterms:created>
  <dcterms:modified xsi:type="dcterms:W3CDTF">2025-04-23T14:39:00Z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2025-03-27T15:11:29Z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9b50f094-0e05-44d5-956e-4d3019db258e</vt:lpwstr>
  </property>
  <property fmtid="{D5CDD505-2E9C-101B-9397-08002B2CF9AE}" pid="8" name="MSIP_Label_20773ee6-353b-4fb9-a59d-0b94c8c67bea_ContentBits">
    <vt:lpwstr>0</vt:lpwstr>
  </property>
  <property fmtid="{D5CDD505-2E9C-101B-9397-08002B2CF9AE}" pid="9" name="MSIP_Label_20773ee6-353b-4fb9-a59d-0b94c8c67bea_Tag">
    <vt:lpwstr>10, 0, 1, 1</vt:lpwstr>
  </property>
</Properties>
</file>