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248BD02" w14:textId="77777777" w:rsidR="00111424" w:rsidRPr="00111424" w:rsidRDefault="00111424" w:rsidP="00111424">
      <w:pPr>
        <w:spacing w:after="0" w:line="240" w:lineRule="auto"/>
        <w:jc w:val="right"/>
        <w:rPr>
          <w:rFonts w:ascii="Arial Black" w:hAnsi="Arial Black" w:cs="Arial"/>
          <w:caps/>
          <w:sz w:val="15"/>
          <w:szCs w:val="20"/>
        </w:rPr>
      </w:pPr>
      <w:r w:rsidRPr="00111424">
        <w:rPr>
          <w:rFonts w:ascii="Arial" w:hAnsi="Arial" w:cs="Times New Roman" w:hint="eastAsia"/>
          <w:noProof/>
          <w:szCs w:val="20"/>
        </w:rPr>
        <w:drawing>
          <wp:inline distT="0" distB="0" distL="0" distR="0" wp14:anchorId="0DDEA8BF" wp14:editId="31FC511F">
            <wp:extent cx="3102650" cy="1333676"/>
            <wp:effectExtent l="0" t="0" r="2540" b="0"/>
            <wp:docPr id="2" name="Picture 1" descr="世界知识产权组织徽标的上扬曲线令人联想到创新创造所驱动的人类的进步。" title="世界知识产权组织徽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IPO_logo_C.png"/>
                    <pic:cNvPicPr/>
                  </pic:nvPicPr>
                  <pic:blipFill>
                    <a:blip r:embed="rId10">
                      <a:extLst>
                        <a:ext uri="{28A0092B-C50C-407E-A947-70E740481C1C}">
                          <a14:useLocalDpi xmlns:a14="http://schemas.microsoft.com/office/drawing/2010/main" val="0"/>
                        </a:ext>
                      </a:extLst>
                    </a:blip>
                    <a:stretch>
                      <a:fillRect/>
                    </a:stretch>
                  </pic:blipFill>
                  <pic:spPr>
                    <a:xfrm>
                      <a:off x="0" y="0"/>
                      <a:ext cx="3102650" cy="1333676"/>
                    </a:xfrm>
                    <a:prstGeom prst="rect">
                      <a:avLst/>
                    </a:prstGeom>
                  </pic:spPr>
                </pic:pic>
              </a:graphicData>
            </a:graphic>
          </wp:inline>
        </w:drawing>
      </w:r>
    </w:p>
    <w:p w14:paraId="6B87D8B4" w14:textId="400F6F38" w:rsidR="00111424" w:rsidRPr="00111424" w:rsidRDefault="00111424" w:rsidP="00111424">
      <w:pPr>
        <w:pBdr>
          <w:top w:val="single" w:sz="4" w:space="10" w:color="auto"/>
        </w:pBdr>
        <w:wordWrap w:val="0"/>
        <w:spacing w:before="120" w:after="0" w:line="240" w:lineRule="auto"/>
        <w:jc w:val="right"/>
        <w:rPr>
          <w:rFonts w:ascii="Arial Black" w:hAnsi="Arial Black" w:cs="Arial"/>
          <w:b/>
          <w:caps/>
          <w:sz w:val="15"/>
          <w:szCs w:val="20"/>
        </w:rPr>
      </w:pPr>
      <w:r w:rsidRPr="00111424">
        <w:rPr>
          <w:rFonts w:ascii="Arial Black" w:hAnsi="Arial Black" w:cs="Arial" w:hint="eastAsia"/>
          <w:b/>
          <w:caps/>
          <w:sz w:val="15"/>
          <w:szCs w:val="20"/>
        </w:rPr>
        <w:t>CDIP/33/</w:t>
      </w:r>
      <w:bookmarkStart w:id="0" w:name="Code"/>
      <w:r w:rsidR="00A12A8A">
        <w:rPr>
          <w:rFonts w:ascii="Arial Black" w:hAnsi="Arial Black" w:cs="Arial" w:hint="eastAsia"/>
          <w:b/>
          <w:caps/>
          <w:sz w:val="15"/>
          <w:szCs w:val="20"/>
        </w:rPr>
        <w:t>4</w:t>
      </w:r>
    </w:p>
    <w:bookmarkEnd w:id="0"/>
    <w:p w14:paraId="55916FA5" w14:textId="77777777" w:rsidR="00111424" w:rsidRPr="00111424" w:rsidRDefault="00111424" w:rsidP="00111424">
      <w:pPr>
        <w:spacing w:after="0" w:line="240" w:lineRule="auto"/>
        <w:jc w:val="right"/>
        <w:rPr>
          <w:rFonts w:ascii="Arial Black" w:hAnsi="Arial Black" w:cs="Arial"/>
          <w:b/>
          <w:caps/>
          <w:sz w:val="15"/>
          <w:szCs w:val="15"/>
        </w:rPr>
      </w:pPr>
      <w:r w:rsidRPr="00111424">
        <w:rPr>
          <w:rFonts w:ascii="Arial" w:eastAsia="SimHei" w:hAnsi="Arial" w:cs="Arial" w:hint="eastAsia"/>
          <w:b/>
          <w:sz w:val="15"/>
          <w:szCs w:val="15"/>
        </w:rPr>
        <w:t>原文</w:t>
      </w:r>
      <w:r w:rsidRPr="00111424">
        <w:rPr>
          <w:rFonts w:ascii="Arial" w:eastAsia="SimHei" w:hAnsi="Arial" w:cs="Arial" w:hint="eastAsia"/>
          <w:b/>
          <w:sz w:val="15"/>
          <w:szCs w:val="15"/>
          <w:lang w:val="pt-BR"/>
        </w:rPr>
        <w:t>：</w:t>
      </w:r>
      <w:bookmarkStart w:id="1" w:name="Original"/>
      <w:r w:rsidRPr="00111424">
        <w:rPr>
          <w:rFonts w:ascii="Arial" w:eastAsia="SimHei" w:hAnsi="Arial" w:cs="Arial" w:hint="eastAsia"/>
          <w:b/>
          <w:sz w:val="15"/>
          <w:szCs w:val="15"/>
          <w:lang w:val="pt-BR"/>
        </w:rPr>
        <w:t>英</w:t>
      </w:r>
      <w:r w:rsidRPr="00111424">
        <w:rPr>
          <w:rFonts w:ascii="Arial" w:eastAsia="SimHei" w:hAnsi="Arial" w:cs="Arial" w:hint="eastAsia"/>
          <w:b/>
          <w:sz w:val="15"/>
          <w:szCs w:val="15"/>
        </w:rPr>
        <w:t>文</w:t>
      </w:r>
      <w:bookmarkEnd w:id="1"/>
    </w:p>
    <w:p w14:paraId="4774E954" w14:textId="0C1F8972" w:rsidR="00111424" w:rsidRPr="00111424" w:rsidRDefault="00111424" w:rsidP="00111424">
      <w:pPr>
        <w:spacing w:after="0" w:line="1680" w:lineRule="auto"/>
        <w:jc w:val="right"/>
        <w:rPr>
          <w:rFonts w:ascii="SimHei" w:eastAsia="SimHei" w:hAnsi="Arial Black" w:cs="Arial"/>
          <w:b/>
          <w:caps/>
          <w:sz w:val="15"/>
          <w:szCs w:val="15"/>
        </w:rPr>
      </w:pPr>
      <w:r w:rsidRPr="00111424">
        <w:rPr>
          <w:rFonts w:ascii="SimHei" w:eastAsia="SimHei" w:hAnsi="Arial" w:cs="Arial" w:hint="eastAsia"/>
          <w:b/>
          <w:sz w:val="15"/>
          <w:szCs w:val="15"/>
        </w:rPr>
        <w:t>日期</w:t>
      </w:r>
      <w:r w:rsidRPr="00111424">
        <w:rPr>
          <w:rFonts w:ascii="SimHei" w:eastAsia="SimHei" w:hAnsi="SimSun" w:cs="Arial" w:hint="eastAsia"/>
          <w:b/>
          <w:sz w:val="15"/>
          <w:szCs w:val="15"/>
          <w:lang w:val="pt-BR"/>
        </w:rPr>
        <w:t>：</w:t>
      </w:r>
      <w:bookmarkStart w:id="2" w:name="Date"/>
      <w:r w:rsidRPr="00111424">
        <w:rPr>
          <w:rFonts w:ascii="Arial Black" w:eastAsia="SimHei" w:hAnsi="Arial Black" w:cs="Arial" w:hint="eastAsia"/>
          <w:b/>
          <w:sz w:val="15"/>
          <w:szCs w:val="15"/>
          <w:lang w:val="pt-BR"/>
        </w:rPr>
        <w:t>2024</w:t>
      </w:r>
      <w:r w:rsidRPr="00111424">
        <w:rPr>
          <w:rFonts w:ascii="SimHei" w:eastAsia="SimHei" w:hAnsi="Times New Roman" w:cs="Arial" w:hint="eastAsia"/>
          <w:b/>
          <w:sz w:val="15"/>
          <w:szCs w:val="15"/>
        </w:rPr>
        <w:t>年</w:t>
      </w:r>
      <w:r w:rsidRPr="00111424">
        <w:rPr>
          <w:rFonts w:ascii="Arial Black" w:eastAsia="SimHei" w:hAnsi="Arial Black" w:cs="Arial" w:hint="eastAsia"/>
          <w:b/>
          <w:sz w:val="15"/>
          <w:szCs w:val="15"/>
          <w:lang w:val="pt-BR"/>
        </w:rPr>
        <w:t>10</w:t>
      </w:r>
      <w:r w:rsidRPr="00111424">
        <w:rPr>
          <w:rFonts w:ascii="SimHei" w:eastAsia="SimHei" w:hAnsi="Times New Roman" w:cs="Arial" w:hint="eastAsia"/>
          <w:b/>
          <w:sz w:val="15"/>
          <w:szCs w:val="15"/>
        </w:rPr>
        <w:t>月</w:t>
      </w:r>
      <w:r w:rsidR="00A12A8A">
        <w:rPr>
          <w:rFonts w:ascii="Arial Black" w:eastAsia="SimHei" w:hAnsi="Arial Black" w:cs="Arial" w:hint="eastAsia"/>
          <w:b/>
          <w:sz w:val="15"/>
          <w:szCs w:val="15"/>
          <w:lang w:val="pt-BR"/>
        </w:rPr>
        <w:t>7</w:t>
      </w:r>
      <w:r w:rsidRPr="00111424">
        <w:rPr>
          <w:rFonts w:ascii="SimHei" w:eastAsia="SimHei" w:hAnsi="Times New Roman" w:cs="Arial" w:hint="eastAsia"/>
          <w:b/>
          <w:sz w:val="15"/>
          <w:szCs w:val="15"/>
        </w:rPr>
        <w:t>日</w:t>
      </w:r>
      <w:bookmarkEnd w:id="2"/>
    </w:p>
    <w:p w14:paraId="6B2813EE" w14:textId="77777777" w:rsidR="00111424" w:rsidRPr="00111424" w:rsidRDefault="00111424" w:rsidP="00111424">
      <w:pPr>
        <w:spacing w:after="600" w:line="240" w:lineRule="auto"/>
        <w:rPr>
          <w:rFonts w:ascii="SimHei" w:eastAsia="SimHei" w:hAnsi="Arial" w:cs="Arial"/>
          <w:sz w:val="28"/>
          <w:szCs w:val="28"/>
        </w:rPr>
      </w:pPr>
      <w:r w:rsidRPr="00111424">
        <w:rPr>
          <w:rFonts w:ascii="SimHei" w:eastAsia="SimHei" w:hAnsi="Arial" w:cs="Arial" w:hint="eastAsia"/>
          <w:sz w:val="28"/>
          <w:szCs w:val="28"/>
        </w:rPr>
        <w:t>发展与知识产权委员会（CDIP）</w:t>
      </w:r>
    </w:p>
    <w:p w14:paraId="7B91782F" w14:textId="77777777" w:rsidR="00111424" w:rsidRPr="00111424" w:rsidRDefault="00111424" w:rsidP="00111424">
      <w:pPr>
        <w:spacing w:after="720" w:line="240" w:lineRule="auto"/>
        <w:textAlignment w:val="bottom"/>
        <w:rPr>
          <w:rFonts w:ascii="KaiTi" w:eastAsia="KaiTi" w:hAnsi="KaiTi" w:cs="Arial"/>
          <w:b/>
          <w:sz w:val="24"/>
          <w:szCs w:val="20"/>
        </w:rPr>
      </w:pPr>
      <w:r w:rsidRPr="00111424">
        <w:rPr>
          <w:rFonts w:ascii="KaiTi" w:eastAsia="KaiTi" w:hAnsi="Arial" w:cs="Arial" w:hint="eastAsia"/>
          <w:b/>
          <w:sz w:val="24"/>
          <w:szCs w:val="20"/>
        </w:rPr>
        <w:t>第三十三届会议</w:t>
      </w:r>
      <w:r w:rsidRPr="00111424">
        <w:rPr>
          <w:rFonts w:ascii="KaiTi" w:eastAsia="KaiTi" w:hAnsi="Arial" w:cs="Arial" w:hint="eastAsia"/>
          <w:b/>
          <w:sz w:val="24"/>
          <w:szCs w:val="20"/>
        </w:rPr>
        <w:br/>
      </w:r>
      <w:r w:rsidRPr="00111424">
        <w:rPr>
          <w:rFonts w:ascii="KaiTi" w:eastAsia="KaiTi" w:hAnsi="KaiTi" w:cs="Arial" w:hint="eastAsia"/>
          <w:sz w:val="24"/>
          <w:szCs w:val="20"/>
        </w:rPr>
        <w:t>2024</w:t>
      </w:r>
      <w:r w:rsidRPr="00111424">
        <w:rPr>
          <w:rFonts w:ascii="KaiTi" w:eastAsia="KaiTi" w:hAnsi="KaiTi" w:cs="Arial" w:hint="eastAsia"/>
          <w:b/>
          <w:sz w:val="24"/>
          <w:szCs w:val="20"/>
        </w:rPr>
        <w:t>年</w:t>
      </w:r>
      <w:r w:rsidRPr="00111424">
        <w:rPr>
          <w:rFonts w:ascii="KaiTi" w:eastAsia="KaiTi" w:hAnsi="KaiTi" w:cs="Arial" w:hint="eastAsia"/>
          <w:sz w:val="24"/>
          <w:szCs w:val="20"/>
        </w:rPr>
        <w:t>12</w:t>
      </w:r>
      <w:r w:rsidRPr="00111424">
        <w:rPr>
          <w:rFonts w:ascii="KaiTi" w:eastAsia="KaiTi" w:hAnsi="KaiTi" w:cs="Arial" w:hint="eastAsia"/>
          <w:b/>
          <w:sz w:val="24"/>
          <w:szCs w:val="20"/>
        </w:rPr>
        <w:t>月</w:t>
      </w:r>
      <w:r w:rsidRPr="00111424">
        <w:rPr>
          <w:rFonts w:ascii="KaiTi" w:eastAsia="KaiTi" w:hAnsi="KaiTi" w:cs="Arial" w:hint="eastAsia"/>
          <w:sz w:val="24"/>
          <w:szCs w:val="20"/>
        </w:rPr>
        <w:t>9</w:t>
      </w:r>
      <w:r w:rsidRPr="00111424">
        <w:rPr>
          <w:rFonts w:ascii="KaiTi" w:eastAsia="KaiTi" w:hAnsi="KaiTi" w:cs="Arial" w:hint="eastAsia"/>
          <w:b/>
          <w:sz w:val="24"/>
          <w:szCs w:val="20"/>
        </w:rPr>
        <w:t>日至</w:t>
      </w:r>
      <w:r w:rsidRPr="00111424">
        <w:rPr>
          <w:rFonts w:ascii="KaiTi" w:eastAsia="KaiTi" w:hAnsi="KaiTi" w:cs="Arial" w:hint="eastAsia"/>
          <w:sz w:val="24"/>
          <w:szCs w:val="20"/>
        </w:rPr>
        <w:t>13</w:t>
      </w:r>
      <w:r w:rsidRPr="00111424">
        <w:rPr>
          <w:rFonts w:ascii="KaiTi" w:eastAsia="KaiTi" w:hAnsi="KaiTi" w:cs="Arial" w:hint="eastAsia"/>
          <w:b/>
          <w:sz w:val="24"/>
          <w:szCs w:val="20"/>
        </w:rPr>
        <w:t>日，日内瓦</w:t>
      </w:r>
    </w:p>
    <w:p w14:paraId="16BCA47A" w14:textId="34C574F3" w:rsidR="00111424" w:rsidRPr="00111424" w:rsidRDefault="00111424" w:rsidP="00111424">
      <w:pPr>
        <w:spacing w:after="360" w:line="240" w:lineRule="auto"/>
        <w:rPr>
          <w:rFonts w:ascii="KaiTi" w:eastAsia="KaiTi" w:hAnsi="KaiTi" w:cs="Times New Roman"/>
          <w:sz w:val="24"/>
          <w:szCs w:val="32"/>
        </w:rPr>
      </w:pPr>
      <w:r w:rsidRPr="00111424">
        <w:rPr>
          <w:rFonts w:ascii="KaiTi" w:eastAsia="KaiTi" w:hAnsi="KaiTi" w:cs="Times New Roman" w:hint="eastAsia"/>
          <w:sz w:val="24"/>
          <w:szCs w:val="32"/>
        </w:rPr>
        <w:t>产权组织合作促进发展领域技术援助独立外部审查</w:t>
      </w:r>
    </w:p>
    <w:p w14:paraId="5DFEAA78" w14:textId="23FF333C" w:rsidR="00111424" w:rsidRPr="00111424" w:rsidRDefault="00111424" w:rsidP="00111424">
      <w:pPr>
        <w:spacing w:after="960" w:line="240" w:lineRule="auto"/>
        <w:rPr>
          <w:rFonts w:ascii="KaiTi" w:eastAsia="KaiTi" w:hAnsi="KaiTi" w:cs="Times New Roman"/>
        </w:rPr>
      </w:pPr>
      <w:r w:rsidRPr="00111424">
        <w:rPr>
          <w:rFonts w:ascii="KaiTi" w:eastAsia="KaiTi" w:hAnsi="KaiTi" w:cs="Times New Roman" w:hint="eastAsia"/>
        </w:rPr>
        <w:t>梅利莎·安德拉德·科斯塔女士、马克西米利亚诺·圣克鲁斯先生和</w:t>
      </w:r>
      <w:r>
        <w:rPr>
          <w:rFonts w:ascii="KaiTi" w:eastAsia="KaiTi" w:hAnsi="KaiTi" w:cs="Times New Roman" w:hint="eastAsia"/>
        </w:rPr>
        <w:br/>
      </w:r>
      <w:r w:rsidRPr="00111424">
        <w:rPr>
          <w:rFonts w:ascii="KaiTi" w:eastAsia="KaiTi" w:hAnsi="KaiTi" w:cs="Times New Roman" w:hint="eastAsia"/>
        </w:rPr>
        <w:t>汤姆·彼得·米古恩·奥加达先生编拟</w:t>
      </w:r>
    </w:p>
    <w:p w14:paraId="36695BCA" w14:textId="5E41AEE1" w:rsidR="00EA5678" w:rsidRPr="00E775A9" w:rsidRDefault="00215138" w:rsidP="0052378E">
      <w:pPr>
        <w:pStyle w:val="Default"/>
        <w:spacing w:after="120"/>
        <w:rPr>
          <w:rFonts w:cs="Arial"/>
          <w:lang w:eastAsia="zh-CN"/>
        </w:rPr>
      </w:pPr>
      <w:r w:rsidRPr="00E775A9">
        <w:rPr>
          <w:rFonts w:cs="Arial" w:hint="eastAsia"/>
          <w:lang w:eastAsia="zh-CN"/>
        </w:rPr>
        <w:fldChar w:fldCharType="begin"/>
      </w:r>
      <w:r w:rsidRPr="00E775A9">
        <w:rPr>
          <w:rFonts w:cs="Arial" w:hint="eastAsia"/>
          <w:lang w:eastAsia="zh-CN"/>
        </w:rPr>
        <w:instrText xml:space="preserve"> AUTONUM  </w:instrText>
      </w:r>
      <w:r w:rsidRPr="00E775A9">
        <w:rPr>
          <w:rFonts w:cs="Arial" w:hint="eastAsia"/>
          <w:lang w:eastAsia="zh-CN"/>
        </w:rPr>
        <w:fldChar w:fldCharType="end"/>
      </w:r>
      <w:r w:rsidR="00A3351A" w:rsidRPr="00E775A9">
        <w:rPr>
          <w:rFonts w:cs="Arial" w:hint="eastAsia"/>
          <w:lang w:eastAsia="zh-CN"/>
        </w:rPr>
        <w:t>.</w:t>
      </w:r>
      <w:r w:rsidRPr="00E775A9">
        <w:rPr>
          <w:rFonts w:cs="Arial" w:hint="eastAsia"/>
          <w:lang w:eastAsia="zh-CN"/>
        </w:rPr>
        <w:tab/>
        <w:t>发展与知识产权委员会（CDIP）在第三十届会议上</w:t>
      </w:r>
      <w:r w:rsidRPr="00E775A9">
        <w:rPr>
          <w:rFonts w:cs="Arial" w:hint="eastAsia"/>
          <w:szCs w:val="22"/>
          <w:lang w:eastAsia="zh-CN"/>
        </w:rPr>
        <w:t>通过了对产权组织在合作促进发展领域开展的技术援助进行独立外部审查的职责范围（文件CDIP/30/3），并请秘书处开始实施（主席总结第7.2段）。</w:t>
      </w:r>
    </w:p>
    <w:p w14:paraId="46EAAAC0" w14:textId="18DEC808" w:rsidR="00EA5678" w:rsidRPr="00E775A9" w:rsidRDefault="00215138">
      <w:pPr>
        <w:pStyle w:val="Default"/>
        <w:spacing w:after="120"/>
        <w:rPr>
          <w:rFonts w:cs="Arial"/>
          <w:lang w:eastAsia="zh-CN"/>
        </w:rPr>
      </w:pPr>
      <w:r w:rsidRPr="00E775A9">
        <w:rPr>
          <w:rFonts w:cs="Arial" w:hint="eastAsia"/>
          <w:lang w:eastAsia="zh-CN"/>
        </w:rPr>
        <w:fldChar w:fldCharType="begin"/>
      </w:r>
      <w:r w:rsidRPr="00E775A9">
        <w:rPr>
          <w:rFonts w:cs="Arial" w:hint="eastAsia"/>
          <w:lang w:eastAsia="zh-CN"/>
        </w:rPr>
        <w:instrText xml:space="preserve"> AUTONUM  </w:instrText>
      </w:r>
      <w:r w:rsidRPr="00E775A9">
        <w:rPr>
          <w:rFonts w:cs="Arial" w:hint="eastAsia"/>
          <w:lang w:eastAsia="zh-CN"/>
        </w:rPr>
        <w:fldChar w:fldCharType="end"/>
      </w:r>
      <w:r w:rsidR="00A3351A" w:rsidRPr="00E775A9">
        <w:rPr>
          <w:rFonts w:cs="Arial" w:hint="eastAsia"/>
          <w:lang w:eastAsia="zh-CN"/>
        </w:rPr>
        <w:t>.</w:t>
      </w:r>
      <w:r w:rsidRPr="00E775A9">
        <w:rPr>
          <w:rFonts w:cs="Arial" w:hint="eastAsia"/>
          <w:lang w:eastAsia="zh-CN"/>
        </w:rPr>
        <w:tab/>
        <w:t>本文件附件载有上述对产权组织在合作促进发展领域开展的技术援助的独立外部审查，本次审查由巴西首席评价员安德拉德·科斯塔女士、智利知识产权与发展专家马克西米利亚诺·圣克鲁斯先生和肯尼亚知识产权与发展专家</w:t>
      </w:r>
      <w:r w:rsidR="00111424" w:rsidRPr="00E775A9">
        <w:rPr>
          <w:rFonts w:cs="Arial" w:hint="eastAsia"/>
          <w:lang w:eastAsia="zh-CN"/>
        </w:rPr>
        <w:t>汤姆·彼得·米古恩·奥加达</w:t>
      </w:r>
      <w:r w:rsidRPr="00E775A9">
        <w:rPr>
          <w:rFonts w:cs="Arial" w:hint="eastAsia"/>
          <w:lang w:eastAsia="zh-CN"/>
        </w:rPr>
        <w:t>先生进行。</w:t>
      </w:r>
    </w:p>
    <w:p w14:paraId="689B3DAD" w14:textId="760F5D2B" w:rsidR="00EA5678" w:rsidRPr="0052378E" w:rsidRDefault="00215138" w:rsidP="0052378E">
      <w:pPr>
        <w:pStyle w:val="Default"/>
        <w:numPr>
          <w:ilvl w:val="0"/>
          <w:numId w:val="2"/>
        </w:numPr>
        <w:tabs>
          <w:tab w:val="clear" w:pos="567"/>
        </w:tabs>
        <w:spacing w:after="120"/>
        <w:ind w:left="5534" w:firstLine="0"/>
        <w:rPr>
          <w:rFonts w:ascii="KaiTi" w:eastAsia="KaiTi" w:hAnsi="KaiTi" w:cs="Arial"/>
          <w:szCs w:val="22"/>
          <w:lang w:eastAsia="zh-CN"/>
        </w:rPr>
      </w:pPr>
      <w:r w:rsidRPr="0052378E">
        <w:rPr>
          <w:rFonts w:ascii="KaiTi" w:eastAsia="KaiTi" w:hAnsi="KaiTi" w:cs="Arial" w:hint="eastAsia"/>
          <w:szCs w:val="22"/>
          <w:lang w:eastAsia="zh-CN"/>
        </w:rPr>
        <w:t>请委员会审议本文件附件所载的资料。</w:t>
      </w:r>
    </w:p>
    <w:p w14:paraId="269A154D" w14:textId="77777777" w:rsidR="00EA5678" w:rsidRPr="0052378E" w:rsidRDefault="00215138" w:rsidP="0052378E">
      <w:pPr>
        <w:overflowPunct w:val="0"/>
        <w:spacing w:before="720" w:afterLines="50" w:after="120" w:line="340" w:lineRule="atLeast"/>
        <w:ind w:left="5534"/>
        <w:jc w:val="both"/>
        <w:rPr>
          <w:rFonts w:ascii="KaiTi" w:eastAsia="KaiTi" w:hAnsi="KaiTi" w:cs="Arial"/>
          <w:b/>
        </w:rPr>
      </w:pPr>
      <w:bookmarkStart w:id="3" w:name="Prepared"/>
      <w:bookmarkEnd w:id="3"/>
      <w:r w:rsidRPr="0052378E">
        <w:rPr>
          <w:rFonts w:ascii="KaiTi" w:eastAsia="KaiTi" w:hAnsi="KaiTi" w:cs="Arial" w:hint="eastAsia"/>
        </w:rPr>
        <w:t>[后接附件]</w:t>
      </w:r>
    </w:p>
    <w:p w14:paraId="003003B1" w14:textId="77777777" w:rsidR="00EA5678" w:rsidRPr="00E775A9" w:rsidRDefault="00EA5678">
      <w:pPr>
        <w:rPr>
          <w:rFonts w:hAnsi="SimSun" w:cs="Arial"/>
          <w:b/>
          <w:sz w:val="32"/>
          <w:szCs w:val="32"/>
        </w:rPr>
        <w:sectPr w:rsidR="00EA5678" w:rsidRPr="00E775A9" w:rsidSect="008B6C1F">
          <w:pgSz w:w="11906" w:h="16838" w:code="9"/>
          <w:pgMar w:top="567" w:right="1134" w:bottom="1418" w:left="1418" w:header="510" w:footer="1021" w:gutter="0"/>
          <w:cols w:space="720"/>
          <w:titlePg/>
          <w:docGrid w:linePitch="299"/>
        </w:sectPr>
      </w:pPr>
    </w:p>
    <w:p w14:paraId="4D0A532C" w14:textId="14E18294" w:rsidR="00EA5678" w:rsidRPr="00FA4CEE" w:rsidRDefault="00111424" w:rsidP="00FA4CEE">
      <w:pPr>
        <w:spacing w:beforeLines="100" w:before="240" w:afterLines="100" w:after="240" w:line="480" w:lineRule="auto"/>
        <w:jc w:val="center"/>
        <w:rPr>
          <w:rFonts w:hAnsi="SimSun" w:cs="Arial"/>
          <w:b/>
          <w:bCs/>
          <w:sz w:val="26"/>
          <w:szCs w:val="26"/>
        </w:rPr>
      </w:pPr>
      <w:r w:rsidRPr="00FA4CEE">
        <w:rPr>
          <w:rFonts w:hAnsi="SimSun" w:cs="Arial" w:hint="eastAsia"/>
          <w:b/>
          <w:bCs/>
          <w:sz w:val="26"/>
          <w:szCs w:val="26"/>
        </w:rPr>
        <w:lastRenderedPageBreak/>
        <w:t>产权组织合作促进发展领域技术援助独立外部审查</w:t>
      </w:r>
    </w:p>
    <w:p w14:paraId="2025AFD5" w14:textId="77777777" w:rsidR="00EA5678" w:rsidRPr="00E775A9" w:rsidRDefault="00215138" w:rsidP="00FA4CEE">
      <w:pPr>
        <w:spacing w:after="960" w:line="480" w:lineRule="auto"/>
        <w:jc w:val="center"/>
        <w:rPr>
          <w:rFonts w:hAnsi="SimSun" w:cs="Arial"/>
          <w:sz w:val="26"/>
          <w:szCs w:val="26"/>
        </w:rPr>
      </w:pPr>
      <w:r w:rsidRPr="00E775A9">
        <w:rPr>
          <w:rFonts w:hAnsi="SimSun" w:cs="Arial" w:hint="eastAsia"/>
          <w:sz w:val="26"/>
          <w:szCs w:val="26"/>
        </w:rPr>
        <w:t>2017-2022年</w:t>
      </w:r>
    </w:p>
    <w:p w14:paraId="60D72F01" w14:textId="77777777" w:rsidR="00EA5678" w:rsidRPr="00E775A9" w:rsidRDefault="00215138" w:rsidP="00FA4CEE">
      <w:pPr>
        <w:spacing w:afterLines="50" w:after="120" w:line="340" w:lineRule="atLeast"/>
        <w:rPr>
          <w:rFonts w:hAnsi="SimSun" w:cs="Arial"/>
          <w:b/>
          <w:color w:val="385623"/>
        </w:rPr>
      </w:pPr>
      <w:r w:rsidRPr="00E775A9">
        <w:rPr>
          <w:rFonts w:hAnsi="SimSun" w:cs="Arial" w:hint="eastAsia"/>
          <w:b/>
        </w:rPr>
        <w:t>审查报告</w:t>
      </w:r>
    </w:p>
    <w:p w14:paraId="3A333525" w14:textId="1C301273" w:rsidR="00EA5678" w:rsidRPr="00E775A9" w:rsidRDefault="00111424" w:rsidP="00FA4CEE">
      <w:pPr>
        <w:spacing w:afterLines="50" w:after="120" w:line="340" w:lineRule="atLeast"/>
        <w:rPr>
          <w:rFonts w:hAnsi="SimSun" w:cs="Arial"/>
        </w:rPr>
      </w:pPr>
      <w:r w:rsidRPr="00E775A9">
        <w:rPr>
          <w:rFonts w:hAnsi="SimSun" w:cs="Arial" w:hint="eastAsia"/>
        </w:rPr>
        <w:t>梅利莎·安德拉德·科斯塔</w:t>
      </w:r>
      <w:r w:rsidR="00215138" w:rsidRPr="00E775A9">
        <w:rPr>
          <w:rFonts w:hAnsi="SimSun" w:cs="Arial" w:hint="eastAsia"/>
        </w:rPr>
        <w:t>女士（首席评价员）</w:t>
      </w:r>
    </w:p>
    <w:p w14:paraId="598AA8FA" w14:textId="77777777" w:rsidR="00EA5678" w:rsidRPr="00E775A9" w:rsidRDefault="00215138" w:rsidP="00FA4CEE">
      <w:pPr>
        <w:spacing w:afterLines="50" w:after="120" w:line="340" w:lineRule="atLeast"/>
        <w:rPr>
          <w:rFonts w:hAnsi="SimSun" w:cs="Arial"/>
        </w:rPr>
      </w:pPr>
      <w:r w:rsidRPr="00E775A9">
        <w:rPr>
          <w:rFonts w:hAnsi="SimSun" w:cs="Arial" w:hint="eastAsia"/>
        </w:rPr>
        <w:t>马克西米利亚诺·圣克鲁斯先生（知识产权与发展专家）</w:t>
      </w:r>
    </w:p>
    <w:p w14:paraId="3781652C" w14:textId="6C7D15F2" w:rsidR="00EA5678" w:rsidRPr="00E775A9" w:rsidRDefault="00111424" w:rsidP="00FA4CEE">
      <w:pPr>
        <w:spacing w:afterLines="50" w:after="120" w:line="340" w:lineRule="atLeast"/>
        <w:rPr>
          <w:rFonts w:hAnsi="SimSun" w:cs="Arial"/>
        </w:rPr>
      </w:pPr>
      <w:r w:rsidRPr="00E775A9">
        <w:rPr>
          <w:rFonts w:hAnsi="SimSun" w:cs="Arial" w:hint="eastAsia"/>
        </w:rPr>
        <w:t>汤姆·彼得·米古恩·奥加达</w:t>
      </w:r>
      <w:r w:rsidR="00215138" w:rsidRPr="00E775A9">
        <w:rPr>
          <w:rFonts w:hAnsi="SimSun" w:cs="Arial" w:hint="eastAsia"/>
        </w:rPr>
        <w:t>先生（知识产权与发展专家）</w:t>
      </w:r>
    </w:p>
    <w:p w14:paraId="7A132777" w14:textId="7F0A1216" w:rsidR="00E93625" w:rsidRPr="00E775A9" w:rsidRDefault="00E93625">
      <w:pPr>
        <w:spacing w:line="278" w:lineRule="auto"/>
        <w:rPr>
          <w:rFonts w:hAnsi="SimSun" w:cs="Arial"/>
          <w:sz w:val="32"/>
          <w:szCs w:val="32"/>
        </w:rPr>
      </w:pPr>
      <w:r w:rsidRPr="00E775A9">
        <w:rPr>
          <w:rFonts w:hAnsi="SimSun" w:cs="Arial" w:hint="eastAsia"/>
          <w:sz w:val="32"/>
          <w:szCs w:val="32"/>
        </w:rPr>
        <w:br w:type="page"/>
      </w:r>
    </w:p>
    <w:p w14:paraId="4BDE024E" w14:textId="77777777" w:rsidR="00EA5678" w:rsidRPr="00FA4CEE" w:rsidRDefault="00215138" w:rsidP="00FA4CEE">
      <w:pPr>
        <w:overflowPunct w:val="0"/>
        <w:spacing w:afterLines="50" w:after="120" w:line="340" w:lineRule="atLeast"/>
        <w:rPr>
          <w:rFonts w:ascii="SimHei" w:eastAsia="SimHei" w:hAnsi="SimHei" w:cs="Arial"/>
          <w:bCs/>
          <w:sz w:val="24"/>
          <w:szCs w:val="24"/>
        </w:rPr>
      </w:pPr>
      <w:r w:rsidRPr="00FA4CEE">
        <w:rPr>
          <w:rFonts w:ascii="SimHei" w:eastAsia="SimHei" w:hAnsi="SimHei" w:cs="Arial" w:hint="eastAsia"/>
          <w:bCs/>
          <w:sz w:val="24"/>
          <w:szCs w:val="24"/>
        </w:rPr>
        <w:t>缩略语</w:t>
      </w:r>
    </w:p>
    <w:tbl>
      <w:tblPr>
        <w:tblStyle w:val="13"/>
        <w:tblW w:w="9025" w:type="dxa"/>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2749"/>
        <w:gridCol w:w="6276"/>
      </w:tblGrid>
      <w:tr w:rsidR="00EA5678" w:rsidRPr="00E775A9" w14:paraId="10262E4C" w14:textId="77777777" w:rsidTr="00EA5678">
        <w:trPr>
          <w:cnfStyle w:val="100000000000" w:firstRow="1" w:lastRow="0" w:firstColumn="0" w:lastColumn="0" w:oddVBand="0" w:evenVBand="0" w:oddHBand="0" w:evenHBand="0" w:firstRowFirstColumn="0" w:firstRowLastColumn="0" w:lastRowFirstColumn="0" w:lastRowLastColumn="0"/>
          <w:trHeight w:val="255"/>
        </w:trPr>
        <w:tc>
          <w:tcPr>
            <w:cnfStyle w:val="001000000000" w:firstRow="0" w:lastRow="0" w:firstColumn="1" w:lastColumn="0" w:oddVBand="0" w:evenVBand="0" w:oddHBand="0" w:evenHBand="0" w:firstRowFirstColumn="0" w:firstRowLastColumn="0" w:lastRowFirstColumn="0" w:lastRowLastColumn="0"/>
            <w:tcW w:w="9025" w:type="dxa"/>
            <w:gridSpan w:val="2"/>
          </w:tcPr>
          <w:p w14:paraId="1F0B50C4" w14:textId="77777777" w:rsidR="00EA5678" w:rsidRPr="00E775A9" w:rsidRDefault="00215138" w:rsidP="00FA4CEE">
            <w:pPr>
              <w:spacing w:line="340" w:lineRule="atLeast"/>
              <w:jc w:val="center"/>
              <w:rPr>
                <w:rFonts w:hAnsi="SimSun" w:cs="Arial"/>
                <w:b w:val="0"/>
              </w:rPr>
            </w:pPr>
            <w:r w:rsidRPr="00E775A9">
              <w:rPr>
                <w:rFonts w:hAnsi="SimSun" w:cs="Arial" w:hint="eastAsia"/>
              </w:rPr>
              <w:t>缩略语</w:t>
            </w:r>
          </w:p>
        </w:tc>
      </w:tr>
      <w:tr w:rsidR="00EA5678" w:rsidRPr="00E775A9" w14:paraId="2EA2686E"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23CACAD7" w14:textId="77777777" w:rsidR="00EA5678" w:rsidRPr="00E775A9" w:rsidRDefault="00215138" w:rsidP="00FA4CEE">
            <w:pPr>
              <w:spacing w:line="340" w:lineRule="atLeast"/>
              <w:rPr>
                <w:rFonts w:hAnsi="SimSun" w:cs="Arial"/>
              </w:rPr>
            </w:pPr>
            <w:r w:rsidRPr="00E775A9">
              <w:rPr>
                <w:rFonts w:hAnsi="SimSun" w:cs="Arial" w:hint="eastAsia"/>
                <w:color w:val="2F5496"/>
              </w:rPr>
              <w:t>ASPAC</w:t>
            </w:r>
          </w:p>
        </w:tc>
        <w:tc>
          <w:tcPr>
            <w:tcW w:w="6276" w:type="dxa"/>
          </w:tcPr>
          <w:p w14:paraId="35D45A8B"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亚洲及太平洋</w:t>
            </w:r>
          </w:p>
        </w:tc>
      </w:tr>
      <w:tr w:rsidR="00EA5678" w:rsidRPr="00E775A9" w14:paraId="6DB0232D"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278D06F3" w14:textId="77777777" w:rsidR="00EA5678" w:rsidRPr="00E775A9" w:rsidRDefault="00215138" w:rsidP="00FA4CEE">
            <w:pPr>
              <w:spacing w:line="340" w:lineRule="atLeast"/>
              <w:rPr>
                <w:rFonts w:hAnsi="SimSun" w:cs="Arial"/>
              </w:rPr>
            </w:pPr>
            <w:r w:rsidRPr="00E775A9">
              <w:rPr>
                <w:rFonts w:hAnsi="SimSun" w:cs="Arial" w:hint="eastAsia"/>
                <w:color w:val="2F5496"/>
              </w:rPr>
              <w:t>CDIP</w:t>
            </w:r>
          </w:p>
        </w:tc>
        <w:tc>
          <w:tcPr>
            <w:tcW w:w="6276" w:type="dxa"/>
          </w:tcPr>
          <w:p w14:paraId="68505A96"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发展与知识产权委员会</w:t>
            </w:r>
          </w:p>
        </w:tc>
      </w:tr>
      <w:tr w:rsidR="00EA5678" w:rsidRPr="00E775A9" w14:paraId="29664133"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19426AC3" w14:textId="77777777" w:rsidR="00EA5678" w:rsidRPr="00E775A9" w:rsidRDefault="00215138" w:rsidP="00FA4CEE">
            <w:pPr>
              <w:spacing w:line="340" w:lineRule="atLeast"/>
              <w:rPr>
                <w:rFonts w:hAnsi="SimSun" w:cs="Arial"/>
              </w:rPr>
            </w:pPr>
            <w:r w:rsidRPr="00E775A9">
              <w:rPr>
                <w:rFonts w:hAnsi="SimSun" w:cs="Arial" w:hint="eastAsia"/>
                <w:color w:val="2F5496"/>
              </w:rPr>
              <w:t>FIT</w:t>
            </w:r>
          </w:p>
        </w:tc>
        <w:tc>
          <w:tcPr>
            <w:tcW w:w="6276" w:type="dxa"/>
          </w:tcPr>
          <w:p w14:paraId="24068698"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信托基金</w:t>
            </w:r>
          </w:p>
        </w:tc>
      </w:tr>
      <w:tr w:rsidR="00EA5678" w:rsidRPr="00E775A9" w14:paraId="0E278962"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52DFFC0C" w14:textId="77777777" w:rsidR="00EA5678" w:rsidRPr="00E775A9" w:rsidRDefault="00215138" w:rsidP="00FA4CEE">
            <w:pPr>
              <w:spacing w:line="340" w:lineRule="atLeast"/>
              <w:rPr>
                <w:rFonts w:hAnsi="SimSun" w:cs="Arial"/>
              </w:rPr>
            </w:pPr>
            <w:r w:rsidRPr="00E775A9">
              <w:rPr>
                <w:rFonts w:hAnsi="SimSun" w:cs="Arial" w:hint="eastAsia"/>
                <w:color w:val="2F5496"/>
              </w:rPr>
              <w:t>ICT</w:t>
            </w:r>
          </w:p>
        </w:tc>
        <w:tc>
          <w:tcPr>
            <w:tcW w:w="6276" w:type="dxa"/>
          </w:tcPr>
          <w:p w14:paraId="75D52CE0"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信息与通信技术</w:t>
            </w:r>
          </w:p>
        </w:tc>
      </w:tr>
      <w:tr w:rsidR="00EA5678" w:rsidRPr="00E775A9" w14:paraId="5A1F7E06"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1DCE3FC2" w14:textId="77777777" w:rsidR="00EA5678" w:rsidRPr="00E775A9" w:rsidRDefault="00215138" w:rsidP="00FA4CEE">
            <w:pPr>
              <w:spacing w:line="340" w:lineRule="atLeast"/>
              <w:rPr>
                <w:rFonts w:hAnsi="SimSun" w:cs="Arial"/>
              </w:rPr>
            </w:pPr>
            <w:r w:rsidRPr="00E775A9">
              <w:rPr>
                <w:rFonts w:hAnsi="SimSun" w:cs="Arial" w:hint="eastAsia"/>
                <w:color w:val="2F5496"/>
              </w:rPr>
              <w:t>IOD</w:t>
            </w:r>
          </w:p>
        </w:tc>
        <w:tc>
          <w:tcPr>
            <w:tcW w:w="6276" w:type="dxa"/>
          </w:tcPr>
          <w:p w14:paraId="0C70B013"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内部监督司</w:t>
            </w:r>
          </w:p>
        </w:tc>
      </w:tr>
      <w:tr w:rsidR="00EA5678" w:rsidRPr="00E775A9" w14:paraId="0A7855F6"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0532A412" w14:textId="77777777" w:rsidR="00EA5678" w:rsidRPr="00E775A9" w:rsidRDefault="00215138" w:rsidP="00FA4CEE">
            <w:pPr>
              <w:spacing w:line="340" w:lineRule="atLeast"/>
              <w:rPr>
                <w:rFonts w:hAnsi="SimSun" w:cs="Arial"/>
              </w:rPr>
            </w:pPr>
            <w:r w:rsidRPr="00E775A9">
              <w:rPr>
                <w:rFonts w:hAnsi="SimSun" w:cs="Arial" w:hint="eastAsia"/>
                <w:color w:val="2F5496"/>
              </w:rPr>
              <w:t>IP</w:t>
            </w:r>
          </w:p>
        </w:tc>
        <w:tc>
          <w:tcPr>
            <w:tcW w:w="6276" w:type="dxa"/>
          </w:tcPr>
          <w:p w14:paraId="02CCEBA2"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知识产权</w:t>
            </w:r>
          </w:p>
        </w:tc>
      </w:tr>
      <w:tr w:rsidR="00EA5678" w:rsidRPr="00E775A9" w14:paraId="0F949D68"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45866302" w14:textId="77777777" w:rsidR="00EA5678" w:rsidRPr="00E775A9" w:rsidRDefault="00215138" w:rsidP="00FA4CEE">
            <w:pPr>
              <w:spacing w:line="340" w:lineRule="atLeast"/>
              <w:rPr>
                <w:rFonts w:hAnsi="SimSun" w:cs="Arial"/>
              </w:rPr>
            </w:pPr>
            <w:r w:rsidRPr="00E775A9">
              <w:rPr>
                <w:rFonts w:hAnsi="SimSun" w:cs="Arial" w:hint="eastAsia"/>
                <w:color w:val="2F5496"/>
              </w:rPr>
              <w:t>IPAS</w:t>
            </w:r>
            <w:r w:rsidRPr="0052378E">
              <w:rPr>
                <w:rFonts w:ascii="KaiTi" w:eastAsia="KaiTi" w:hAnsi="KaiTi" w:cs="Arial" w:hint="eastAsia"/>
                <w:color w:val="2F5496"/>
              </w:rPr>
              <w:t xml:space="preserve"> </w:t>
            </w:r>
          </w:p>
        </w:tc>
        <w:tc>
          <w:tcPr>
            <w:tcW w:w="6276" w:type="dxa"/>
          </w:tcPr>
          <w:p w14:paraId="4F912DBD"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知识产权管理系统</w:t>
            </w:r>
          </w:p>
        </w:tc>
      </w:tr>
      <w:tr w:rsidR="00EA5678" w:rsidRPr="00E775A9" w14:paraId="50F7C7C8"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536747EB" w14:textId="77777777" w:rsidR="00EA5678" w:rsidRPr="00E775A9" w:rsidRDefault="00215138" w:rsidP="00FA4CEE">
            <w:pPr>
              <w:spacing w:line="340" w:lineRule="atLeast"/>
              <w:rPr>
                <w:rFonts w:hAnsi="SimSun" w:cs="Arial"/>
              </w:rPr>
            </w:pPr>
            <w:r w:rsidRPr="00E775A9">
              <w:rPr>
                <w:rFonts w:hAnsi="SimSun" w:cs="Arial" w:hint="eastAsia"/>
                <w:color w:val="2F5496"/>
              </w:rPr>
              <w:t>IPR</w:t>
            </w:r>
          </w:p>
        </w:tc>
        <w:tc>
          <w:tcPr>
            <w:tcW w:w="6276" w:type="dxa"/>
          </w:tcPr>
          <w:p w14:paraId="3C3ED17F"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知识产权权利</w:t>
            </w:r>
          </w:p>
        </w:tc>
      </w:tr>
      <w:tr w:rsidR="00EA5678" w:rsidRPr="00E775A9" w14:paraId="18278305"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4CB82AE8" w14:textId="77777777" w:rsidR="00EA5678" w:rsidRPr="00E775A9" w:rsidRDefault="00215138" w:rsidP="00FA4CEE">
            <w:pPr>
              <w:spacing w:line="340" w:lineRule="atLeast"/>
              <w:rPr>
                <w:rFonts w:hAnsi="SimSun" w:cs="Arial"/>
              </w:rPr>
            </w:pPr>
            <w:r w:rsidRPr="00E775A9">
              <w:rPr>
                <w:rFonts w:hAnsi="SimSun" w:cs="Arial" w:hint="eastAsia"/>
                <w:color w:val="2F5496"/>
              </w:rPr>
              <w:t>IPTI</w:t>
            </w:r>
          </w:p>
        </w:tc>
        <w:tc>
          <w:tcPr>
            <w:tcW w:w="6276" w:type="dxa"/>
          </w:tcPr>
          <w:p w14:paraId="5052EBA9"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知识产权培训机构</w:t>
            </w:r>
          </w:p>
        </w:tc>
      </w:tr>
      <w:tr w:rsidR="00EA5678" w:rsidRPr="00E775A9" w14:paraId="044B4FD6"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3EDA1B60" w14:textId="77777777" w:rsidR="00EA5678" w:rsidRPr="00E775A9" w:rsidRDefault="00215138" w:rsidP="00FA4CEE">
            <w:pPr>
              <w:spacing w:line="340" w:lineRule="atLeast"/>
              <w:rPr>
                <w:rFonts w:hAnsi="SimSun" w:cs="Arial"/>
              </w:rPr>
            </w:pPr>
            <w:r w:rsidRPr="00E775A9">
              <w:rPr>
                <w:rFonts w:hAnsi="SimSun" w:cs="Arial" w:hint="eastAsia"/>
                <w:color w:val="2F5496"/>
              </w:rPr>
              <w:t>LAC</w:t>
            </w:r>
          </w:p>
        </w:tc>
        <w:tc>
          <w:tcPr>
            <w:tcW w:w="6276" w:type="dxa"/>
          </w:tcPr>
          <w:p w14:paraId="5059136E"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拉丁美洲和加勒比地区</w:t>
            </w:r>
          </w:p>
        </w:tc>
      </w:tr>
      <w:tr w:rsidR="00EA5678" w:rsidRPr="00E775A9" w14:paraId="31D4271C"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5842754B" w14:textId="77777777" w:rsidR="00EA5678" w:rsidRPr="00E775A9" w:rsidRDefault="00215138" w:rsidP="00FA4CEE">
            <w:pPr>
              <w:spacing w:line="340" w:lineRule="atLeast"/>
              <w:rPr>
                <w:rFonts w:hAnsi="SimSun" w:cs="Arial"/>
              </w:rPr>
            </w:pPr>
            <w:r w:rsidRPr="00E775A9">
              <w:rPr>
                <w:rFonts w:hAnsi="SimSun" w:cs="Arial" w:hint="eastAsia"/>
                <w:color w:val="2F5496"/>
              </w:rPr>
              <w:t>LDC</w:t>
            </w:r>
          </w:p>
        </w:tc>
        <w:tc>
          <w:tcPr>
            <w:tcW w:w="6276" w:type="dxa"/>
          </w:tcPr>
          <w:p w14:paraId="089AB310"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最不发达国家</w:t>
            </w:r>
          </w:p>
        </w:tc>
      </w:tr>
      <w:tr w:rsidR="00EA5678" w:rsidRPr="00E775A9" w14:paraId="49AA2F7F"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32ED1CCA" w14:textId="77777777" w:rsidR="00EA5678" w:rsidRPr="00E775A9" w:rsidRDefault="00215138" w:rsidP="00FA4CEE">
            <w:pPr>
              <w:spacing w:line="340" w:lineRule="atLeast"/>
              <w:rPr>
                <w:rFonts w:hAnsi="SimSun" w:cs="Arial"/>
              </w:rPr>
            </w:pPr>
            <w:r w:rsidRPr="00E775A9">
              <w:rPr>
                <w:rFonts w:hAnsi="SimSun" w:cs="Arial" w:hint="eastAsia"/>
                <w:color w:val="2F5496"/>
              </w:rPr>
              <w:t>MTSP</w:t>
            </w:r>
          </w:p>
        </w:tc>
        <w:tc>
          <w:tcPr>
            <w:tcW w:w="6276" w:type="dxa"/>
          </w:tcPr>
          <w:p w14:paraId="4D762D06"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中期战略计划</w:t>
            </w:r>
          </w:p>
        </w:tc>
      </w:tr>
      <w:tr w:rsidR="00EA5678" w:rsidRPr="00E775A9" w14:paraId="62989D87"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20ECFFB1" w14:textId="77777777" w:rsidR="00EA5678" w:rsidRPr="00E775A9" w:rsidRDefault="00215138" w:rsidP="00FA4CEE">
            <w:pPr>
              <w:spacing w:line="340" w:lineRule="atLeast"/>
              <w:rPr>
                <w:rFonts w:hAnsi="SimSun" w:cs="Arial"/>
              </w:rPr>
            </w:pPr>
            <w:r w:rsidRPr="00E775A9">
              <w:rPr>
                <w:rFonts w:hAnsi="SimSun" w:cs="Arial" w:hint="eastAsia"/>
                <w:color w:val="2F5496"/>
              </w:rPr>
              <w:t>NGO</w:t>
            </w:r>
          </w:p>
        </w:tc>
        <w:tc>
          <w:tcPr>
            <w:tcW w:w="6276" w:type="dxa"/>
          </w:tcPr>
          <w:p w14:paraId="3F19FA00"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非政府组织</w:t>
            </w:r>
          </w:p>
        </w:tc>
      </w:tr>
      <w:tr w:rsidR="00EA5678" w:rsidRPr="00E775A9" w14:paraId="49ADB812"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13E0217B" w14:textId="77777777" w:rsidR="00EA5678" w:rsidRPr="00E775A9" w:rsidRDefault="00215138" w:rsidP="00FA4CEE">
            <w:pPr>
              <w:spacing w:line="340" w:lineRule="atLeast"/>
              <w:rPr>
                <w:rFonts w:hAnsi="SimSun" w:cs="Arial"/>
              </w:rPr>
            </w:pPr>
            <w:r w:rsidRPr="00E775A9">
              <w:rPr>
                <w:rFonts w:hAnsi="SimSun" w:cs="Arial" w:hint="eastAsia"/>
                <w:color w:val="2F5496"/>
              </w:rPr>
              <w:t>NIPS</w:t>
            </w:r>
          </w:p>
        </w:tc>
        <w:tc>
          <w:tcPr>
            <w:tcW w:w="6276" w:type="dxa"/>
          </w:tcPr>
          <w:p w14:paraId="18713292"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国家知识产权战略</w:t>
            </w:r>
          </w:p>
        </w:tc>
      </w:tr>
      <w:tr w:rsidR="00EA5678" w:rsidRPr="00E775A9" w14:paraId="1E9222BE"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287B6AC0" w14:textId="77777777" w:rsidR="00EA5678" w:rsidRPr="00E775A9" w:rsidRDefault="00215138" w:rsidP="00FA4CEE">
            <w:pPr>
              <w:spacing w:line="340" w:lineRule="atLeast"/>
              <w:rPr>
                <w:rFonts w:hAnsi="SimSun" w:cs="Arial"/>
              </w:rPr>
            </w:pPr>
            <w:r w:rsidRPr="00E775A9">
              <w:rPr>
                <w:rFonts w:hAnsi="SimSun" w:cs="Arial" w:hint="eastAsia"/>
                <w:color w:val="2F5496"/>
              </w:rPr>
              <w:t>SDG</w:t>
            </w:r>
          </w:p>
        </w:tc>
        <w:tc>
          <w:tcPr>
            <w:tcW w:w="6276" w:type="dxa"/>
          </w:tcPr>
          <w:p w14:paraId="21BB03EB"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可持续发展目标</w:t>
            </w:r>
          </w:p>
        </w:tc>
      </w:tr>
      <w:tr w:rsidR="00EA5678" w:rsidRPr="00E775A9" w14:paraId="5A3155DA"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674B9ABA" w14:textId="77777777" w:rsidR="00EA5678" w:rsidRPr="00E775A9" w:rsidRDefault="00215138" w:rsidP="00FA4CEE">
            <w:pPr>
              <w:spacing w:line="340" w:lineRule="atLeast"/>
              <w:rPr>
                <w:rFonts w:hAnsi="SimSun" w:cs="Arial"/>
              </w:rPr>
            </w:pPr>
            <w:r w:rsidRPr="00E775A9">
              <w:rPr>
                <w:rFonts w:hAnsi="SimSun" w:cs="Arial" w:hint="eastAsia"/>
                <w:color w:val="2F5496"/>
              </w:rPr>
              <w:t>SME</w:t>
            </w:r>
          </w:p>
        </w:tc>
        <w:tc>
          <w:tcPr>
            <w:tcW w:w="6276" w:type="dxa"/>
          </w:tcPr>
          <w:p w14:paraId="5A7BCB41"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中小企业</w:t>
            </w:r>
          </w:p>
        </w:tc>
      </w:tr>
      <w:tr w:rsidR="00EA5678" w:rsidRPr="00E775A9" w14:paraId="3BE80A3F"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31B772D9" w14:textId="77777777" w:rsidR="00EA5678" w:rsidRPr="00E775A9" w:rsidRDefault="00215138" w:rsidP="00FA4CEE">
            <w:pPr>
              <w:spacing w:line="340" w:lineRule="atLeast"/>
              <w:rPr>
                <w:rFonts w:hAnsi="SimSun" w:cs="Arial"/>
              </w:rPr>
            </w:pPr>
            <w:r w:rsidRPr="00E775A9">
              <w:rPr>
                <w:rFonts w:hAnsi="SimSun" w:cs="Arial" w:hint="eastAsia"/>
                <w:color w:val="2F5496"/>
              </w:rPr>
              <w:t>TA</w:t>
            </w:r>
          </w:p>
        </w:tc>
        <w:tc>
          <w:tcPr>
            <w:tcW w:w="6276" w:type="dxa"/>
          </w:tcPr>
          <w:p w14:paraId="65BDC2D3"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技术援助</w:t>
            </w:r>
          </w:p>
        </w:tc>
      </w:tr>
      <w:tr w:rsidR="00EA5678" w:rsidRPr="00E775A9" w14:paraId="1280B857"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4FDDD473" w14:textId="77777777" w:rsidR="00EA5678" w:rsidRPr="00E775A9" w:rsidRDefault="00215138" w:rsidP="00FA4CEE">
            <w:pPr>
              <w:spacing w:line="340" w:lineRule="atLeast"/>
              <w:rPr>
                <w:rFonts w:hAnsi="SimSun" w:cs="Arial"/>
              </w:rPr>
            </w:pPr>
            <w:r w:rsidRPr="00E775A9">
              <w:rPr>
                <w:rFonts w:hAnsi="SimSun" w:cs="Arial" w:hint="eastAsia"/>
                <w:color w:val="2F5496"/>
              </w:rPr>
              <w:t>TISC</w:t>
            </w:r>
          </w:p>
        </w:tc>
        <w:tc>
          <w:tcPr>
            <w:tcW w:w="6276" w:type="dxa"/>
          </w:tcPr>
          <w:p w14:paraId="0C2C1726"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技术与创新支持中心</w:t>
            </w:r>
          </w:p>
        </w:tc>
      </w:tr>
      <w:tr w:rsidR="00EA5678" w:rsidRPr="00E775A9" w14:paraId="46A80797"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6F2CA989" w14:textId="77777777" w:rsidR="00EA5678" w:rsidRPr="00E775A9" w:rsidRDefault="00215138" w:rsidP="00FA4CEE">
            <w:pPr>
              <w:spacing w:line="340" w:lineRule="atLeast"/>
              <w:rPr>
                <w:rFonts w:hAnsi="SimSun" w:cs="Arial"/>
              </w:rPr>
            </w:pPr>
            <w:r w:rsidRPr="00E775A9">
              <w:rPr>
                <w:rFonts w:hAnsi="SimSun" w:cs="Arial" w:hint="eastAsia"/>
                <w:color w:val="2F5496"/>
              </w:rPr>
              <w:t>UN</w:t>
            </w:r>
          </w:p>
        </w:tc>
        <w:tc>
          <w:tcPr>
            <w:tcW w:w="6276" w:type="dxa"/>
          </w:tcPr>
          <w:p w14:paraId="1F70D4FF"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联合国</w:t>
            </w:r>
          </w:p>
        </w:tc>
      </w:tr>
      <w:tr w:rsidR="00EA5678" w:rsidRPr="00E775A9" w14:paraId="68BD0F1B"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3737F43D" w14:textId="77777777" w:rsidR="00EA5678" w:rsidRPr="00E775A9" w:rsidRDefault="00215138" w:rsidP="00FA4CEE">
            <w:pPr>
              <w:spacing w:line="340" w:lineRule="atLeast"/>
              <w:rPr>
                <w:rFonts w:hAnsi="SimSun" w:cs="Arial"/>
              </w:rPr>
            </w:pPr>
            <w:r w:rsidRPr="00E775A9">
              <w:rPr>
                <w:rFonts w:hAnsi="SimSun" w:cs="Arial" w:hint="eastAsia"/>
                <w:color w:val="2F5496"/>
              </w:rPr>
              <w:t>UNEG</w:t>
            </w:r>
          </w:p>
        </w:tc>
        <w:tc>
          <w:tcPr>
            <w:tcW w:w="6276" w:type="dxa"/>
          </w:tcPr>
          <w:p w14:paraId="78A18D77"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联合国评价小组</w:t>
            </w:r>
          </w:p>
        </w:tc>
      </w:tr>
      <w:tr w:rsidR="00EA5678" w:rsidRPr="00E775A9" w14:paraId="4C510D98" w14:textId="77777777" w:rsidTr="00EA5678">
        <w:trPr>
          <w:trHeight w:val="255"/>
        </w:trPr>
        <w:tc>
          <w:tcPr>
            <w:cnfStyle w:val="001000000000" w:firstRow="0" w:lastRow="0" w:firstColumn="1" w:lastColumn="0" w:oddVBand="0" w:evenVBand="0" w:oddHBand="0" w:evenHBand="0" w:firstRowFirstColumn="0" w:firstRowLastColumn="0" w:lastRowFirstColumn="0" w:lastRowLastColumn="0"/>
            <w:tcW w:w="2749" w:type="dxa"/>
            <w:shd w:val="clear" w:color="auto" w:fill="DEEBF6"/>
          </w:tcPr>
          <w:p w14:paraId="37F968D5" w14:textId="77777777" w:rsidR="00EA5678" w:rsidRPr="00E775A9" w:rsidRDefault="00215138" w:rsidP="00FA4CEE">
            <w:pPr>
              <w:spacing w:line="340" w:lineRule="atLeast"/>
              <w:rPr>
                <w:rFonts w:hAnsi="SimSun" w:cs="Arial"/>
              </w:rPr>
            </w:pPr>
            <w:r w:rsidRPr="00E775A9">
              <w:rPr>
                <w:rFonts w:hAnsi="SimSun" w:cs="Arial" w:hint="eastAsia"/>
                <w:color w:val="2F5496"/>
              </w:rPr>
              <w:t>WIPO</w:t>
            </w:r>
          </w:p>
        </w:tc>
        <w:tc>
          <w:tcPr>
            <w:tcW w:w="6276" w:type="dxa"/>
          </w:tcPr>
          <w:p w14:paraId="76378E0A" w14:textId="77777777" w:rsidR="00EA5678" w:rsidRPr="00E775A9" w:rsidRDefault="00215138" w:rsidP="00FA4CEE">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世界知识产权组织</w:t>
            </w:r>
          </w:p>
        </w:tc>
      </w:tr>
    </w:tbl>
    <w:p w14:paraId="74CF101E" w14:textId="77777777" w:rsidR="00E93625" w:rsidRPr="00E775A9" w:rsidRDefault="00E93625">
      <w:pPr>
        <w:spacing w:line="278" w:lineRule="auto"/>
        <w:rPr>
          <w:rFonts w:hAnsi="SimSun" w:cs="Arial"/>
          <w:b/>
          <w:sz w:val="32"/>
          <w:szCs w:val="32"/>
        </w:rPr>
      </w:pPr>
      <w:r w:rsidRPr="00E775A9">
        <w:rPr>
          <w:rFonts w:hAnsi="SimSun" w:cs="Arial" w:hint="eastAsia"/>
          <w:b/>
          <w:sz w:val="32"/>
          <w:szCs w:val="32"/>
        </w:rPr>
        <w:br w:type="page"/>
      </w:r>
    </w:p>
    <w:p w14:paraId="35090FCC" w14:textId="77777777" w:rsidR="00EA5678" w:rsidRPr="00E775A9" w:rsidRDefault="00215138">
      <w:pPr>
        <w:keepNext/>
        <w:keepLines/>
        <w:spacing w:before="240" w:after="0"/>
        <w:rPr>
          <w:rFonts w:hAnsi="SimSun" w:cs="Arial"/>
          <w:color w:val="2F5496"/>
        </w:rPr>
      </w:pPr>
      <w:r w:rsidRPr="00E775A9">
        <w:rPr>
          <w:rFonts w:hAnsi="SimSun" w:cs="Arial" w:hint="eastAsia"/>
          <w:color w:val="4472C4"/>
        </w:rPr>
        <w:t>目录</w:t>
      </w:r>
    </w:p>
    <w:sdt>
      <w:sdtPr>
        <w:rPr>
          <w:rFonts w:ascii="Arial" w:hAnsi="Arial" w:cs="Arial" w:hint="eastAsia"/>
          <w:caps/>
          <w:sz w:val="20"/>
          <w:szCs w:val="20"/>
        </w:rPr>
        <w:id w:val="2094737321"/>
        <w:docPartObj>
          <w:docPartGallery w:val="Table of Contents"/>
          <w:docPartUnique/>
        </w:docPartObj>
      </w:sdtPr>
      <w:sdtEndPr>
        <w:rPr>
          <w:b/>
          <w:sz w:val="16"/>
          <w:szCs w:val="16"/>
        </w:rPr>
      </w:sdtEndPr>
      <w:sdtContent>
        <w:p w14:paraId="2885E542" w14:textId="2174EDD6" w:rsidR="00AA5A99" w:rsidRDefault="00215138">
          <w:pPr>
            <w:pStyle w:val="TOC1"/>
            <w:rPr>
              <w:rFonts w:asciiTheme="minorHAnsi" w:eastAsiaTheme="minorEastAsia" w:hAnsiTheme="minorHAnsi" w:cstheme="minorBidi"/>
              <w:noProof/>
              <w:kern w:val="2"/>
              <w:szCs w:val="24"/>
              <w14:ligatures w14:val="standardContextual"/>
            </w:rPr>
          </w:pPr>
          <w:r>
            <w:rPr>
              <w:rFonts w:ascii="Arial" w:hAnsi="Arial" w:cs="Arial" w:hint="eastAsia"/>
            </w:rPr>
            <w:fldChar w:fldCharType="begin"/>
          </w:r>
          <w:r>
            <w:rPr>
              <w:rFonts w:ascii="Arial" w:hAnsi="Arial" w:cs="Arial" w:hint="eastAsia"/>
            </w:rPr>
            <w:instrText xml:space="preserve"> TOC \o "1-3" \h \z \u </w:instrText>
          </w:r>
          <w:r>
            <w:rPr>
              <w:rFonts w:ascii="Arial" w:hAnsi="Arial" w:cs="Arial" w:hint="eastAsia"/>
            </w:rPr>
            <w:fldChar w:fldCharType="separate"/>
          </w:r>
          <w:hyperlink w:anchor="_Toc181695779" w:history="1">
            <w:r w:rsidR="00AA5A99" w:rsidRPr="00965B9D">
              <w:rPr>
                <w:rStyle w:val="Hyperlink"/>
                <w:rFonts w:cs="Arial"/>
                <w:b/>
                <w:noProof/>
              </w:rPr>
              <w:t>致谢</w:t>
            </w:r>
            <w:r w:rsidR="00AA5A99">
              <w:rPr>
                <w:noProof/>
                <w:webHidden/>
              </w:rPr>
              <w:tab/>
            </w:r>
            <w:r w:rsidR="00492D11">
              <w:rPr>
                <w:noProof/>
                <w:webHidden/>
              </w:rPr>
              <w:tab/>
            </w:r>
            <w:r w:rsidR="00AA5A99">
              <w:rPr>
                <w:noProof/>
                <w:webHidden/>
              </w:rPr>
              <w:fldChar w:fldCharType="begin"/>
            </w:r>
            <w:r w:rsidR="00AA5A99">
              <w:rPr>
                <w:noProof/>
                <w:webHidden/>
              </w:rPr>
              <w:instrText xml:space="preserve"> PAGEREF _Toc181695779 \h </w:instrText>
            </w:r>
            <w:r w:rsidR="00AA5A99">
              <w:rPr>
                <w:noProof/>
                <w:webHidden/>
              </w:rPr>
            </w:r>
            <w:r w:rsidR="00AA5A99">
              <w:rPr>
                <w:noProof/>
                <w:webHidden/>
              </w:rPr>
              <w:fldChar w:fldCharType="separate"/>
            </w:r>
            <w:r w:rsidR="00AA5A99">
              <w:rPr>
                <w:noProof/>
                <w:webHidden/>
              </w:rPr>
              <w:t>5</w:t>
            </w:r>
            <w:r w:rsidR="00AA5A99">
              <w:rPr>
                <w:noProof/>
                <w:webHidden/>
              </w:rPr>
              <w:fldChar w:fldCharType="end"/>
            </w:r>
          </w:hyperlink>
        </w:p>
        <w:p w14:paraId="33B8ED78" w14:textId="71DD1B9E" w:rsidR="00AA5A99" w:rsidRDefault="00E57122" w:rsidP="00AA5A99">
          <w:pPr>
            <w:pStyle w:val="TOC1"/>
            <w:rPr>
              <w:rFonts w:asciiTheme="minorHAnsi" w:eastAsiaTheme="minorEastAsia" w:hAnsiTheme="minorHAnsi" w:cstheme="minorBidi"/>
              <w:noProof/>
              <w:kern w:val="2"/>
              <w:szCs w:val="24"/>
              <w14:ligatures w14:val="standardContextual"/>
            </w:rPr>
          </w:pPr>
          <w:hyperlink w:anchor="_Toc181695780" w:history="1">
            <w:r w:rsidR="00AA5A99" w:rsidRPr="00965B9D">
              <w:rPr>
                <w:rStyle w:val="Hyperlink"/>
                <w:rFonts w:cs="Arial"/>
                <w:b/>
                <w:noProof/>
              </w:rPr>
              <w:t>内容提要</w:t>
            </w:r>
            <w:r w:rsidR="00AA5A99">
              <w:rPr>
                <w:noProof/>
                <w:webHidden/>
              </w:rPr>
              <w:tab/>
            </w:r>
            <w:r w:rsidR="00AA5A99">
              <w:rPr>
                <w:noProof/>
                <w:webHidden/>
              </w:rPr>
              <w:fldChar w:fldCharType="begin"/>
            </w:r>
            <w:r w:rsidR="00AA5A99">
              <w:rPr>
                <w:noProof/>
                <w:webHidden/>
              </w:rPr>
              <w:instrText xml:space="preserve"> PAGEREF _Toc181695780 \h </w:instrText>
            </w:r>
            <w:r w:rsidR="00AA5A99">
              <w:rPr>
                <w:noProof/>
                <w:webHidden/>
              </w:rPr>
            </w:r>
            <w:r w:rsidR="00AA5A99">
              <w:rPr>
                <w:noProof/>
                <w:webHidden/>
              </w:rPr>
              <w:fldChar w:fldCharType="separate"/>
            </w:r>
            <w:r w:rsidR="00AA5A99">
              <w:rPr>
                <w:noProof/>
                <w:webHidden/>
              </w:rPr>
              <w:t>6</w:t>
            </w:r>
            <w:r w:rsidR="00AA5A99">
              <w:rPr>
                <w:noProof/>
                <w:webHidden/>
              </w:rPr>
              <w:fldChar w:fldCharType="end"/>
            </w:r>
          </w:hyperlink>
        </w:p>
        <w:p w14:paraId="587ADBED" w14:textId="5F6B75F9" w:rsidR="00AA5A99" w:rsidRDefault="00E57122">
          <w:pPr>
            <w:pStyle w:val="TOC1"/>
            <w:rPr>
              <w:rFonts w:asciiTheme="minorHAnsi" w:eastAsiaTheme="minorEastAsia" w:hAnsiTheme="minorHAnsi" w:cstheme="minorBidi"/>
              <w:noProof/>
              <w:kern w:val="2"/>
              <w:szCs w:val="24"/>
              <w14:ligatures w14:val="standardContextual"/>
            </w:rPr>
          </w:pPr>
          <w:hyperlink w:anchor="_Toc181695781" w:history="1">
            <w:r w:rsidR="00AA5A99" w:rsidRPr="00965B9D">
              <w:rPr>
                <w:rStyle w:val="Hyperlink"/>
                <w:rFonts w:cstheme="majorBidi"/>
                <w:noProof/>
              </w:rPr>
              <w:t>1.</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导言</w:t>
            </w:r>
            <w:r w:rsidR="00AA5A99">
              <w:rPr>
                <w:noProof/>
                <w:webHidden/>
              </w:rPr>
              <w:tab/>
            </w:r>
            <w:r w:rsidR="00AA5A99">
              <w:rPr>
                <w:noProof/>
                <w:webHidden/>
              </w:rPr>
              <w:fldChar w:fldCharType="begin"/>
            </w:r>
            <w:r w:rsidR="00AA5A99">
              <w:rPr>
                <w:noProof/>
                <w:webHidden/>
              </w:rPr>
              <w:instrText xml:space="preserve"> PAGEREF _Toc181695781 \h </w:instrText>
            </w:r>
            <w:r w:rsidR="00AA5A99">
              <w:rPr>
                <w:noProof/>
                <w:webHidden/>
              </w:rPr>
            </w:r>
            <w:r w:rsidR="00AA5A99">
              <w:rPr>
                <w:noProof/>
                <w:webHidden/>
              </w:rPr>
              <w:fldChar w:fldCharType="separate"/>
            </w:r>
            <w:r w:rsidR="00AA5A99">
              <w:rPr>
                <w:noProof/>
                <w:webHidden/>
              </w:rPr>
              <w:t>11</w:t>
            </w:r>
            <w:r w:rsidR="00AA5A99">
              <w:rPr>
                <w:noProof/>
                <w:webHidden/>
              </w:rPr>
              <w:fldChar w:fldCharType="end"/>
            </w:r>
          </w:hyperlink>
        </w:p>
        <w:p w14:paraId="7C53E9F0" w14:textId="0D67D615" w:rsidR="00AA5A99" w:rsidRDefault="00E57122" w:rsidP="00AA5A99">
          <w:pPr>
            <w:pStyle w:val="TOC2"/>
            <w:tabs>
              <w:tab w:val="left" w:pos="880"/>
              <w:tab w:val="right" w:leader="dot" w:pos="9016"/>
            </w:tabs>
            <w:ind w:left="221"/>
            <w:rPr>
              <w:rFonts w:asciiTheme="minorHAnsi" w:eastAsiaTheme="minorEastAsia" w:hAnsiTheme="minorHAnsi" w:cstheme="minorBidi"/>
              <w:noProof/>
              <w:kern w:val="2"/>
              <w:szCs w:val="24"/>
              <w14:ligatures w14:val="standardContextual"/>
            </w:rPr>
          </w:pPr>
          <w:hyperlink w:anchor="_Toc181695782" w:history="1">
            <w:r w:rsidR="00AA5A99" w:rsidRPr="00965B9D">
              <w:rPr>
                <w:rStyle w:val="Hyperlink"/>
                <w:rFonts w:cstheme="majorBidi"/>
                <w:noProof/>
              </w:rPr>
              <w:t>1.1</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背景</w:t>
            </w:r>
            <w:r w:rsidR="00AA5A99">
              <w:rPr>
                <w:noProof/>
                <w:webHidden/>
              </w:rPr>
              <w:tab/>
            </w:r>
            <w:r w:rsidR="00AA5A99">
              <w:rPr>
                <w:noProof/>
                <w:webHidden/>
              </w:rPr>
              <w:fldChar w:fldCharType="begin"/>
            </w:r>
            <w:r w:rsidR="00AA5A99">
              <w:rPr>
                <w:noProof/>
                <w:webHidden/>
              </w:rPr>
              <w:instrText xml:space="preserve"> PAGEREF _Toc181695782 \h </w:instrText>
            </w:r>
            <w:r w:rsidR="00AA5A99">
              <w:rPr>
                <w:noProof/>
                <w:webHidden/>
              </w:rPr>
            </w:r>
            <w:r w:rsidR="00AA5A99">
              <w:rPr>
                <w:noProof/>
                <w:webHidden/>
              </w:rPr>
              <w:fldChar w:fldCharType="separate"/>
            </w:r>
            <w:r w:rsidR="00AA5A99">
              <w:rPr>
                <w:noProof/>
                <w:webHidden/>
              </w:rPr>
              <w:t>11</w:t>
            </w:r>
            <w:r w:rsidR="00AA5A99">
              <w:rPr>
                <w:noProof/>
                <w:webHidden/>
              </w:rPr>
              <w:fldChar w:fldCharType="end"/>
            </w:r>
          </w:hyperlink>
        </w:p>
        <w:p w14:paraId="3A428A08" w14:textId="6952D593" w:rsidR="00AA5A99" w:rsidRDefault="00E57122" w:rsidP="00AA5A99">
          <w:pPr>
            <w:pStyle w:val="TOC2"/>
            <w:tabs>
              <w:tab w:val="left" w:pos="880"/>
              <w:tab w:val="right" w:leader="dot" w:pos="9016"/>
            </w:tabs>
            <w:ind w:left="221"/>
            <w:rPr>
              <w:rFonts w:asciiTheme="minorHAnsi" w:eastAsiaTheme="minorEastAsia" w:hAnsiTheme="minorHAnsi" w:cstheme="minorBidi"/>
              <w:noProof/>
              <w:kern w:val="2"/>
              <w:szCs w:val="24"/>
              <w14:ligatures w14:val="standardContextual"/>
            </w:rPr>
          </w:pPr>
          <w:hyperlink w:anchor="_Toc181695783" w:history="1">
            <w:r w:rsidR="00AA5A99" w:rsidRPr="00965B9D">
              <w:rPr>
                <w:rStyle w:val="Hyperlink"/>
                <w:rFonts w:cstheme="majorBidi"/>
                <w:noProof/>
              </w:rPr>
              <w:t>1.2</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目的</w:t>
            </w:r>
            <w:r w:rsidR="00AA5A99">
              <w:rPr>
                <w:noProof/>
                <w:webHidden/>
              </w:rPr>
              <w:tab/>
            </w:r>
            <w:r w:rsidR="00AA5A99">
              <w:rPr>
                <w:noProof/>
                <w:webHidden/>
              </w:rPr>
              <w:fldChar w:fldCharType="begin"/>
            </w:r>
            <w:r w:rsidR="00AA5A99">
              <w:rPr>
                <w:noProof/>
                <w:webHidden/>
              </w:rPr>
              <w:instrText xml:space="preserve"> PAGEREF _Toc181695783 \h </w:instrText>
            </w:r>
            <w:r w:rsidR="00AA5A99">
              <w:rPr>
                <w:noProof/>
                <w:webHidden/>
              </w:rPr>
            </w:r>
            <w:r w:rsidR="00AA5A99">
              <w:rPr>
                <w:noProof/>
                <w:webHidden/>
              </w:rPr>
              <w:fldChar w:fldCharType="separate"/>
            </w:r>
            <w:r w:rsidR="00AA5A99">
              <w:rPr>
                <w:noProof/>
                <w:webHidden/>
              </w:rPr>
              <w:t>12</w:t>
            </w:r>
            <w:r w:rsidR="00AA5A99">
              <w:rPr>
                <w:noProof/>
                <w:webHidden/>
              </w:rPr>
              <w:fldChar w:fldCharType="end"/>
            </w:r>
          </w:hyperlink>
        </w:p>
        <w:p w14:paraId="25B639D6" w14:textId="7B2EC404" w:rsidR="00AA5A99" w:rsidRDefault="00E57122" w:rsidP="00AA5A99">
          <w:pPr>
            <w:pStyle w:val="TOC2"/>
            <w:tabs>
              <w:tab w:val="left" w:pos="880"/>
              <w:tab w:val="right" w:leader="dot" w:pos="9016"/>
            </w:tabs>
            <w:ind w:left="221"/>
            <w:rPr>
              <w:rFonts w:asciiTheme="minorHAnsi" w:eastAsiaTheme="minorEastAsia" w:hAnsiTheme="minorHAnsi" w:cstheme="minorBidi"/>
              <w:noProof/>
              <w:kern w:val="2"/>
              <w:szCs w:val="24"/>
              <w14:ligatures w14:val="standardContextual"/>
            </w:rPr>
          </w:pPr>
          <w:hyperlink w:anchor="_Toc181695784" w:history="1">
            <w:r w:rsidR="00AA5A99" w:rsidRPr="00965B9D">
              <w:rPr>
                <w:rStyle w:val="Hyperlink"/>
                <w:rFonts w:cstheme="majorBidi"/>
                <w:noProof/>
              </w:rPr>
              <w:t>1.3</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启动阶段</w:t>
            </w:r>
            <w:r w:rsidR="00AA5A99">
              <w:rPr>
                <w:noProof/>
                <w:webHidden/>
              </w:rPr>
              <w:tab/>
            </w:r>
            <w:r w:rsidR="00AA5A99">
              <w:rPr>
                <w:noProof/>
                <w:webHidden/>
              </w:rPr>
              <w:fldChar w:fldCharType="begin"/>
            </w:r>
            <w:r w:rsidR="00AA5A99">
              <w:rPr>
                <w:noProof/>
                <w:webHidden/>
              </w:rPr>
              <w:instrText xml:space="preserve"> PAGEREF _Toc181695784 \h </w:instrText>
            </w:r>
            <w:r w:rsidR="00AA5A99">
              <w:rPr>
                <w:noProof/>
                <w:webHidden/>
              </w:rPr>
            </w:r>
            <w:r w:rsidR="00AA5A99">
              <w:rPr>
                <w:noProof/>
                <w:webHidden/>
              </w:rPr>
              <w:fldChar w:fldCharType="separate"/>
            </w:r>
            <w:r w:rsidR="00AA5A99">
              <w:rPr>
                <w:noProof/>
                <w:webHidden/>
              </w:rPr>
              <w:t>12</w:t>
            </w:r>
            <w:r w:rsidR="00AA5A99">
              <w:rPr>
                <w:noProof/>
                <w:webHidden/>
              </w:rPr>
              <w:fldChar w:fldCharType="end"/>
            </w:r>
          </w:hyperlink>
        </w:p>
        <w:p w14:paraId="5AD593EB" w14:textId="75BD74A5" w:rsidR="00AA5A99" w:rsidRDefault="00E57122" w:rsidP="00AA5A99">
          <w:pPr>
            <w:pStyle w:val="TOC2"/>
            <w:tabs>
              <w:tab w:val="left" w:pos="880"/>
              <w:tab w:val="right" w:leader="dot" w:pos="9016"/>
            </w:tabs>
            <w:ind w:left="221"/>
            <w:rPr>
              <w:rFonts w:asciiTheme="minorHAnsi" w:eastAsiaTheme="minorEastAsia" w:hAnsiTheme="minorHAnsi" w:cstheme="minorBidi"/>
              <w:noProof/>
              <w:kern w:val="2"/>
              <w:szCs w:val="24"/>
              <w14:ligatures w14:val="standardContextual"/>
            </w:rPr>
          </w:pPr>
          <w:hyperlink w:anchor="_Toc181695785" w:history="1">
            <w:r w:rsidR="00AA5A99" w:rsidRPr="00965B9D">
              <w:rPr>
                <w:rStyle w:val="Hyperlink"/>
                <w:rFonts w:cstheme="majorBidi"/>
                <w:noProof/>
              </w:rPr>
              <w:t>1.4</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范围和持续时间</w:t>
            </w:r>
            <w:r w:rsidR="00AA5A99">
              <w:rPr>
                <w:noProof/>
                <w:webHidden/>
              </w:rPr>
              <w:tab/>
            </w:r>
            <w:r w:rsidR="00AA5A99">
              <w:rPr>
                <w:noProof/>
                <w:webHidden/>
              </w:rPr>
              <w:fldChar w:fldCharType="begin"/>
            </w:r>
            <w:r w:rsidR="00AA5A99">
              <w:rPr>
                <w:noProof/>
                <w:webHidden/>
              </w:rPr>
              <w:instrText xml:space="preserve"> PAGEREF _Toc181695785 \h </w:instrText>
            </w:r>
            <w:r w:rsidR="00AA5A99">
              <w:rPr>
                <w:noProof/>
                <w:webHidden/>
              </w:rPr>
            </w:r>
            <w:r w:rsidR="00AA5A99">
              <w:rPr>
                <w:noProof/>
                <w:webHidden/>
              </w:rPr>
              <w:fldChar w:fldCharType="separate"/>
            </w:r>
            <w:r w:rsidR="00AA5A99">
              <w:rPr>
                <w:noProof/>
                <w:webHidden/>
              </w:rPr>
              <w:t>12</w:t>
            </w:r>
            <w:r w:rsidR="00AA5A99">
              <w:rPr>
                <w:noProof/>
                <w:webHidden/>
              </w:rPr>
              <w:fldChar w:fldCharType="end"/>
            </w:r>
          </w:hyperlink>
        </w:p>
        <w:p w14:paraId="4E987BA8" w14:textId="226B8A8C" w:rsidR="00AA5A99" w:rsidRDefault="00E57122" w:rsidP="00AA5A99">
          <w:pPr>
            <w:pStyle w:val="TOC2"/>
            <w:tabs>
              <w:tab w:val="left" w:pos="880"/>
              <w:tab w:val="right" w:leader="dot" w:pos="9016"/>
            </w:tabs>
            <w:ind w:left="221"/>
            <w:rPr>
              <w:rFonts w:asciiTheme="minorHAnsi" w:eastAsiaTheme="minorEastAsia" w:hAnsiTheme="minorHAnsi" w:cstheme="minorBidi"/>
              <w:noProof/>
              <w:kern w:val="2"/>
              <w:szCs w:val="24"/>
              <w14:ligatures w14:val="standardContextual"/>
            </w:rPr>
          </w:pPr>
          <w:hyperlink w:anchor="_Toc181695786" w:history="1">
            <w:r w:rsidR="00AA5A99" w:rsidRPr="00965B9D">
              <w:rPr>
                <w:rStyle w:val="Hyperlink"/>
                <w:rFonts w:cstheme="majorBidi"/>
                <w:noProof/>
              </w:rPr>
              <w:t>1.5</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审查使用者</w:t>
            </w:r>
            <w:r w:rsidR="00AA5A99">
              <w:rPr>
                <w:noProof/>
                <w:webHidden/>
              </w:rPr>
              <w:tab/>
            </w:r>
            <w:r w:rsidR="00AA5A99">
              <w:rPr>
                <w:noProof/>
                <w:webHidden/>
              </w:rPr>
              <w:fldChar w:fldCharType="begin"/>
            </w:r>
            <w:r w:rsidR="00AA5A99">
              <w:rPr>
                <w:noProof/>
                <w:webHidden/>
              </w:rPr>
              <w:instrText xml:space="preserve"> PAGEREF _Toc181695786 \h </w:instrText>
            </w:r>
            <w:r w:rsidR="00AA5A99">
              <w:rPr>
                <w:noProof/>
                <w:webHidden/>
              </w:rPr>
            </w:r>
            <w:r w:rsidR="00AA5A99">
              <w:rPr>
                <w:noProof/>
                <w:webHidden/>
              </w:rPr>
              <w:fldChar w:fldCharType="separate"/>
            </w:r>
            <w:r w:rsidR="00AA5A99">
              <w:rPr>
                <w:noProof/>
                <w:webHidden/>
              </w:rPr>
              <w:t>12</w:t>
            </w:r>
            <w:r w:rsidR="00AA5A99">
              <w:rPr>
                <w:noProof/>
                <w:webHidden/>
              </w:rPr>
              <w:fldChar w:fldCharType="end"/>
            </w:r>
          </w:hyperlink>
        </w:p>
        <w:p w14:paraId="4ACCBB57" w14:textId="04EEDD23" w:rsidR="00AA5A99" w:rsidRDefault="00E57122">
          <w:pPr>
            <w:pStyle w:val="TOC1"/>
            <w:rPr>
              <w:rFonts w:asciiTheme="minorHAnsi" w:eastAsiaTheme="minorEastAsia" w:hAnsiTheme="minorHAnsi" w:cstheme="minorBidi"/>
              <w:noProof/>
              <w:kern w:val="2"/>
              <w:szCs w:val="24"/>
              <w14:ligatures w14:val="standardContextual"/>
            </w:rPr>
          </w:pPr>
          <w:hyperlink w:anchor="_Toc181695787" w:history="1">
            <w:r w:rsidR="00AA5A99" w:rsidRPr="00965B9D">
              <w:rPr>
                <w:rStyle w:val="Hyperlink"/>
                <w:rFonts w:cstheme="majorBidi"/>
                <w:noProof/>
              </w:rPr>
              <w:t>2.</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干预措施介绍</w:t>
            </w:r>
            <w:r w:rsidR="00AA5A99">
              <w:rPr>
                <w:noProof/>
                <w:webHidden/>
              </w:rPr>
              <w:tab/>
            </w:r>
            <w:r w:rsidR="00AA5A99">
              <w:rPr>
                <w:noProof/>
                <w:webHidden/>
              </w:rPr>
              <w:fldChar w:fldCharType="begin"/>
            </w:r>
            <w:r w:rsidR="00AA5A99">
              <w:rPr>
                <w:noProof/>
                <w:webHidden/>
              </w:rPr>
              <w:instrText xml:space="preserve"> PAGEREF _Toc181695787 \h </w:instrText>
            </w:r>
            <w:r w:rsidR="00AA5A99">
              <w:rPr>
                <w:noProof/>
                <w:webHidden/>
              </w:rPr>
            </w:r>
            <w:r w:rsidR="00AA5A99">
              <w:rPr>
                <w:noProof/>
                <w:webHidden/>
              </w:rPr>
              <w:fldChar w:fldCharType="separate"/>
            </w:r>
            <w:r w:rsidR="00AA5A99">
              <w:rPr>
                <w:noProof/>
                <w:webHidden/>
              </w:rPr>
              <w:t>13</w:t>
            </w:r>
            <w:r w:rsidR="00AA5A99">
              <w:rPr>
                <w:noProof/>
                <w:webHidden/>
              </w:rPr>
              <w:fldChar w:fldCharType="end"/>
            </w:r>
          </w:hyperlink>
        </w:p>
        <w:p w14:paraId="2B3BD43F" w14:textId="10062FE4" w:rsidR="00AA5A99" w:rsidRDefault="00E57122" w:rsidP="00AA5A99">
          <w:pPr>
            <w:pStyle w:val="TOC2"/>
            <w:tabs>
              <w:tab w:val="left" w:pos="880"/>
              <w:tab w:val="right" w:leader="dot" w:pos="9016"/>
            </w:tabs>
            <w:ind w:left="221"/>
            <w:rPr>
              <w:rFonts w:asciiTheme="minorHAnsi" w:eastAsiaTheme="minorEastAsia" w:hAnsiTheme="minorHAnsi" w:cstheme="minorBidi"/>
              <w:noProof/>
              <w:kern w:val="2"/>
              <w:szCs w:val="24"/>
              <w14:ligatures w14:val="standardContextual"/>
            </w:rPr>
          </w:pPr>
          <w:hyperlink w:anchor="_Toc181695788" w:history="1">
            <w:r w:rsidR="00AA5A99" w:rsidRPr="00965B9D">
              <w:rPr>
                <w:rStyle w:val="Hyperlink"/>
                <w:rFonts w:cstheme="majorBidi"/>
                <w:noProof/>
              </w:rPr>
              <w:t>2.1</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概述</w:t>
            </w:r>
            <w:r w:rsidR="00AA5A99">
              <w:rPr>
                <w:noProof/>
                <w:webHidden/>
              </w:rPr>
              <w:tab/>
            </w:r>
            <w:r w:rsidR="00AA5A99">
              <w:rPr>
                <w:noProof/>
                <w:webHidden/>
              </w:rPr>
              <w:fldChar w:fldCharType="begin"/>
            </w:r>
            <w:r w:rsidR="00AA5A99">
              <w:rPr>
                <w:noProof/>
                <w:webHidden/>
              </w:rPr>
              <w:instrText xml:space="preserve"> PAGEREF _Toc181695788 \h </w:instrText>
            </w:r>
            <w:r w:rsidR="00AA5A99">
              <w:rPr>
                <w:noProof/>
                <w:webHidden/>
              </w:rPr>
            </w:r>
            <w:r w:rsidR="00AA5A99">
              <w:rPr>
                <w:noProof/>
                <w:webHidden/>
              </w:rPr>
              <w:fldChar w:fldCharType="separate"/>
            </w:r>
            <w:r w:rsidR="00AA5A99">
              <w:rPr>
                <w:noProof/>
                <w:webHidden/>
              </w:rPr>
              <w:t>13</w:t>
            </w:r>
            <w:r w:rsidR="00AA5A99">
              <w:rPr>
                <w:noProof/>
                <w:webHidden/>
              </w:rPr>
              <w:fldChar w:fldCharType="end"/>
            </w:r>
          </w:hyperlink>
        </w:p>
        <w:p w14:paraId="314A2DFC" w14:textId="6BE5FACF" w:rsidR="00AA5A99" w:rsidRDefault="00E57122" w:rsidP="00AA5A99">
          <w:pPr>
            <w:pStyle w:val="TOC2"/>
            <w:tabs>
              <w:tab w:val="left" w:pos="880"/>
              <w:tab w:val="right" w:leader="dot" w:pos="9016"/>
            </w:tabs>
            <w:ind w:left="221"/>
            <w:rPr>
              <w:rFonts w:asciiTheme="minorHAnsi" w:eastAsiaTheme="minorEastAsia" w:hAnsiTheme="minorHAnsi" w:cstheme="minorBidi"/>
              <w:noProof/>
              <w:kern w:val="2"/>
              <w:szCs w:val="24"/>
              <w14:ligatures w14:val="standardContextual"/>
            </w:rPr>
          </w:pPr>
          <w:hyperlink w:anchor="_Toc181695789" w:history="1">
            <w:r w:rsidR="00AA5A99" w:rsidRPr="00965B9D">
              <w:rPr>
                <w:rStyle w:val="Hyperlink"/>
                <w:rFonts w:cstheme="majorBidi"/>
                <w:noProof/>
              </w:rPr>
              <w:t>2.2</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针对技术援助资源分配</w:t>
            </w:r>
            <w:r w:rsidR="00AA5A99">
              <w:rPr>
                <w:noProof/>
                <w:webHidden/>
              </w:rPr>
              <w:tab/>
            </w:r>
            <w:r w:rsidR="00AA5A99">
              <w:rPr>
                <w:noProof/>
                <w:webHidden/>
              </w:rPr>
              <w:fldChar w:fldCharType="begin"/>
            </w:r>
            <w:r w:rsidR="00AA5A99">
              <w:rPr>
                <w:noProof/>
                <w:webHidden/>
              </w:rPr>
              <w:instrText xml:space="preserve"> PAGEREF _Toc181695789 \h </w:instrText>
            </w:r>
            <w:r w:rsidR="00AA5A99">
              <w:rPr>
                <w:noProof/>
                <w:webHidden/>
              </w:rPr>
            </w:r>
            <w:r w:rsidR="00AA5A99">
              <w:rPr>
                <w:noProof/>
                <w:webHidden/>
              </w:rPr>
              <w:fldChar w:fldCharType="separate"/>
            </w:r>
            <w:r w:rsidR="00AA5A99">
              <w:rPr>
                <w:noProof/>
                <w:webHidden/>
              </w:rPr>
              <w:t>13</w:t>
            </w:r>
            <w:r w:rsidR="00AA5A99">
              <w:rPr>
                <w:noProof/>
                <w:webHidden/>
              </w:rPr>
              <w:fldChar w:fldCharType="end"/>
            </w:r>
          </w:hyperlink>
        </w:p>
        <w:p w14:paraId="05D2DFC3" w14:textId="0D4CF335" w:rsidR="00AA5A99" w:rsidRDefault="00E57122">
          <w:pPr>
            <w:pStyle w:val="TOC1"/>
            <w:rPr>
              <w:rFonts w:asciiTheme="minorHAnsi" w:eastAsiaTheme="minorEastAsia" w:hAnsiTheme="minorHAnsi" w:cstheme="minorBidi"/>
              <w:noProof/>
              <w:kern w:val="2"/>
              <w:szCs w:val="24"/>
              <w14:ligatures w14:val="standardContextual"/>
            </w:rPr>
          </w:pPr>
          <w:hyperlink w:anchor="_Toc181695790" w:history="1">
            <w:r w:rsidR="00AA5A99" w:rsidRPr="00965B9D">
              <w:rPr>
                <w:rStyle w:val="Hyperlink"/>
                <w:rFonts w:cstheme="majorBidi"/>
                <w:noProof/>
              </w:rPr>
              <w:t>3.</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审查设计</w:t>
            </w:r>
            <w:r w:rsidR="00AA5A99">
              <w:rPr>
                <w:noProof/>
                <w:webHidden/>
              </w:rPr>
              <w:tab/>
            </w:r>
            <w:r w:rsidR="00AA5A99">
              <w:rPr>
                <w:noProof/>
                <w:webHidden/>
              </w:rPr>
              <w:fldChar w:fldCharType="begin"/>
            </w:r>
            <w:r w:rsidR="00AA5A99">
              <w:rPr>
                <w:noProof/>
                <w:webHidden/>
              </w:rPr>
              <w:instrText xml:space="preserve"> PAGEREF _Toc181695790 \h </w:instrText>
            </w:r>
            <w:r w:rsidR="00AA5A99">
              <w:rPr>
                <w:noProof/>
                <w:webHidden/>
              </w:rPr>
            </w:r>
            <w:r w:rsidR="00AA5A99">
              <w:rPr>
                <w:noProof/>
                <w:webHidden/>
              </w:rPr>
              <w:fldChar w:fldCharType="separate"/>
            </w:r>
            <w:r w:rsidR="00AA5A99">
              <w:rPr>
                <w:noProof/>
                <w:webHidden/>
              </w:rPr>
              <w:t>14</w:t>
            </w:r>
            <w:r w:rsidR="00AA5A99">
              <w:rPr>
                <w:noProof/>
                <w:webHidden/>
              </w:rPr>
              <w:fldChar w:fldCharType="end"/>
            </w:r>
          </w:hyperlink>
        </w:p>
        <w:p w14:paraId="05DEECB2" w14:textId="7E74C56F" w:rsidR="00AA5A99" w:rsidRDefault="00E57122" w:rsidP="00AA5A99">
          <w:pPr>
            <w:pStyle w:val="TOC2"/>
            <w:tabs>
              <w:tab w:val="left" w:pos="880"/>
              <w:tab w:val="right" w:leader="dot" w:pos="9016"/>
            </w:tabs>
            <w:ind w:left="221"/>
            <w:rPr>
              <w:rFonts w:asciiTheme="minorHAnsi" w:eastAsiaTheme="minorEastAsia" w:hAnsiTheme="minorHAnsi" w:cstheme="minorBidi"/>
              <w:noProof/>
              <w:kern w:val="2"/>
              <w:szCs w:val="24"/>
              <w14:ligatures w14:val="standardContextual"/>
            </w:rPr>
          </w:pPr>
          <w:hyperlink w:anchor="_Toc181695791" w:history="1">
            <w:r w:rsidR="00AA5A99" w:rsidRPr="00965B9D">
              <w:rPr>
                <w:rStyle w:val="Hyperlink"/>
                <w:rFonts w:cstheme="majorBidi"/>
                <w:noProof/>
              </w:rPr>
              <w:t>3.1</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审查方式和方法</w:t>
            </w:r>
            <w:r w:rsidR="00AA5A99">
              <w:rPr>
                <w:noProof/>
                <w:webHidden/>
              </w:rPr>
              <w:tab/>
            </w:r>
            <w:r w:rsidR="00AA5A99">
              <w:rPr>
                <w:noProof/>
                <w:webHidden/>
              </w:rPr>
              <w:fldChar w:fldCharType="begin"/>
            </w:r>
            <w:r w:rsidR="00AA5A99">
              <w:rPr>
                <w:noProof/>
                <w:webHidden/>
              </w:rPr>
              <w:instrText xml:space="preserve"> PAGEREF _Toc181695791 \h </w:instrText>
            </w:r>
            <w:r w:rsidR="00AA5A99">
              <w:rPr>
                <w:noProof/>
                <w:webHidden/>
              </w:rPr>
            </w:r>
            <w:r w:rsidR="00AA5A99">
              <w:rPr>
                <w:noProof/>
                <w:webHidden/>
              </w:rPr>
              <w:fldChar w:fldCharType="separate"/>
            </w:r>
            <w:r w:rsidR="00AA5A99">
              <w:rPr>
                <w:noProof/>
                <w:webHidden/>
              </w:rPr>
              <w:t>14</w:t>
            </w:r>
            <w:r w:rsidR="00AA5A99">
              <w:rPr>
                <w:noProof/>
                <w:webHidden/>
              </w:rPr>
              <w:fldChar w:fldCharType="end"/>
            </w:r>
          </w:hyperlink>
        </w:p>
        <w:p w14:paraId="542B2CA0" w14:textId="56380A5F" w:rsidR="00AA5A99" w:rsidRDefault="00E57122" w:rsidP="00AA5A99">
          <w:pPr>
            <w:pStyle w:val="TOC2"/>
            <w:tabs>
              <w:tab w:val="left" w:pos="880"/>
              <w:tab w:val="right" w:leader="dot" w:pos="9016"/>
            </w:tabs>
            <w:ind w:left="221"/>
            <w:rPr>
              <w:rFonts w:asciiTheme="minorHAnsi" w:eastAsiaTheme="minorEastAsia" w:hAnsiTheme="minorHAnsi" w:cstheme="minorBidi"/>
              <w:noProof/>
              <w:kern w:val="2"/>
              <w:szCs w:val="24"/>
              <w14:ligatures w14:val="standardContextual"/>
            </w:rPr>
          </w:pPr>
          <w:hyperlink w:anchor="_Toc181695792" w:history="1">
            <w:r w:rsidR="00AA5A99" w:rsidRPr="00965B9D">
              <w:rPr>
                <w:rStyle w:val="Hyperlink"/>
                <w:rFonts w:cstheme="majorBidi"/>
                <w:noProof/>
              </w:rPr>
              <w:t>3.2</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数据收集</w:t>
            </w:r>
            <w:r w:rsidR="00AA5A99">
              <w:rPr>
                <w:noProof/>
                <w:webHidden/>
              </w:rPr>
              <w:tab/>
            </w:r>
            <w:r w:rsidR="00AA5A99">
              <w:rPr>
                <w:noProof/>
                <w:webHidden/>
              </w:rPr>
              <w:fldChar w:fldCharType="begin"/>
            </w:r>
            <w:r w:rsidR="00AA5A99">
              <w:rPr>
                <w:noProof/>
                <w:webHidden/>
              </w:rPr>
              <w:instrText xml:space="preserve"> PAGEREF _Toc181695792 \h </w:instrText>
            </w:r>
            <w:r w:rsidR="00AA5A99">
              <w:rPr>
                <w:noProof/>
                <w:webHidden/>
              </w:rPr>
            </w:r>
            <w:r w:rsidR="00AA5A99">
              <w:rPr>
                <w:noProof/>
                <w:webHidden/>
              </w:rPr>
              <w:fldChar w:fldCharType="separate"/>
            </w:r>
            <w:r w:rsidR="00AA5A99">
              <w:rPr>
                <w:noProof/>
                <w:webHidden/>
              </w:rPr>
              <w:t>14</w:t>
            </w:r>
            <w:r w:rsidR="00AA5A99">
              <w:rPr>
                <w:noProof/>
                <w:webHidden/>
              </w:rPr>
              <w:fldChar w:fldCharType="end"/>
            </w:r>
          </w:hyperlink>
        </w:p>
        <w:p w14:paraId="175BC64D" w14:textId="161C8CA4" w:rsidR="00AA5A99" w:rsidRDefault="00E57122" w:rsidP="00AA5A99">
          <w:pPr>
            <w:pStyle w:val="TOC2"/>
            <w:tabs>
              <w:tab w:val="left" w:pos="880"/>
              <w:tab w:val="right" w:leader="dot" w:pos="9016"/>
            </w:tabs>
            <w:ind w:left="221"/>
            <w:rPr>
              <w:rFonts w:asciiTheme="minorHAnsi" w:eastAsiaTheme="minorEastAsia" w:hAnsiTheme="minorHAnsi" w:cstheme="minorBidi"/>
              <w:noProof/>
              <w:kern w:val="2"/>
              <w:szCs w:val="24"/>
              <w14:ligatures w14:val="standardContextual"/>
            </w:rPr>
          </w:pPr>
          <w:hyperlink w:anchor="_Toc181695793" w:history="1">
            <w:r w:rsidR="00AA5A99" w:rsidRPr="00965B9D">
              <w:rPr>
                <w:rStyle w:val="Hyperlink"/>
                <w:rFonts w:cstheme="majorBidi"/>
                <w:noProof/>
              </w:rPr>
              <w:t>3.3</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抽样</w:t>
            </w:r>
            <w:r w:rsidR="00AA5A99">
              <w:rPr>
                <w:noProof/>
                <w:webHidden/>
              </w:rPr>
              <w:tab/>
            </w:r>
            <w:r w:rsidR="00AA5A99">
              <w:rPr>
                <w:noProof/>
                <w:webHidden/>
              </w:rPr>
              <w:fldChar w:fldCharType="begin"/>
            </w:r>
            <w:r w:rsidR="00AA5A99">
              <w:rPr>
                <w:noProof/>
                <w:webHidden/>
              </w:rPr>
              <w:instrText xml:space="preserve"> PAGEREF _Toc181695793 \h </w:instrText>
            </w:r>
            <w:r w:rsidR="00AA5A99">
              <w:rPr>
                <w:noProof/>
                <w:webHidden/>
              </w:rPr>
            </w:r>
            <w:r w:rsidR="00AA5A99">
              <w:rPr>
                <w:noProof/>
                <w:webHidden/>
              </w:rPr>
              <w:fldChar w:fldCharType="separate"/>
            </w:r>
            <w:r w:rsidR="00AA5A99">
              <w:rPr>
                <w:noProof/>
                <w:webHidden/>
              </w:rPr>
              <w:t>14</w:t>
            </w:r>
            <w:r w:rsidR="00AA5A99">
              <w:rPr>
                <w:noProof/>
                <w:webHidden/>
              </w:rPr>
              <w:fldChar w:fldCharType="end"/>
            </w:r>
          </w:hyperlink>
        </w:p>
        <w:p w14:paraId="36D33916" w14:textId="6D340794" w:rsidR="00AA5A99" w:rsidRDefault="00E57122" w:rsidP="00AA5A99">
          <w:pPr>
            <w:pStyle w:val="TOC2"/>
            <w:tabs>
              <w:tab w:val="left" w:pos="880"/>
              <w:tab w:val="right" w:leader="dot" w:pos="9016"/>
            </w:tabs>
            <w:ind w:left="221"/>
            <w:rPr>
              <w:rFonts w:asciiTheme="minorHAnsi" w:eastAsiaTheme="minorEastAsia" w:hAnsiTheme="minorHAnsi" w:cstheme="minorBidi"/>
              <w:noProof/>
              <w:kern w:val="2"/>
              <w:szCs w:val="24"/>
              <w14:ligatures w14:val="standardContextual"/>
            </w:rPr>
          </w:pPr>
          <w:hyperlink w:anchor="_Toc181695794" w:history="1">
            <w:r w:rsidR="00AA5A99" w:rsidRPr="00965B9D">
              <w:rPr>
                <w:rStyle w:val="Hyperlink"/>
                <w:rFonts w:cstheme="majorBidi"/>
                <w:noProof/>
              </w:rPr>
              <w:t>3.4</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数据分析</w:t>
            </w:r>
            <w:r w:rsidR="00AA5A99">
              <w:rPr>
                <w:noProof/>
                <w:webHidden/>
              </w:rPr>
              <w:tab/>
            </w:r>
            <w:r w:rsidR="00AA5A99">
              <w:rPr>
                <w:noProof/>
                <w:webHidden/>
              </w:rPr>
              <w:fldChar w:fldCharType="begin"/>
            </w:r>
            <w:r w:rsidR="00AA5A99">
              <w:rPr>
                <w:noProof/>
                <w:webHidden/>
              </w:rPr>
              <w:instrText xml:space="preserve"> PAGEREF _Toc181695794 \h </w:instrText>
            </w:r>
            <w:r w:rsidR="00AA5A99">
              <w:rPr>
                <w:noProof/>
                <w:webHidden/>
              </w:rPr>
            </w:r>
            <w:r w:rsidR="00AA5A99">
              <w:rPr>
                <w:noProof/>
                <w:webHidden/>
              </w:rPr>
              <w:fldChar w:fldCharType="separate"/>
            </w:r>
            <w:r w:rsidR="00AA5A99">
              <w:rPr>
                <w:noProof/>
                <w:webHidden/>
              </w:rPr>
              <w:t>15</w:t>
            </w:r>
            <w:r w:rsidR="00AA5A99">
              <w:rPr>
                <w:noProof/>
                <w:webHidden/>
              </w:rPr>
              <w:fldChar w:fldCharType="end"/>
            </w:r>
          </w:hyperlink>
        </w:p>
        <w:p w14:paraId="6041D4E9" w14:textId="7B409731" w:rsidR="00AA5A99" w:rsidRDefault="00E57122" w:rsidP="00AA5A99">
          <w:pPr>
            <w:pStyle w:val="TOC2"/>
            <w:tabs>
              <w:tab w:val="left" w:pos="880"/>
              <w:tab w:val="right" w:leader="dot" w:pos="9016"/>
            </w:tabs>
            <w:ind w:left="221"/>
            <w:rPr>
              <w:rFonts w:asciiTheme="minorHAnsi" w:eastAsiaTheme="minorEastAsia" w:hAnsiTheme="minorHAnsi" w:cstheme="minorBidi"/>
              <w:noProof/>
              <w:kern w:val="2"/>
              <w:szCs w:val="24"/>
              <w14:ligatures w14:val="standardContextual"/>
            </w:rPr>
          </w:pPr>
          <w:hyperlink w:anchor="_Toc181695795" w:history="1">
            <w:r w:rsidR="00AA5A99" w:rsidRPr="00965B9D">
              <w:rPr>
                <w:rStyle w:val="Hyperlink"/>
                <w:rFonts w:cstheme="majorBidi"/>
                <w:noProof/>
              </w:rPr>
              <w:t>3.5</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审查伦理</w:t>
            </w:r>
            <w:r w:rsidR="00AA5A99">
              <w:rPr>
                <w:noProof/>
                <w:webHidden/>
              </w:rPr>
              <w:tab/>
            </w:r>
            <w:r w:rsidR="00AA5A99">
              <w:rPr>
                <w:noProof/>
                <w:webHidden/>
              </w:rPr>
              <w:fldChar w:fldCharType="begin"/>
            </w:r>
            <w:r w:rsidR="00AA5A99">
              <w:rPr>
                <w:noProof/>
                <w:webHidden/>
              </w:rPr>
              <w:instrText xml:space="preserve"> PAGEREF _Toc181695795 \h </w:instrText>
            </w:r>
            <w:r w:rsidR="00AA5A99">
              <w:rPr>
                <w:noProof/>
                <w:webHidden/>
              </w:rPr>
            </w:r>
            <w:r w:rsidR="00AA5A99">
              <w:rPr>
                <w:noProof/>
                <w:webHidden/>
              </w:rPr>
              <w:fldChar w:fldCharType="separate"/>
            </w:r>
            <w:r w:rsidR="00AA5A99">
              <w:rPr>
                <w:noProof/>
                <w:webHidden/>
              </w:rPr>
              <w:t>15</w:t>
            </w:r>
            <w:r w:rsidR="00AA5A99">
              <w:rPr>
                <w:noProof/>
                <w:webHidden/>
              </w:rPr>
              <w:fldChar w:fldCharType="end"/>
            </w:r>
          </w:hyperlink>
        </w:p>
        <w:p w14:paraId="5891D944" w14:textId="5C217A59" w:rsidR="00AA5A99" w:rsidRDefault="00E57122" w:rsidP="00AA5A99">
          <w:pPr>
            <w:pStyle w:val="TOC2"/>
            <w:tabs>
              <w:tab w:val="left" w:pos="880"/>
              <w:tab w:val="right" w:leader="dot" w:pos="9016"/>
            </w:tabs>
            <w:ind w:left="221"/>
            <w:rPr>
              <w:rFonts w:asciiTheme="minorHAnsi" w:eastAsiaTheme="minorEastAsia" w:hAnsiTheme="minorHAnsi" w:cstheme="minorBidi"/>
              <w:noProof/>
              <w:kern w:val="2"/>
              <w:szCs w:val="24"/>
              <w14:ligatures w14:val="standardContextual"/>
            </w:rPr>
          </w:pPr>
          <w:hyperlink w:anchor="_Toc181695796" w:history="1">
            <w:r w:rsidR="00AA5A99" w:rsidRPr="00965B9D">
              <w:rPr>
                <w:rStyle w:val="Hyperlink"/>
                <w:rFonts w:cstheme="majorBidi"/>
                <w:noProof/>
              </w:rPr>
              <w:t>3.6</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审查限制</w:t>
            </w:r>
            <w:r w:rsidR="00AA5A99">
              <w:rPr>
                <w:noProof/>
                <w:webHidden/>
              </w:rPr>
              <w:tab/>
            </w:r>
            <w:r w:rsidR="00AA5A99">
              <w:rPr>
                <w:noProof/>
                <w:webHidden/>
              </w:rPr>
              <w:fldChar w:fldCharType="begin"/>
            </w:r>
            <w:r w:rsidR="00AA5A99">
              <w:rPr>
                <w:noProof/>
                <w:webHidden/>
              </w:rPr>
              <w:instrText xml:space="preserve"> PAGEREF _Toc181695796 \h </w:instrText>
            </w:r>
            <w:r w:rsidR="00AA5A99">
              <w:rPr>
                <w:noProof/>
                <w:webHidden/>
              </w:rPr>
            </w:r>
            <w:r w:rsidR="00AA5A99">
              <w:rPr>
                <w:noProof/>
                <w:webHidden/>
              </w:rPr>
              <w:fldChar w:fldCharType="separate"/>
            </w:r>
            <w:r w:rsidR="00AA5A99">
              <w:rPr>
                <w:noProof/>
                <w:webHidden/>
              </w:rPr>
              <w:t>15</w:t>
            </w:r>
            <w:r w:rsidR="00AA5A99">
              <w:rPr>
                <w:noProof/>
                <w:webHidden/>
              </w:rPr>
              <w:fldChar w:fldCharType="end"/>
            </w:r>
          </w:hyperlink>
        </w:p>
        <w:p w14:paraId="6E48F1BF" w14:textId="06625A7A" w:rsidR="00AA5A99" w:rsidRDefault="00E57122">
          <w:pPr>
            <w:pStyle w:val="TOC1"/>
            <w:rPr>
              <w:rFonts w:asciiTheme="minorHAnsi" w:eastAsiaTheme="minorEastAsia" w:hAnsiTheme="minorHAnsi" w:cstheme="minorBidi"/>
              <w:noProof/>
              <w:kern w:val="2"/>
              <w:szCs w:val="24"/>
              <w14:ligatures w14:val="standardContextual"/>
            </w:rPr>
          </w:pPr>
          <w:hyperlink w:anchor="_Toc181695797" w:history="1">
            <w:r w:rsidR="00AA5A99" w:rsidRPr="00965B9D">
              <w:rPr>
                <w:rStyle w:val="Hyperlink"/>
                <w:rFonts w:cstheme="majorBidi"/>
                <w:noProof/>
              </w:rPr>
              <w:t>4.</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审查结果</w:t>
            </w:r>
            <w:r w:rsidR="00AA5A99">
              <w:rPr>
                <w:noProof/>
                <w:webHidden/>
              </w:rPr>
              <w:tab/>
            </w:r>
            <w:r w:rsidR="00AA5A99">
              <w:rPr>
                <w:noProof/>
                <w:webHidden/>
              </w:rPr>
              <w:fldChar w:fldCharType="begin"/>
            </w:r>
            <w:r w:rsidR="00AA5A99">
              <w:rPr>
                <w:noProof/>
                <w:webHidden/>
              </w:rPr>
              <w:instrText xml:space="preserve"> PAGEREF _Toc181695797 \h </w:instrText>
            </w:r>
            <w:r w:rsidR="00AA5A99">
              <w:rPr>
                <w:noProof/>
                <w:webHidden/>
              </w:rPr>
            </w:r>
            <w:r w:rsidR="00AA5A99">
              <w:rPr>
                <w:noProof/>
                <w:webHidden/>
              </w:rPr>
              <w:fldChar w:fldCharType="separate"/>
            </w:r>
            <w:r w:rsidR="00AA5A99">
              <w:rPr>
                <w:noProof/>
                <w:webHidden/>
              </w:rPr>
              <w:t>16</w:t>
            </w:r>
            <w:r w:rsidR="00AA5A99">
              <w:rPr>
                <w:noProof/>
                <w:webHidden/>
              </w:rPr>
              <w:fldChar w:fldCharType="end"/>
            </w:r>
          </w:hyperlink>
        </w:p>
        <w:p w14:paraId="7F6F29BD" w14:textId="04324A3E" w:rsidR="00AA5A99" w:rsidRDefault="00E57122" w:rsidP="00AA5A99">
          <w:pPr>
            <w:pStyle w:val="TOC2"/>
            <w:tabs>
              <w:tab w:val="left" w:pos="880"/>
              <w:tab w:val="right" w:leader="dot" w:pos="9016"/>
            </w:tabs>
            <w:ind w:left="221"/>
            <w:rPr>
              <w:rFonts w:asciiTheme="minorHAnsi" w:eastAsiaTheme="minorEastAsia" w:hAnsiTheme="minorHAnsi" w:cstheme="minorBidi"/>
              <w:noProof/>
              <w:kern w:val="2"/>
              <w:szCs w:val="24"/>
              <w14:ligatures w14:val="standardContextual"/>
            </w:rPr>
          </w:pPr>
          <w:hyperlink w:anchor="_Toc181695798" w:history="1">
            <w:r w:rsidR="00AA5A99" w:rsidRPr="00965B9D">
              <w:rPr>
                <w:rStyle w:val="Hyperlink"/>
                <w:rFonts w:cstheme="majorBidi"/>
                <w:noProof/>
              </w:rPr>
              <w:t>4.1</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相关性</w:t>
            </w:r>
            <w:r w:rsidR="00AA5A99">
              <w:rPr>
                <w:noProof/>
                <w:webHidden/>
              </w:rPr>
              <w:tab/>
            </w:r>
            <w:r w:rsidR="00AA5A99">
              <w:rPr>
                <w:noProof/>
                <w:webHidden/>
              </w:rPr>
              <w:fldChar w:fldCharType="begin"/>
            </w:r>
            <w:r w:rsidR="00AA5A99">
              <w:rPr>
                <w:noProof/>
                <w:webHidden/>
              </w:rPr>
              <w:instrText xml:space="preserve"> PAGEREF _Toc181695798 \h </w:instrText>
            </w:r>
            <w:r w:rsidR="00AA5A99">
              <w:rPr>
                <w:noProof/>
                <w:webHidden/>
              </w:rPr>
            </w:r>
            <w:r w:rsidR="00AA5A99">
              <w:rPr>
                <w:noProof/>
                <w:webHidden/>
              </w:rPr>
              <w:fldChar w:fldCharType="separate"/>
            </w:r>
            <w:r w:rsidR="00AA5A99">
              <w:rPr>
                <w:noProof/>
                <w:webHidden/>
              </w:rPr>
              <w:t>16</w:t>
            </w:r>
            <w:r w:rsidR="00AA5A99">
              <w:rPr>
                <w:noProof/>
                <w:webHidden/>
              </w:rPr>
              <w:fldChar w:fldCharType="end"/>
            </w:r>
          </w:hyperlink>
        </w:p>
        <w:p w14:paraId="66A13384" w14:textId="007BE4C4" w:rsidR="00AA5A99" w:rsidRDefault="00E57122" w:rsidP="00AA5A99">
          <w:pPr>
            <w:pStyle w:val="TOC2"/>
            <w:tabs>
              <w:tab w:val="left" w:pos="880"/>
              <w:tab w:val="right" w:leader="dot" w:pos="9016"/>
            </w:tabs>
            <w:ind w:left="221"/>
            <w:rPr>
              <w:rFonts w:asciiTheme="minorHAnsi" w:eastAsiaTheme="minorEastAsia" w:hAnsiTheme="minorHAnsi" w:cstheme="minorBidi"/>
              <w:noProof/>
              <w:kern w:val="2"/>
              <w:szCs w:val="24"/>
              <w14:ligatures w14:val="standardContextual"/>
            </w:rPr>
          </w:pPr>
          <w:hyperlink w:anchor="_Toc181695799" w:history="1">
            <w:r w:rsidR="00AA5A99" w:rsidRPr="00965B9D">
              <w:rPr>
                <w:rStyle w:val="Hyperlink"/>
                <w:rFonts w:cstheme="majorBidi"/>
                <w:noProof/>
              </w:rPr>
              <w:t>4.2</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有效性</w:t>
            </w:r>
            <w:r w:rsidR="00AA5A99">
              <w:rPr>
                <w:noProof/>
                <w:webHidden/>
              </w:rPr>
              <w:tab/>
            </w:r>
            <w:r w:rsidR="00AA5A99">
              <w:rPr>
                <w:noProof/>
                <w:webHidden/>
              </w:rPr>
              <w:fldChar w:fldCharType="begin"/>
            </w:r>
            <w:r w:rsidR="00AA5A99">
              <w:rPr>
                <w:noProof/>
                <w:webHidden/>
              </w:rPr>
              <w:instrText xml:space="preserve"> PAGEREF _Toc181695799 \h </w:instrText>
            </w:r>
            <w:r w:rsidR="00AA5A99">
              <w:rPr>
                <w:noProof/>
                <w:webHidden/>
              </w:rPr>
            </w:r>
            <w:r w:rsidR="00AA5A99">
              <w:rPr>
                <w:noProof/>
                <w:webHidden/>
              </w:rPr>
              <w:fldChar w:fldCharType="separate"/>
            </w:r>
            <w:r w:rsidR="00AA5A99">
              <w:rPr>
                <w:noProof/>
                <w:webHidden/>
              </w:rPr>
              <w:t>21</w:t>
            </w:r>
            <w:r w:rsidR="00AA5A99">
              <w:rPr>
                <w:noProof/>
                <w:webHidden/>
              </w:rPr>
              <w:fldChar w:fldCharType="end"/>
            </w:r>
          </w:hyperlink>
        </w:p>
        <w:p w14:paraId="51423288" w14:textId="078E2F64" w:rsidR="00AA5A99" w:rsidRDefault="00E57122" w:rsidP="00AA5A99">
          <w:pPr>
            <w:pStyle w:val="TOC2"/>
            <w:tabs>
              <w:tab w:val="left" w:pos="880"/>
              <w:tab w:val="right" w:leader="dot" w:pos="9016"/>
            </w:tabs>
            <w:ind w:left="221"/>
            <w:rPr>
              <w:rFonts w:asciiTheme="minorHAnsi" w:eastAsiaTheme="minorEastAsia" w:hAnsiTheme="minorHAnsi" w:cstheme="minorBidi"/>
              <w:noProof/>
              <w:kern w:val="2"/>
              <w:szCs w:val="24"/>
              <w14:ligatures w14:val="standardContextual"/>
            </w:rPr>
          </w:pPr>
          <w:hyperlink w:anchor="_Toc181695800" w:history="1">
            <w:r w:rsidR="00AA5A99" w:rsidRPr="00965B9D">
              <w:rPr>
                <w:rStyle w:val="Hyperlink"/>
                <w:rFonts w:cstheme="majorBidi"/>
                <w:noProof/>
              </w:rPr>
              <w:t>4.3</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效率和连贯性</w:t>
            </w:r>
            <w:r w:rsidR="00AA5A99">
              <w:rPr>
                <w:noProof/>
                <w:webHidden/>
              </w:rPr>
              <w:tab/>
            </w:r>
            <w:r w:rsidR="00AA5A99">
              <w:rPr>
                <w:noProof/>
                <w:webHidden/>
              </w:rPr>
              <w:fldChar w:fldCharType="begin"/>
            </w:r>
            <w:r w:rsidR="00AA5A99">
              <w:rPr>
                <w:noProof/>
                <w:webHidden/>
              </w:rPr>
              <w:instrText xml:space="preserve"> PAGEREF _Toc181695800 \h </w:instrText>
            </w:r>
            <w:r w:rsidR="00AA5A99">
              <w:rPr>
                <w:noProof/>
                <w:webHidden/>
              </w:rPr>
            </w:r>
            <w:r w:rsidR="00AA5A99">
              <w:rPr>
                <w:noProof/>
                <w:webHidden/>
              </w:rPr>
              <w:fldChar w:fldCharType="separate"/>
            </w:r>
            <w:r w:rsidR="00AA5A99">
              <w:rPr>
                <w:noProof/>
                <w:webHidden/>
              </w:rPr>
              <w:t>32</w:t>
            </w:r>
            <w:r w:rsidR="00AA5A99">
              <w:rPr>
                <w:noProof/>
                <w:webHidden/>
              </w:rPr>
              <w:fldChar w:fldCharType="end"/>
            </w:r>
          </w:hyperlink>
        </w:p>
        <w:p w14:paraId="7399749A" w14:textId="0DD9BB57" w:rsidR="00AA5A99" w:rsidRDefault="00E57122" w:rsidP="00AA5A99">
          <w:pPr>
            <w:pStyle w:val="TOC2"/>
            <w:tabs>
              <w:tab w:val="left" w:pos="880"/>
              <w:tab w:val="right" w:leader="dot" w:pos="9016"/>
            </w:tabs>
            <w:ind w:left="221"/>
            <w:rPr>
              <w:rFonts w:asciiTheme="minorHAnsi" w:eastAsiaTheme="minorEastAsia" w:hAnsiTheme="minorHAnsi" w:cstheme="minorBidi"/>
              <w:noProof/>
              <w:kern w:val="2"/>
              <w:szCs w:val="24"/>
              <w14:ligatures w14:val="standardContextual"/>
            </w:rPr>
          </w:pPr>
          <w:hyperlink w:anchor="_Toc181695801" w:history="1">
            <w:r w:rsidR="00AA5A99" w:rsidRPr="00965B9D">
              <w:rPr>
                <w:rStyle w:val="Hyperlink"/>
                <w:rFonts w:cstheme="majorBidi"/>
                <w:noProof/>
              </w:rPr>
              <w:t>4.4</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可持续性</w:t>
            </w:r>
            <w:r w:rsidR="00AA5A99">
              <w:rPr>
                <w:noProof/>
                <w:webHidden/>
              </w:rPr>
              <w:tab/>
            </w:r>
            <w:r w:rsidR="00AA5A99">
              <w:rPr>
                <w:noProof/>
                <w:webHidden/>
              </w:rPr>
              <w:fldChar w:fldCharType="begin"/>
            </w:r>
            <w:r w:rsidR="00AA5A99">
              <w:rPr>
                <w:noProof/>
                <w:webHidden/>
              </w:rPr>
              <w:instrText xml:space="preserve"> PAGEREF _Toc181695801 \h </w:instrText>
            </w:r>
            <w:r w:rsidR="00AA5A99">
              <w:rPr>
                <w:noProof/>
                <w:webHidden/>
              </w:rPr>
            </w:r>
            <w:r w:rsidR="00AA5A99">
              <w:rPr>
                <w:noProof/>
                <w:webHidden/>
              </w:rPr>
              <w:fldChar w:fldCharType="separate"/>
            </w:r>
            <w:r w:rsidR="00AA5A99">
              <w:rPr>
                <w:noProof/>
                <w:webHidden/>
              </w:rPr>
              <w:t>36</w:t>
            </w:r>
            <w:r w:rsidR="00AA5A99">
              <w:rPr>
                <w:noProof/>
                <w:webHidden/>
              </w:rPr>
              <w:fldChar w:fldCharType="end"/>
            </w:r>
          </w:hyperlink>
        </w:p>
        <w:p w14:paraId="611B390C" w14:textId="48A1CC25" w:rsidR="00AA5A99" w:rsidRDefault="00E57122" w:rsidP="00AA5A99">
          <w:pPr>
            <w:pStyle w:val="TOC2"/>
            <w:tabs>
              <w:tab w:val="left" w:pos="880"/>
              <w:tab w:val="right" w:leader="dot" w:pos="9016"/>
            </w:tabs>
            <w:ind w:left="221"/>
            <w:rPr>
              <w:rFonts w:asciiTheme="minorHAnsi" w:eastAsiaTheme="minorEastAsia" w:hAnsiTheme="minorHAnsi" w:cstheme="minorBidi"/>
              <w:noProof/>
              <w:kern w:val="2"/>
              <w:szCs w:val="24"/>
              <w14:ligatures w14:val="standardContextual"/>
            </w:rPr>
          </w:pPr>
          <w:hyperlink w:anchor="_Toc181695802" w:history="1">
            <w:r w:rsidR="00AA5A99" w:rsidRPr="00965B9D">
              <w:rPr>
                <w:rStyle w:val="Hyperlink"/>
                <w:rFonts w:cstheme="majorBidi"/>
                <w:noProof/>
              </w:rPr>
              <w:t>4.5</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影响</w:t>
            </w:r>
            <w:r w:rsidR="00AA5A99">
              <w:rPr>
                <w:noProof/>
                <w:webHidden/>
              </w:rPr>
              <w:tab/>
            </w:r>
            <w:r w:rsidR="00AA5A99">
              <w:rPr>
                <w:noProof/>
                <w:webHidden/>
              </w:rPr>
              <w:fldChar w:fldCharType="begin"/>
            </w:r>
            <w:r w:rsidR="00AA5A99">
              <w:rPr>
                <w:noProof/>
                <w:webHidden/>
              </w:rPr>
              <w:instrText xml:space="preserve"> PAGEREF _Toc181695802 \h </w:instrText>
            </w:r>
            <w:r w:rsidR="00AA5A99">
              <w:rPr>
                <w:noProof/>
                <w:webHidden/>
              </w:rPr>
            </w:r>
            <w:r w:rsidR="00AA5A99">
              <w:rPr>
                <w:noProof/>
                <w:webHidden/>
              </w:rPr>
              <w:fldChar w:fldCharType="separate"/>
            </w:r>
            <w:r w:rsidR="00AA5A99">
              <w:rPr>
                <w:noProof/>
                <w:webHidden/>
              </w:rPr>
              <w:t>39</w:t>
            </w:r>
            <w:r w:rsidR="00AA5A99">
              <w:rPr>
                <w:noProof/>
                <w:webHidden/>
              </w:rPr>
              <w:fldChar w:fldCharType="end"/>
            </w:r>
          </w:hyperlink>
        </w:p>
        <w:p w14:paraId="6C6859FF" w14:textId="329C5B9A" w:rsidR="00AA5A99" w:rsidRDefault="00E57122">
          <w:pPr>
            <w:pStyle w:val="TOC1"/>
            <w:rPr>
              <w:rFonts w:asciiTheme="minorHAnsi" w:eastAsiaTheme="minorEastAsia" w:hAnsiTheme="minorHAnsi" w:cstheme="minorBidi"/>
              <w:noProof/>
              <w:kern w:val="2"/>
              <w:szCs w:val="24"/>
              <w14:ligatures w14:val="standardContextual"/>
            </w:rPr>
          </w:pPr>
          <w:hyperlink w:anchor="_Toc181695803" w:history="1">
            <w:r w:rsidR="00AA5A99" w:rsidRPr="00965B9D">
              <w:rPr>
                <w:rStyle w:val="Hyperlink"/>
                <w:rFonts w:cstheme="majorBidi"/>
                <w:noProof/>
              </w:rPr>
              <w:t>5.</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经验教训</w:t>
            </w:r>
            <w:r w:rsidR="00AA5A99">
              <w:rPr>
                <w:noProof/>
                <w:webHidden/>
              </w:rPr>
              <w:tab/>
            </w:r>
            <w:r w:rsidR="00AA5A99">
              <w:rPr>
                <w:noProof/>
                <w:webHidden/>
              </w:rPr>
              <w:fldChar w:fldCharType="begin"/>
            </w:r>
            <w:r w:rsidR="00AA5A99">
              <w:rPr>
                <w:noProof/>
                <w:webHidden/>
              </w:rPr>
              <w:instrText xml:space="preserve"> PAGEREF _Toc181695803 \h </w:instrText>
            </w:r>
            <w:r w:rsidR="00AA5A99">
              <w:rPr>
                <w:noProof/>
                <w:webHidden/>
              </w:rPr>
            </w:r>
            <w:r w:rsidR="00AA5A99">
              <w:rPr>
                <w:noProof/>
                <w:webHidden/>
              </w:rPr>
              <w:fldChar w:fldCharType="separate"/>
            </w:r>
            <w:r w:rsidR="00AA5A99">
              <w:rPr>
                <w:noProof/>
                <w:webHidden/>
              </w:rPr>
              <w:t>42</w:t>
            </w:r>
            <w:r w:rsidR="00AA5A99">
              <w:rPr>
                <w:noProof/>
                <w:webHidden/>
              </w:rPr>
              <w:fldChar w:fldCharType="end"/>
            </w:r>
          </w:hyperlink>
        </w:p>
        <w:p w14:paraId="7A518744" w14:textId="7B677500" w:rsidR="00AA5A99" w:rsidRDefault="00E57122">
          <w:pPr>
            <w:pStyle w:val="TOC1"/>
            <w:rPr>
              <w:rFonts w:asciiTheme="minorHAnsi" w:eastAsiaTheme="minorEastAsia" w:hAnsiTheme="minorHAnsi" w:cstheme="minorBidi"/>
              <w:noProof/>
              <w:kern w:val="2"/>
              <w:szCs w:val="24"/>
              <w14:ligatures w14:val="standardContextual"/>
            </w:rPr>
          </w:pPr>
          <w:hyperlink w:anchor="_Toc181695804" w:history="1">
            <w:r w:rsidR="00AA5A99" w:rsidRPr="00965B9D">
              <w:rPr>
                <w:rStyle w:val="Hyperlink"/>
                <w:rFonts w:cstheme="majorBidi"/>
                <w:noProof/>
              </w:rPr>
              <w:t>6.</w:t>
            </w:r>
            <w:r w:rsidR="00AA5A99">
              <w:rPr>
                <w:rFonts w:asciiTheme="minorHAnsi" w:eastAsiaTheme="minorEastAsia" w:hAnsiTheme="minorHAnsi" w:cstheme="minorBidi"/>
                <w:noProof/>
                <w:kern w:val="2"/>
                <w:szCs w:val="24"/>
                <w14:ligatures w14:val="standardContextual"/>
              </w:rPr>
              <w:tab/>
            </w:r>
            <w:r w:rsidR="00AA5A99" w:rsidRPr="00965B9D">
              <w:rPr>
                <w:rStyle w:val="Hyperlink"/>
                <w:rFonts w:cstheme="majorBidi"/>
                <w:noProof/>
              </w:rPr>
              <w:t>结论和建议</w:t>
            </w:r>
            <w:r w:rsidR="00AA5A99">
              <w:rPr>
                <w:noProof/>
                <w:webHidden/>
              </w:rPr>
              <w:tab/>
            </w:r>
            <w:r w:rsidR="00AA5A99">
              <w:rPr>
                <w:noProof/>
                <w:webHidden/>
              </w:rPr>
              <w:fldChar w:fldCharType="begin"/>
            </w:r>
            <w:r w:rsidR="00AA5A99">
              <w:rPr>
                <w:noProof/>
                <w:webHidden/>
              </w:rPr>
              <w:instrText xml:space="preserve"> PAGEREF _Toc181695804 \h </w:instrText>
            </w:r>
            <w:r w:rsidR="00AA5A99">
              <w:rPr>
                <w:noProof/>
                <w:webHidden/>
              </w:rPr>
            </w:r>
            <w:r w:rsidR="00AA5A99">
              <w:rPr>
                <w:noProof/>
                <w:webHidden/>
              </w:rPr>
              <w:fldChar w:fldCharType="separate"/>
            </w:r>
            <w:r w:rsidR="00AA5A99">
              <w:rPr>
                <w:noProof/>
                <w:webHidden/>
              </w:rPr>
              <w:t>43</w:t>
            </w:r>
            <w:r w:rsidR="00AA5A99">
              <w:rPr>
                <w:noProof/>
                <w:webHidden/>
              </w:rPr>
              <w:fldChar w:fldCharType="end"/>
            </w:r>
          </w:hyperlink>
        </w:p>
        <w:p w14:paraId="309A39C7" w14:textId="24BF30D1" w:rsidR="00EA5678" w:rsidRPr="00E775A9" w:rsidRDefault="00215138" w:rsidP="00AA5A99">
          <w:pPr>
            <w:spacing w:afterLines="50" w:after="120"/>
            <w:rPr>
              <w:rFonts w:hAnsi="SimSun" w:cs="Arial"/>
            </w:rPr>
          </w:pPr>
          <w:r>
            <w:rPr>
              <w:rFonts w:ascii="Arial" w:hAnsi="Arial" w:cs="Arial" w:hint="eastAsia"/>
            </w:rPr>
            <w:fldChar w:fldCharType="end"/>
          </w:r>
        </w:p>
        <w:p w14:paraId="27A75273" w14:textId="77777777" w:rsidR="00EA5678" w:rsidRPr="00E775A9" w:rsidRDefault="00215138" w:rsidP="00AA5A99">
          <w:pPr>
            <w:pStyle w:val="TableofFigures"/>
            <w:tabs>
              <w:tab w:val="right" w:pos="9016"/>
            </w:tabs>
            <w:spacing w:afterLines="50" w:after="120"/>
            <w:rPr>
              <w:rFonts w:cs="Arial"/>
              <w:b/>
              <w:sz w:val="22"/>
              <w:szCs w:val="22"/>
            </w:rPr>
          </w:pPr>
          <w:r w:rsidRPr="00E775A9">
            <w:rPr>
              <w:rFonts w:cs="Arial" w:hint="eastAsia"/>
              <w:b/>
              <w:sz w:val="22"/>
              <w:szCs w:val="22"/>
            </w:rPr>
            <w:t>专栏、图表</w:t>
          </w:r>
        </w:p>
        <w:p w14:paraId="3F6AD800" w14:textId="3F4313C5" w:rsidR="00EA5678" w:rsidRPr="00E775A9" w:rsidRDefault="00215138" w:rsidP="00AA5A99">
          <w:pPr>
            <w:pStyle w:val="TableofFigures"/>
            <w:tabs>
              <w:tab w:val="right" w:leader="dot" w:pos="9016"/>
            </w:tabs>
            <w:spacing w:afterLines="50" w:after="120"/>
            <w:rPr>
              <w:rFonts w:cs="Arial"/>
              <w:caps w:val="0"/>
              <w:kern w:val="2"/>
              <w:sz w:val="22"/>
              <w:szCs w:val="22"/>
              <w14:ligatures w14:val="standardContextual"/>
            </w:rPr>
          </w:pPr>
          <w:r>
            <w:rPr>
              <w:rFonts w:ascii="Arial" w:hAnsi="Arial" w:cs="Arial" w:hint="eastAsia"/>
              <w:b/>
              <w:sz w:val="22"/>
              <w:szCs w:val="22"/>
            </w:rPr>
            <w:fldChar w:fldCharType="begin"/>
          </w:r>
          <w:r>
            <w:rPr>
              <w:rFonts w:ascii="Arial" w:hAnsi="Arial" w:cs="Arial" w:hint="eastAsia"/>
              <w:b/>
              <w:sz w:val="22"/>
              <w:szCs w:val="22"/>
            </w:rPr>
            <w:instrText xml:space="preserve"> TOC \h \z \c "Box" </w:instrText>
          </w:r>
          <w:r>
            <w:rPr>
              <w:rFonts w:ascii="Arial" w:hAnsi="Arial" w:cs="Arial" w:hint="eastAsia"/>
              <w:b/>
              <w:sz w:val="22"/>
              <w:szCs w:val="22"/>
            </w:rPr>
            <w:fldChar w:fldCharType="separate"/>
          </w:r>
          <w:hyperlink w:anchor="_Toc177680490" w:history="1">
            <w:r w:rsidRPr="00E775A9">
              <w:rPr>
                <w:rStyle w:val="Hyperlink"/>
                <w:rFonts w:cs="Arial" w:hint="eastAsia"/>
                <w:sz w:val="22"/>
                <w:szCs w:val="22"/>
              </w:rPr>
              <w:t>专栏1：关于可持续发展目标的工作领域</w:t>
            </w:r>
            <w:r w:rsidRPr="00E775A9">
              <w:rPr>
                <w:rStyle w:val="Hyperlink"/>
                <w:rFonts w:cs="Arial" w:hint="eastAsia"/>
                <w:sz w:val="22"/>
                <w:szCs w:val="22"/>
              </w:rPr>
              <w:tab/>
            </w:r>
            <w:r w:rsidRPr="00E775A9">
              <w:rPr>
                <w:rFonts w:cs="Arial" w:hint="eastAsia"/>
                <w:sz w:val="22"/>
                <w:szCs w:val="22"/>
              </w:rPr>
              <w:fldChar w:fldCharType="begin"/>
            </w:r>
            <w:r w:rsidRPr="00E775A9">
              <w:rPr>
                <w:rFonts w:cs="Arial" w:hint="eastAsia"/>
                <w:sz w:val="22"/>
                <w:szCs w:val="22"/>
              </w:rPr>
              <w:instrText xml:space="preserve"> PAGEREF _Toc177680490 \h </w:instrText>
            </w:r>
            <w:r w:rsidRPr="00E775A9">
              <w:rPr>
                <w:rFonts w:cs="Arial" w:hint="eastAsia"/>
                <w:sz w:val="22"/>
                <w:szCs w:val="22"/>
              </w:rPr>
            </w:r>
            <w:r w:rsidRPr="00E775A9">
              <w:rPr>
                <w:rFonts w:cs="Arial" w:hint="eastAsia"/>
                <w:sz w:val="22"/>
                <w:szCs w:val="22"/>
              </w:rPr>
              <w:fldChar w:fldCharType="separate"/>
            </w:r>
            <w:r w:rsidR="00AA5A99">
              <w:rPr>
                <w:rFonts w:cs="Arial"/>
                <w:noProof/>
                <w:sz w:val="22"/>
                <w:szCs w:val="22"/>
              </w:rPr>
              <w:t>32</w:t>
            </w:r>
            <w:r w:rsidRPr="00E775A9">
              <w:rPr>
                <w:rFonts w:cs="Arial" w:hint="eastAsia"/>
                <w:sz w:val="22"/>
                <w:szCs w:val="22"/>
              </w:rPr>
              <w:fldChar w:fldCharType="end"/>
            </w:r>
          </w:hyperlink>
        </w:p>
        <w:p w14:paraId="00ED4987" w14:textId="4D4D6428" w:rsidR="00EA5678" w:rsidRPr="00E775A9" w:rsidRDefault="00215138" w:rsidP="00AA5A99">
          <w:pPr>
            <w:pStyle w:val="TableofFigures"/>
            <w:tabs>
              <w:tab w:val="right" w:leader="dot" w:pos="9016"/>
            </w:tabs>
            <w:spacing w:afterLines="50" w:after="120"/>
            <w:rPr>
              <w:rFonts w:cs="Arial"/>
              <w:caps w:val="0"/>
              <w:noProof/>
              <w:kern w:val="2"/>
              <w:sz w:val="22"/>
              <w:szCs w:val="22"/>
              <w14:ligatures w14:val="standardContextual"/>
            </w:rPr>
          </w:pPr>
          <w:r>
            <w:rPr>
              <w:rFonts w:ascii="Arial" w:hAnsi="Arial" w:cs="Arial" w:hint="eastAsia"/>
              <w:b/>
              <w:sz w:val="22"/>
              <w:szCs w:val="22"/>
            </w:rPr>
            <w:fldChar w:fldCharType="end"/>
          </w:r>
          <w:r>
            <w:rPr>
              <w:rFonts w:ascii="Arial" w:hAnsi="Arial" w:cs="Arial" w:hint="eastAsia"/>
              <w:b/>
              <w:caps w:val="0"/>
              <w:sz w:val="22"/>
              <w:szCs w:val="22"/>
            </w:rPr>
            <w:fldChar w:fldCharType="begin"/>
          </w:r>
          <w:r>
            <w:rPr>
              <w:rFonts w:ascii="Arial" w:hAnsi="Arial" w:cs="Arial" w:hint="eastAsia"/>
              <w:b/>
              <w:sz w:val="22"/>
              <w:szCs w:val="22"/>
            </w:rPr>
            <w:instrText xml:space="preserve"> TOC \h \z \c "Table" </w:instrText>
          </w:r>
          <w:r>
            <w:rPr>
              <w:rFonts w:ascii="Arial" w:hAnsi="Arial" w:cs="Arial" w:hint="eastAsia"/>
              <w:b/>
              <w:caps w:val="0"/>
              <w:sz w:val="22"/>
              <w:szCs w:val="22"/>
            </w:rPr>
            <w:fldChar w:fldCharType="separate"/>
          </w:r>
          <w:hyperlink w:anchor="_Toc177325677" w:history="1">
            <w:r w:rsidRPr="00E775A9">
              <w:rPr>
                <w:rFonts w:cs="Arial" w:hint="eastAsia"/>
                <w:noProof/>
                <w:sz w:val="22"/>
                <w:szCs w:val="22"/>
              </w:rPr>
              <w:t>表1.2026-2023年产权组织发展支出（单位：千瑞士法郎）</w:t>
            </w:r>
            <w:r w:rsidRPr="00E775A9">
              <w:rPr>
                <w:rStyle w:val="Hyperlink"/>
                <w:rFonts w:cs="Arial" w:hint="eastAsia"/>
                <w:noProof/>
                <w:sz w:val="22"/>
                <w:szCs w:val="22"/>
              </w:rPr>
              <w:t>.</w:t>
            </w:r>
            <w:r w:rsidRPr="00E775A9">
              <w:rPr>
                <w:rFonts w:cs="Arial" w:hint="eastAsia"/>
                <w:noProof/>
                <w:sz w:val="22"/>
                <w:szCs w:val="22"/>
              </w:rPr>
              <w:tab/>
            </w:r>
            <w:r w:rsidRPr="00E775A9">
              <w:rPr>
                <w:rFonts w:cs="Arial" w:hint="eastAsia"/>
                <w:noProof/>
                <w:sz w:val="22"/>
                <w:szCs w:val="22"/>
              </w:rPr>
              <w:fldChar w:fldCharType="begin"/>
            </w:r>
            <w:r w:rsidRPr="00E775A9">
              <w:rPr>
                <w:rFonts w:cs="Arial" w:hint="eastAsia"/>
                <w:noProof/>
                <w:sz w:val="22"/>
                <w:szCs w:val="22"/>
              </w:rPr>
              <w:instrText xml:space="preserve"> PAGEREF _Toc177325677 \h </w:instrText>
            </w:r>
            <w:r w:rsidRPr="00E775A9">
              <w:rPr>
                <w:rFonts w:cs="Arial" w:hint="eastAsia"/>
                <w:noProof/>
                <w:sz w:val="22"/>
                <w:szCs w:val="22"/>
              </w:rPr>
            </w:r>
            <w:r w:rsidRPr="00E775A9">
              <w:rPr>
                <w:rFonts w:cs="Arial" w:hint="eastAsia"/>
                <w:noProof/>
                <w:sz w:val="22"/>
                <w:szCs w:val="22"/>
              </w:rPr>
              <w:fldChar w:fldCharType="separate"/>
            </w:r>
            <w:r w:rsidR="00F371D3">
              <w:rPr>
                <w:rFonts w:cs="Arial"/>
                <w:noProof/>
                <w:sz w:val="22"/>
                <w:szCs w:val="22"/>
              </w:rPr>
              <w:t>13</w:t>
            </w:r>
            <w:r w:rsidRPr="00E775A9">
              <w:rPr>
                <w:rFonts w:cs="Arial" w:hint="eastAsia"/>
                <w:noProof/>
                <w:sz w:val="22"/>
                <w:szCs w:val="22"/>
              </w:rPr>
              <w:fldChar w:fldCharType="end"/>
            </w:r>
          </w:hyperlink>
        </w:p>
        <w:p w14:paraId="2A2A6522" w14:textId="1C4DE8B1" w:rsidR="00EA5678" w:rsidRPr="00E775A9" w:rsidRDefault="00E57122" w:rsidP="00AA5A99">
          <w:pPr>
            <w:pStyle w:val="TableofFigures"/>
            <w:tabs>
              <w:tab w:val="right" w:leader="dot" w:pos="9016"/>
            </w:tabs>
            <w:spacing w:afterLines="50" w:after="120"/>
            <w:rPr>
              <w:rFonts w:cs="Arial"/>
              <w:caps w:val="0"/>
              <w:noProof/>
              <w:kern w:val="2"/>
              <w:sz w:val="22"/>
              <w:szCs w:val="22"/>
              <w14:ligatures w14:val="standardContextual"/>
            </w:rPr>
          </w:pPr>
          <w:hyperlink w:anchor="_Toc177325678" w:history="1">
            <w:r w:rsidR="00215138" w:rsidRPr="00E775A9">
              <w:rPr>
                <w:rFonts w:cs="Arial" w:hint="eastAsia"/>
                <w:noProof/>
                <w:sz w:val="22"/>
                <w:szCs w:val="22"/>
              </w:rPr>
              <w:t>表2.2017-2022年信托基金支出</w:t>
            </w:r>
          </w:hyperlink>
          <w:r w:rsidR="00215138" w:rsidRPr="00E775A9">
            <w:rPr>
              <w:rFonts w:cs="Arial" w:hint="eastAsia"/>
              <w:noProof/>
              <w:sz w:val="22"/>
              <w:szCs w:val="22"/>
            </w:rPr>
            <w:tab/>
          </w:r>
          <w:r w:rsidR="00215138" w:rsidRPr="00E775A9">
            <w:rPr>
              <w:rFonts w:cs="Arial" w:hint="eastAsia"/>
              <w:noProof/>
            </w:rPr>
            <w:t>1</w:t>
          </w:r>
          <w:r w:rsidR="00F371D3">
            <w:rPr>
              <w:rFonts w:cs="Arial" w:hint="eastAsia"/>
              <w:noProof/>
            </w:rPr>
            <w:t>3</w:t>
          </w:r>
        </w:p>
        <w:p w14:paraId="37769FD2" w14:textId="1FF1C55D" w:rsidR="00EA5678" w:rsidRPr="00E775A9" w:rsidRDefault="00E57122" w:rsidP="00AA5A99">
          <w:pPr>
            <w:pStyle w:val="TableofFigures"/>
            <w:tabs>
              <w:tab w:val="right" w:leader="dot" w:pos="9016"/>
            </w:tabs>
            <w:spacing w:afterLines="50" w:after="120"/>
            <w:rPr>
              <w:rFonts w:cs="Arial"/>
              <w:caps w:val="0"/>
              <w:noProof/>
              <w:kern w:val="2"/>
              <w:sz w:val="22"/>
              <w:szCs w:val="22"/>
              <w14:ligatures w14:val="standardContextual"/>
            </w:rPr>
          </w:pPr>
          <w:hyperlink w:anchor="_Toc177325679" w:history="1">
            <w:r w:rsidR="00215138" w:rsidRPr="00E775A9">
              <w:rPr>
                <w:rFonts w:cs="Arial" w:hint="eastAsia"/>
                <w:noProof/>
                <w:sz w:val="22"/>
                <w:szCs w:val="22"/>
              </w:rPr>
              <w:t>表3.联合国评价小组的评价伦理准则</w:t>
            </w:r>
          </w:hyperlink>
          <w:r w:rsidR="00215138" w:rsidRPr="00E775A9">
            <w:rPr>
              <w:rFonts w:cs="Arial" w:hint="eastAsia"/>
              <w:noProof/>
              <w:sz w:val="22"/>
              <w:szCs w:val="22"/>
            </w:rPr>
            <w:tab/>
            <w:t>1</w:t>
          </w:r>
          <w:r w:rsidR="00F371D3">
            <w:rPr>
              <w:rFonts w:cs="Arial" w:hint="eastAsia"/>
              <w:noProof/>
              <w:sz w:val="22"/>
              <w:szCs w:val="22"/>
            </w:rPr>
            <w:t>5</w:t>
          </w:r>
        </w:p>
        <w:p w14:paraId="5CDE11CB" w14:textId="111CB89F" w:rsidR="00EA5678" w:rsidRPr="00E775A9" w:rsidRDefault="00E57122" w:rsidP="00AA5A99">
          <w:pPr>
            <w:pStyle w:val="TableofFigures"/>
            <w:tabs>
              <w:tab w:val="right" w:leader="dot" w:pos="9016"/>
            </w:tabs>
            <w:spacing w:afterLines="50" w:after="120"/>
            <w:rPr>
              <w:rFonts w:cs="Arial"/>
              <w:caps w:val="0"/>
              <w:noProof/>
              <w:kern w:val="2"/>
              <w:sz w:val="22"/>
              <w:szCs w:val="22"/>
              <w14:ligatures w14:val="standardContextual"/>
            </w:rPr>
          </w:pPr>
          <w:hyperlink w:anchor="_Toc177325680" w:history="1">
            <w:r w:rsidR="00215138" w:rsidRPr="00E775A9">
              <w:rPr>
                <w:rFonts w:cs="Arial" w:hint="eastAsia"/>
                <w:noProof/>
                <w:sz w:val="22"/>
                <w:szCs w:val="22"/>
              </w:rPr>
              <w:t>表4.2017至2022年国家知识产权战略变化</w:t>
            </w:r>
          </w:hyperlink>
          <w:r w:rsidR="00215138" w:rsidRPr="00E775A9">
            <w:rPr>
              <w:rFonts w:cs="Arial" w:hint="eastAsia"/>
              <w:noProof/>
              <w:sz w:val="22"/>
              <w:szCs w:val="22"/>
            </w:rPr>
            <w:tab/>
            <w:t>2</w:t>
          </w:r>
          <w:r w:rsidR="00F371D3">
            <w:rPr>
              <w:rFonts w:cs="Arial" w:hint="eastAsia"/>
              <w:noProof/>
              <w:sz w:val="22"/>
              <w:szCs w:val="22"/>
            </w:rPr>
            <w:t>7</w:t>
          </w:r>
        </w:p>
        <w:p w14:paraId="4E5D7A74" w14:textId="4E39BF4C" w:rsidR="00EA5678" w:rsidRPr="00E775A9" w:rsidRDefault="00E57122" w:rsidP="00AA5A99">
          <w:pPr>
            <w:pStyle w:val="TableofFigures"/>
            <w:tabs>
              <w:tab w:val="right" w:leader="dot" w:pos="9016"/>
            </w:tabs>
            <w:spacing w:afterLines="50" w:after="120"/>
            <w:ind w:left="442" w:hanging="442"/>
            <w:rPr>
              <w:rFonts w:cs="Arial"/>
              <w:caps w:val="0"/>
              <w:noProof/>
              <w:kern w:val="2"/>
              <w:sz w:val="22"/>
              <w:szCs w:val="22"/>
              <w14:ligatures w14:val="standardContextual"/>
            </w:rPr>
          </w:pPr>
          <w:hyperlink w:anchor="_Toc177325681" w:history="1">
            <w:r w:rsidR="00215138" w:rsidRPr="00E775A9">
              <w:rPr>
                <w:rFonts w:cs="Arial" w:hint="eastAsia"/>
                <w:noProof/>
                <w:sz w:val="22"/>
                <w:szCs w:val="22"/>
              </w:rPr>
              <w:t>表5.2022年WIPO Lex绩效指标</w:t>
            </w:r>
            <w:r w:rsidR="00215138" w:rsidRPr="00E775A9">
              <w:rPr>
                <w:rStyle w:val="Hyperlink"/>
                <w:rFonts w:cs="Arial" w:hint="eastAsia"/>
                <w:noProof/>
              </w:rPr>
              <w:t xml:space="preserve"> </w:t>
            </w:r>
          </w:hyperlink>
          <w:r w:rsidR="00215138" w:rsidRPr="00E775A9">
            <w:rPr>
              <w:rFonts w:cs="Arial" w:hint="eastAsia"/>
              <w:noProof/>
              <w:sz w:val="22"/>
              <w:szCs w:val="22"/>
            </w:rPr>
            <w:tab/>
            <w:t>2</w:t>
          </w:r>
          <w:r w:rsidR="00F371D3">
            <w:rPr>
              <w:rFonts w:cs="Arial" w:hint="eastAsia"/>
              <w:noProof/>
              <w:sz w:val="22"/>
              <w:szCs w:val="22"/>
            </w:rPr>
            <w:t>8</w:t>
          </w:r>
        </w:p>
        <w:p w14:paraId="732F8895" w14:textId="0A6B0A42" w:rsidR="00EA5678" w:rsidRPr="00E775A9" w:rsidRDefault="00E57122" w:rsidP="00AA5A99">
          <w:pPr>
            <w:pStyle w:val="TableofFigures"/>
            <w:tabs>
              <w:tab w:val="right" w:leader="dot" w:pos="9016"/>
            </w:tabs>
            <w:spacing w:afterLines="50" w:after="120"/>
            <w:ind w:left="442" w:hanging="442"/>
            <w:rPr>
              <w:rFonts w:cs="Arial"/>
              <w:caps w:val="0"/>
              <w:noProof/>
              <w:kern w:val="2"/>
              <w:sz w:val="22"/>
              <w:szCs w:val="22"/>
              <w14:ligatures w14:val="standardContextual"/>
            </w:rPr>
          </w:pPr>
          <w:hyperlink w:anchor="_Toc177325682" w:history="1">
            <w:r w:rsidR="00215138" w:rsidRPr="00E775A9">
              <w:rPr>
                <w:rFonts w:cs="Arial" w:hint="eastAsia"/>
                <w:noProof/>
                <w:sz w:val="22"/>
                <w:szCs w:val="22"/>
              </w:rPr>
              <w:t>表6.为预算供资的收入来源（单位：百万瑞郎）</w:t>
            </w:r>
          </w:hyperlink>
          <w:r w:rsidR="00215138" w:rsidRPr="00E775A9">
            <w:rPr>
              <w:rFonts w:cs="Arial" w:hint="eastAsia"/>
              <w:noProof/>
              <w:sz w:val="22"/>
              <w:szCs w:val="22"/>
            </w:rPr>
            <w:tab/>
          </w:r>
          <w:r w:rsidR="00F371D3">
            <w:rPr>
              <w:rFonts w:cs="Arial" w:hint="eastAsia"/>
              <w:noProof/>
              <w:sz w:val="22"/>
              <w:szCs w:val="22"/>
            </w:rPr>
            <w:t>36</w:t>
          </w:r>
        </w:p>
        <w:p w14:paraId="53CFC5AA" w14:textId="67098CD5" w:rsidR="00EA5678" w:rsidRPr="00E775A9" w:rsidRDefault="00215138" w:rsidP="00AA5A99">
          <w:pPr>
            <w:pStyle w:val="TableofFigures"/>
            <w:tabs>
              <w:tab w:val="right" w:leader="dot" w:pos="9016"/>
            </w:tabs>
            <w:spacing w:afterLines="50" w:after="120"/>
            <w:ind w:left="442" w:hanging="442"/>
            <w:rPr>
              <w:rFonts w:cs="Arial"/>
              <w:sz w:val="16"/>
              <w:szCs w:val="16"/>
            </w:rPr>
          </w:pPr>
          <w:r>
            <w:rPr>
              <w:rFonts w:ascii="Arial" w:hAnsi="Arial" w:cs="Arial" w:hint="eastAsia"/>
              <w:b/>
              <w:sz w:val="22"/>
              <w:szCs w:val="22"/>
            </w:rPr>
            <w:fldChar w:fldCharType="end"/>
          </w:r>
        </w:p>
      </w:sdtContent>
    </w:sdt>
    <w:p w14:paraId="2D486653" w14:textId="4872BBB9" w:rsidR="00AA5A99" w:rsidRPr="00AA5A99" w:rsidRDefault="00AA5A99" w:rsidP="00AA5A99">
      <w:pPr>
        <w:pStyle w:val="TOC2"/>
        <w:tabs>
          <w:tab w:val="left" w:pos="880"/>
          <w:tab w:val="right" w:leader="dot" w:pos="9016"/>
        </w:tabs>
        <w:ind w:left="0"/>
        <w:rPr>
          <w:rFonts w:hAnsi="SimSun" w:cs="Arial"/>
          <w:szCs w:val="24"/>
        </w:rPr>
      </w:pPr>
      <w:r w:rsidRPr="00AA5A99">
        <w:rPr>
          <w:rFonts w:hAnsi="SimSun" w:cs="Arial" w:hint="eastAsia"/>
          <w:szCs w:val="24"/>
        </w:rPr>
        <w:t>图1.数据收集方法</w:t>
      </w:r>
      <w:r>
        <w:rPr>
          <w:rFonts w:hAnsi="SimSun" w:cs="Arial"/>
          <w:szCs w:val="24"/>
        </w:rPr>
        <w:tab/>
      </w:r>
      <w:r w:rsidRPr="00AA5A99">
        <w:rPr>
          <w:rFonts w:hAnsi="SimSun" w:cs="Arial" w:hint="eastAsia"/>
          <w:szCs w:val="24"/>
        </w:rPr>
        <w:t>1</w:t>
      </w:r>
      <w:r w:rsidR="00F371D3">
        <w:rPr>
          <w:rFonts w:hAnsi="SimSun" w:cs="Arial" w:hint="eastAsia"/>
          <w:szCs w:val="24"/>
        </w:rPr>
        <w:t>4</w:t>
      </w:r>
    </w:p>
    <w:p w14:paraId="4D8A49AE" w14:textId="4D662955" w:rsidR="00AA5A99" w:rsidRPr="00AA5A99" w:rsidRDefault="00AA5A99" w:rsidP="00AA5A99">
      <w:pPr>
        <w:pStyle w:val="TOC2"/>
        <w:tabs>
          <w:tab w:val="left" w:pos="880"/>
          <w:tab w:val="right" w:leader="dot" w:pos="9016"/>
        </w:tabs>
        <w:ind w:left="0"/>
        <w:rPr>
          <w:rFonts w:hAnsi="SimSun" w:cs="Arial"/>
          <w:szCs w:val="24"/>
        </w:rPr>
      </w:pPr>
      <w:r w:rsidRPr="00AA5A99">
        <w:rPr>
          <w:rFonts w:hAnsi="SimSun" w:cs="Arial" w:hint="eastAsia"/>
          <w:szCs w:val="24"/>
        </w:rPr>
        <w:t>图2.2017年-2022年能力建设课程参与者增长</w:t>
      </w:r>
      <w:r>
        <w:rPr>
          <w:rFonts w:hAnsi="SimSun" w:cs="Arial"/>
          <w:szCs w:val="24"/>
        </w:rPr>
        <w:tab/>
      </w:r>
      <w:r w:rsidRPr="00AA5A99">
        <w:rPr>
          <w:rFonts w:hAnsi="SimSun" w:cs="Arial" w:hint="eastAsia"/>
          <w:szCs w:val="24"/>
        </w:rPr>
        <w:t>23</w:t>
      </w:r>
    </w:p>
    <w:p w14:paraId="4D3975A5" w14:textId="493F7961" w:rsidR="00AA5A99" w:rsidRPr="00AA5A99" w:rsidRDefault="00AA5A99" w:rsidP="00AA5A99">
      <w:pPr>
        <w:pStyle w:val="TOC2"/>
        <w:tabs>
          <w:tab w:val="left" w:pos="880"/>
          <w:tab w:val="right" w:leader="dot" w:pos="9016"/>
        </w:tabs>
        <w:ind w:left="0"/>
        <w:rPr>
          <w:rFonts w:hAnsi="SimSun" w:cs="Arial"/>
          <w:szCs w:val="24"/>
        </w:rPr>
      </w:pPr>
      <w:r w:rsidRPr="00AA5A99">
        <w:rPr>
          <w:rFonts w:hAnsi="SimSun" w:cs="Arial" w:hint="eastAsia"/>
          <w:szCs w:val="24"/>
        </w:rPr>
        <w:t>图3.WIPO IPAS应用套件-按区域分列的使用情况</w:t>
      </w:r>
      <w:r>
        <w:rPr>
          <w:rFonts w:hAnsi="SimSun" w:cs="Arial"/>
          <w:szCs w:val="24"/>
        </w:rPr>
        <w:tab/>
      </w:r>
      <w:r w:rsidRPr="00AA5A99">
        <w:rPr>
          <w:rFonts w:hAnsi="SimSun" w:cs="Arial" w:hint="eastAsia"/>
          <w:szCs w:val="24"/>
        </w:rPr>
        <w:t>2</w:t>
      </w:r>
      <w:r w:rsidR="00F371D3">
        <w:rPr>
          <w:rFonts w:hAnsi="SimSun" w:cs="Arial" w:hint="eastAsia"/>
          <w:szCs w:val="24"/>
        </w:rPr>
        <w:t>5</w:t>
      </w:r>
    </w:p>
    <w:p w14:paraId="30632830" w14:textId="4C83D17C" w:rsidR="00AA5A99" w:rsidRPr="00AA5A99" w:rsidRDefault="00AA5A99" w:rsidP="00AA5A99">
      <w:pPr>
        <w:pStyle w:val="TOC2"/>
        <w:tabs>
          <w:tab w:val="left" w:pos="880"/>
          <w:tab w:val="right" w:leader="dot" w:pos="9016"/>
        </w:tabs>
        <w:ind w:left="0"/>
        <w:rPr>
          <w:rFonts w:hAnsi="SimSun" w:cs="Arial"/>
          <w:szCs w:val="24"/>
        </w:rPr>
      </w:pPr>
      <w:r w:rsidRPr="00AA5A99">
        <w:rPr>
          <w:rFonts w:hAnsi="SimSun" w:cs="Arial" w:hint="eastAsia"/>
          <w:szCs w:val="24"/>
        </w:rPr>
        <w:t>图4.2022年按地区分列的立法建议地理分布</w:t>
      </w:r>
      <w:r>
        <w:rPr>
          <w:rFonts w:hAnsi="SimSun" w:cs="Arial"/>
          <w:szCs w:val="24"/>
        </w:rPr>
        <w:tab/>
      </w:r>
      <w:r w:rsidRPr="00AA5A99">
        <w:rPr>
          <w:rFonts w:hAnsi="SimSun" w:cs="Arial" w:hint="eastAsia"/>
          <w:szCs w:val="24"/>
        </w:rPr>
        <w:t>28</w:t>
      </w:r>
    </w:p>
    <w:p w14:paraId="64DEF797" w14:textId="77777777" w:rsidR="00EA5678" w:rsidRPr="00E775A9" w:rsidRDefault="00215138">
      <w:pPr>
        <w:rPr>
          <w:rFonts w:hAnsi="SimSun" w:cs="Arial"/>
          <w:b/>
          <w:sz w:val="24"/>
          <w:szCs w:val="24"/>
        </w:rPr>
      </w:pPr>
      <w:r w:rsidRPr="00E775A9">
        <w:rPr>
          <w:rFonts w:hAnsi="SimSun" w:cs="Arial" w:hint="eastAsia"/>
          <w:b/>
          <w:sz w:val="24"/>
          <w:szCs w:val="24"/>
        </w:rPr>
        <w:br w:type="page"/>
      </w:r>
    </w:p>
    <w:p w14:paraId="58CD4282" w14:textId="77777777" w:rsidR="00EA5678" w:rsidRPr="00E775A9" w:rsidRDefault="00215138">
      <w:pPr>
        <w:pStyle w:val="Heading1"/>
        <w:spacing w:before="240" w:after="120" w:line="240" w:lineRule="auto"/>
        <w:ind w:left="142"/>
        <w:rPr>
          <w:rFonts w:ascii="SimSun" w:eastAsia="SimSun" w:cs="Arial"/>
          <w:b/>
          <w:sz w:val="24"/>
          <w:szCs w:val="24"/>
        </w:rPr>
      </w:pPr>
      <w:bookmarkStart w:id="4" w:name="_Toc181695779"/>
      <w:r w:rsidRPr="00E775A9">
        <w:rPr>
          <w:rFonts w:ascii="SimSun" w:eastAsia="SimSun" w:cs="Arial" w:hint="eastAsia"/>
          <w:b/>
          <w:sz w:val="24"/>
          <w:szCs w:val="24"/>
        </w:rPr>
        <w:t>致谢</w:t>
      </w:r>
      <w:bookmarkEnd w:id="4"/>
    </w:p>
    <w:p w14:paraId="557D4938" w14:textId="77777777" w:rsidR="00EA5678" w:rsidRPr="00E775A9" w:rsidRDefault="00215138" w:rsidP="00600A1B">
      <w:pPr>
        <w:overflowPunct w:val="0"/>
        <w:spacing w:afterLines="50" w:after="120" w:line="340" w:lineRule="atLeast"/>
        <w:ind w:firstLineChars="200" w:firstLine="440"/>
        <w:jc w:val="both"/>
        <w:rPr>
          <w:rFonts w:hAnsi="SimSun" w:cs="Arial"/>
        </w:rPr>
      </w:pPr>
      <w:r w:rsidRPr="00E775A9">
        <w:rPr>
          <w:rFonts w:hAnsi="SimSun" w:cs="Arial" w:hint="eastAsia"/>
        </w:rPr>
        <w:t>审查组感激产权组织工作人员提供的所有支持。审查组还感谢所有成员国、来自联合国机构、区域集团和民间社会组织的产权组织伙伴以及顾问，他们友好地参加了访谈，填写了调查问卷，并为本次审查过程做出了宝贵贡献。</w:t>
      </w:r>
    </w:p>
    <w:p w14:paraId="426EDAEF" w14:textId="7AC11859" w:rsidR="00EA5678" w:rsidRPr="00E775A9" w:rsidRDefault="009B0B86" w:rsidP="00600A1B">
      <w:pPr>
        <w:overflowPunct w:val="0"/>
        <w:spacing w:afterLines="50" w:after="120" w:line="340" w:lineRule="atLeast"/>
        <w:ind w:firstLineChars="200" w:firstLine="440"/>
        <w:jc w:val="both"/>
        <w:rPr>
          <w:rFonts w:hAnsi="SimSun" w:cs="Arial"/>
        </w:rPr>
      </w:pPr>
      <w:r w:rsidRPr="009B0B86">
        <w:rPr>
          <w:rFonts w:hAnsi="SimSun" w:cs="Arial" w:hint="eastAsia"/>
        </w:rPr>
        <w:t>梅利莎</w:t>
      </w:r>
      <w:r w:rsidR="00215138" w:rsidRPr="00E775A9">
        <w:rPr>
          <w:rFonts w:hAnsi="SimSun" w:cs="Arial" w:hint="eastAsia"/>
        </w:rPr>
        <w:t>·安德拉德·科斯塔、马克西米利亚诺·圣克鲁斯和汤姆·彼得·</w:t>
      </w:r>
      <w:r w:rsidRPr="009B0B86">
        <w:rPr>
          <w:rFonts w:hAnsi="SimSun" w:cs="Arial" w:hint="eastAsia"/>
        </w:rPr>
        <w:t>米古恩</w:t>
      </w:r>
      <w:r w:rsidR="00215138" w:rsidRPr="00E775A9">
        <w:rPr>
          <w:rFonts w:hAnsi="SimSun" w:cs="Arial" w:hint="eastAsia"/>
        </w:rPr>
        <w:t>·奥加达</w:t>
      </w:r>
    </w:p>
    <w:p w14:paraId="194662B2" w14:textId="77777777" w:rsidR="009B0B86" w:rsidRDefault="009B0B86" w:rsidP="009B0B86">
      <w:pPr>
        <w:overflowPunct w:val="0"/>
        <w:spacing w:afterLines="50" w:after="120" w:line="340" w:lineRule="atLeast"/>
        <w:ind w:leftChars="2706" w:left="5953" w:firstLineChars="200" w:firstLine="440"/>
        <w:jc w:val="both"/>
        <w:rPr>
          <w:rFonts w:hAnsi="SimSun" w:cs="Arial"/>
        </w:rPr>
      </w:pPr>
    </w:p>
    <w:p w14:paraId="44DFC45E" w14:textId="7BB992EC" w:rsidR="00E93625" w:rsidRPr="00E775A9" w:rsidRDefault="00215138" w:rsidP="009B0B86">
      <w:pPr>
        <w:overflowPunct w:val="0"/>
        <w:spacing w:afterLines="50" w:after="120" w:line="340" w:lineRule="atLeast"/>
        <w:ind w:leftChars="2706" w:left="5953" w:firstLineChars="200" w:firstLine="440"/>
        <w:jc w:val="both"/>
        <w:rPr>
          <w:rFonts w:hAnsi="SimSun" w:cs="Arial"/>
        </w:rPr>
      </w:pPr>
      <w:r w:rsidRPr="00E775A9">
        <w:rPr>
          <w:rFonts w:hAnsi="SimSun" w:cs="Arial" w:hint="eastAsia"/>
        </w:rPr>
        <w:t>审查组</w:t>
      </w:r>
    </w:p>
    <w:p w14:paraId="175A520A" w14:textId="77777777" w:rsidR="00E93625" w:rsidRPr="00E775A9" w:rsidRDefault="00E93625">
      <w:pPr>
        <w:spacing w:line="278" w:lineRule="auto"/>
        <w:rPr>
          <w:rFonts w:hAnsi="SimSun" w:cs="Arial"/>
        </w:rPr>
      </w:pPr>
      <w:r w:rsidRPr="00E775A9">
        <w:rPr>
          <w:rFonts w:hAnsi="SimSun" w:cs="Arial" w:hint="eastAsia"/>
        </w:rPr>
        <w:br w:type="page"/>
      </w:r>
    </w:p>
    <w:p w14:paraId="5D279F1D" w14:textId="77777777" w:rsidR="00EA5678" w:rsidRPr="00E775A9" w:rsidRDefault="00215138" w:rsidP="00C259B0">
      <w:pPr>
        <w:pStyle w:val="Heading1"/>
        <w:spacing w:before="240" w:after="120"/>
        <w:ind w:left="142"/>
        <w:rPr>
          <w:rFonts w:ascii="SimSun" w:eastAsia="SimSun" w:cs="Arial"/>
          <w:b/>
          <w:sz w:val="24"/>
          <w:szCs w:val="24"/>
        </w:rPr>
      </w:pPr>
      <w:bookmarkStart w:id="5" w:name="_Toc181695780"/>
      <w:r w:rsidRPr="00E775A9">
        <w:rPr>
          <w:rFonts w:ascii="SimSun" w:eastAsia="SimSun" w:cs="Arial" w:hint="eastAsia"/>
          <w:b/>
          <w:sz w:val="24"/>
          <w:szCs w:val="24"/>
        </w:rPr>
        <w:t>内容提要</w:t>
      </w:r>
      <w:bookmarkEnd w:id="5"/>
    </w:p>
    <w:p w14:paraId="541013CB" w14:textId="77777777"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本报告介绍了对2017-2022年期间世界知识产权组织（产权组织）在合作促进发展领域开展的技术援助进行的审查的结果。技术援助是指产权组织按以下支柱分类的活动：（a）国家知识产权政策和战略；（b）技术和管理基础设施（知识产权局、数据库等解决方案）；（c）能力建设；（d）立法援助；（e）发展议程相关项目；以及（f）公私伙伴关系（PPP）（多利益攸关方平台）。审查于2024年1月至9月进行。</w:t>
      </w:r>
    </w:p>
    <w:p w14:paraId="07D4410B" w14:textId="77777777"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本次审查的目的是就改进产权组织技术援助活动交付的方法提出建议，包括如何加强其注重成果的管理框架，以促进监测和评价这些活动对发展的影响，同时考虑到可持续发展目标（SDG）、产权组织2022-2026年中期战略计划和45项发展议程建议。</w:t>
      </w:r>
    </w:p>
    <w:p w14:paraId="74D004DB" w14:textId="77777777"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本次审查从宏观层面评估了产权组织在合作促进发展领域开展的技术援助活动，评估依据是这些活动的相关性、连贯性、有效性、效率、可持续性和影响。该方法回应了本次审查职责范围（文件CDIP/30/3）中概述的针对每个审查问题提出的指标。本次审查采用了混合方法，三角验证是对比不同来源并达成共识的关键，而共识是以证据为基础的。本次审查是非实验性的，发展议程项目采用了案例研究设计和元评价。此次活动是参与性的，在整个审查过程中咨询了利益攸关方。本次审查：a）基于理论；且b）重视利用率。</w:t>
      </w:r>
    </w:p>
    <w:p w14:paraId="6B5738CC" w14:textId="77777777" w:rsidR="00EA5678" w:rsidRPr="00E775A9" w:rsidRDefault="00215138" w:rsidP="00FF7B3D">
      <w:pPr>
        <w:keepNext/>
        <w:overflowPunct w:val="0"/>
        <w:spacing w:beforeLines="100" w:before="240" w:afterLines="50" w:after="120" w:line="340" w:lineRule="atLeast"/>
        <w:rPr>
          <w:rFonts w:hAnsi="SimSun" w:cs="Arial"/>
          <w:b/>
          <w:color w:val="000000"/>
        </w:rPr>
      </w:pPr>
      <w:r w:rsidRPr="00E775A9">
        <w:rPr>
          <w:rFonts w:hAnsi="SimSun" w:cs="Arial" w:hint="eastAsia"/>
          <w:b/>
          <w:color w:val="000000"/>
        </w:rPr>
        <w:t>结论和建议</w:t>
      </w:r>
    </w:p>
    <w:p w14:paraId="0C2AD20A" w14:textId="77777777" w:rsidR="00EA5678" w:rsidRPr="00E775A9" w:rsidRDefault="00215138" w:rsidP="00FF7B3D">
      <w:pPr>
        <w:keepNext/>
        <w:overflowPunct w:val="0"/>
        <w:spacing w:beforeLines="100" w:before="240" w:afterLines="50" w:after="120" w:line="340" w:lineRule="atLeast"/>
        <w:rPr>
          <w:rFonts w:hAnsi="SimSun" w:cs="Arial"/>
          <w:b/>
        </w:rPr>
      </w:pPr>
      <w:r w:rsidRPr="00E775A9">
        <w:rPr>
          <w:rFonts w:hAnsi="SimSun" w:cs="Arial" w:hint="eastAsia"/>
          <w:b/>
        </w:rPr>
        <w:t>相关性</w:t>
      </w:r>
    </w:p>
    <w:p w14:paraId="61C87AB6" w14:textId="77777777" w:rsidR="00EA5678" w:rsidRPr="00E775A9" w:rsidRDefault="00215138" w:rsidP="00FF7B3D">
      <w:pPr>
        <w:keepNext/>
        <w:overflowPunct w:val="0"/>
        <w:spacing w:beforeLines="100" w:before="240" w:afterLines="50" w:after="120" w:line="340" w:lineRule="atLeast"/>
        <w:rPr>
          <w:rFonts w:hAnsi="SimSun" w:cs="Arial"/>
          <w:b/>
          <w:color w:val="525252" w:themeColor="accent3" w:themeShade="80"/>
        </w:rPr>
      </w:pPr>
      <w:r w:rsidRPr="00E775A9">
        <w:rPr>
          <w:rFonts w:hAnsi="SimSun" w:cs="Arial" w:hint="eastAsia"/>
          <w:b/>
          <w:color w:val="525252" w:themeColor="accent3" w:themeShade="80"/>
        </w:rPr>
        <w:t>结论</w:t>
      </w:r>
    </w:p>
    <w:p w14:paraId="631870FB"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产权组织在合作促进发展领域开展的技术援助与成员国的国家发展计划非常相关且相辅相成，它满足了利益攸关方的需要和要求，并越来越能够将性别平等纳入其实施工作中。不过，确定了以下需要进一步改进的领域：</w:t>
      </w:r>
    </w:p>
    <w:p w14:paraId="3BB3375C" w14:textId="77777777" w:rsidR="00EA5678" w:rsidRPr="00E775A9" w:rsidRDefault="00215138" w:rsidP="009B432F">
      <w:pPr>
        <w:pStyle w:val="ListParagraph"/>
        <w:numPr>
          <w:ilvl w:val="4"/>
          <w:numId w:val="4"/>
        </w:numPr>
        <w:spacing w:after="120"/>
        <w:ind w:left="1134" w:hanging="567"/>
        <w:rPr>
          <w:rFonts w:hAnsi="SimSun" w:cs="Arial"/>
        </w:rPr>
      </w:pPr>
      <w:r w:rsidRPr="00E775A9">
        <w:rPr>
          <w:rFonts w:hAnsi="SimSun" w:cs="Arial" w:hint="eastAsia"/>
        </w:rPr>
        <w:t>一些成员国要求进一步详细说明关于技术援助和资源分配的报告，以便向成员国提供更详细、便于理解的信息。</w:t>
      </w:r>
    </w:p>
    <w:p w14:paraId="655F86A8" w14:textId="77777777" w:rsidR="00EA5678" w:rsidRPr="00E775A9" w:rsidRDefault="00215138" w:rsidP="009B432F">
      <w:pPr>
        <w:pStyle w:val="ListParagraph"/>
        <w:numPr>
          <w:ilvl w:val="4"/>
          <w:numId w:val="4"/>
        </w:numPr>
        <w:spacing w:after="120"/>
        <w:ind w:left="1134" w:hanging="567"/>
        <w:rPr>
          <w:rFonts w:hAnsi="SimSun" w:cs="Arial"/>
        </w:rPr>
      </w:pPr>
      <w:r w:rsidRPr="00E775A9">
        <w:rPr>
          <w:rFonts w:hAnsi="SimSun" w:cs="Arial" w:hint="eastAsia"/>
        </w:rPr>
        <w:t>应成员国的要求，产权组织正在开展相关工作，就可能利用知识产权促进发展的问题提供分析和出版物。然而，成员国和其他相关利益攸关方在多大程度上使用这些出版物来帮助制定政策尚不清楚。有必要加强这些出版物的传播。</w:t>
      </w:r>
      <w:r w:rsidRPr="0052378E">
        <w:rPr>
          <w:rFonts w:ascii="KaiTi" w:eastAsia="KaiTi" w:hAnsi="KaiTi" w:cs="Arial" w:hint="eastAsia"/>
        </w:rPr>
        <w:t xml:space="preserve"> </w:t>
      </w:r>
    </w:p>
    <w:p w14:paraId="1CBDCAC0" w14:textId="77777777" w:rsidR="00EA5678" w:rsidRPr="00E775A9" w:rsidRDefault="00215138" w:rsidP="009B432F">
      <w:pPr>
        <w:pStyle w:val="ListParagraph"/>
        <w:numPr>
          <w:ilvl w:val="4"/>
          <w:numId w:val="4"/>
        </w:numPr>
        <w:spacing w:after="120"/>
        <w:ind w:left="1134" w:hanging="567"/>
        <w:rPr>
          <w:rFonts w:hAnsi="SimSun" w:cs="Arial"/>
        </w:rPr>
      </w:pPr>
      <w:r w:rsidRPr="00E775A9">
        <w:rPr>
          <w:rFonts w:hAnsi="SimSun" w:cs="Arial" w:hint="eastAsia"/>
        </w:rPr>
        <w:t>目前，产权组织和成员国在实地促进利用知识产权实现可持续发展目标的项目有限。</w:t>
      </w:r>
    </w:p>
    <w:p w14:paraId="3817FAEC" w14:textId="03B4CB4F" w:rsidR="00EA5678" w:rsidRPr="00E775A9" w:rsidRDefault="00215138" w:rsidP="009B432F">
      <w:pPr>
        <w:pStyle w:val="ListParagraph"/>
        <w:numPr>
          <w:ilvl w:val="4"/>
          <w:numId w:val="4"/>
        </w:numPr>
        <w:spacing w:after="120"/>
        <w:ind w:left="1134" w:hanging="567"/>
        <w:rPr>
          <w:rFonts w:hAnsi="SimSun" w:cs="Arial"/>
        </w:rPr>
      </w:pPr>
      <w:r w:rsidRPr="00E775A9">
        <w:rPr>
          <w:rFonts w:hAnsi="SimSun" w:cs="Arial" w:hint="eastAsia"/>
        </w:rPr>
        <w:t>目前促进南南合作的技术援助举措数量很少。成员国希望增加此类举措的数量。</w:t>
      </w:r>
    </w:p>
    <w:p w14:paraId="0B01FB0A" w14:textId="77777777" w:rsidR="00EA5678" w:rsidRPr="00E775A9" w:rsidRDefault="00215138" w:rsidP="009B432F">
      <w:pPr>
        <w:pStyle w:val="ListParagraph"/>
        <w:numPr>
          <w:ilvl w:val="4"/>
          <w:numId w:val="4"/>
        </w:numPr>
        <w:spacing w:after="120"/>
        <w:ind w:left="1134" w:hanging="567"/>
        <w:rPr>
          <w:rFonts w:hAnsi="SimSun" w:cs="Arial"/>
        </w:rPr>
      </w:pPr>
      <w:r w:rsidRPr="00E775A9">
        <w:rPr>
          <w:rFonts w:hAnsi="SimSun" w:cs="Arial" w:hint="eastAsia"/>
        </w:rPr>
        <w:t>作为技术援助的联络点，国家知识产权局需要确保在相关情况下在国家层面有更多相关利益攸关方参与技术援助活动的实施。</w:t>
      </w:r>
    </w:p>
    <w:p w14:paraId="66087729" w14:textId="77777777" w:rsidR="00EA5678" w:rsidRPr="00E775A9" w:rsidRDefault="00215138" w:rsidP="0061224F">
      <w:pPr>
        <w:keepNext/>
        <w:overflowPunct w:val="0"/>
        <w:spacing w:beforeLines="100" w:before="240" w:afterLines="50" w:after="120" w:line="340" w:lineRule="atLeast"/>
        <w:rPr>
          <w:rFonts w:hAnsi="SimSun" w:cs="Arial"/>
          <w:b/>
          <w:color w:val="525252" w:themeColor="accent3" w:themeShade="80"/>
        </w:rPr>
      </w:pPr>
      <w:r w:rsidRPr="00E775A9">
        <w:rPr>
          <w:rFonts w:hAnsi="SimSun" w:cs="Arial" w:hint="eastAsia"/>
          <w:b/>
          <w:color w:val="525252" w:themeColor="accent3" w:themeShade="80"/>
        </w:rPr>
        <w:t>建议</w:t>
      </w:r>
    </w:p>
    <w:p w14:paraId="6DD05980" w14:textId="77777777" w:rsidR="00EA5678" w:rsidRPr="00E775A9" w:rsidRDefault="00215138" w:rsidP="009B432F">
      <w:pPr>
        <w:pStyle w:val="ListParagraph"/>
        <w:numPr>
          <w:ilvl w:val="0"/>
          <w:numId w:val="5"/>
        </w:numPr>
        <w:spacing w:after="120"/>
        <w:ind w:left="1134" w:hanging="567"/>
        <w:rPr>
          <w:rFonts w:hAnsi="SimSun" w:cs="Arial"/>
        </w:rPr>
      </w:pPr>
      <w:r w:rsidRPr="00E775A9">
        <w:rPr>
          <w:rFonts w:hAnsi="SimSun" w:cs="Arial" w:hint="eastAsia"/>
        </w:rPr>
        <w:t>为了改进技术援助成果的报告，建议产权组织为发展与知识产权委员会（CDIP）和发展议程制定并实施一项沟通策略，包括一项社交媒体策略。</w:t>
      </w:r>
    </w:p>
    <w:p w14:paraId="6D067C22" w14:textId="49E84AF9" w:rsidR="00EA5678" w:rsidRPr="00E775A9" w:rsidRDefault="00215138" w:rsidP="009B432F">
      <w:pPr>
        <w:pStyle w:val="ListParagraph"/>
        <w:numPr>
          <w:ilvl w:val="0"/>
          <w:numId w:val="5"/>
        </w:numPr>
        <w:spacing w:after="120"/>
        <w:ind w:left="1134" w:hanging="567"/>
        <w:rPr>
          <w:rFonts w:hAnsi="SimSun" w:cs="Arial"/>
        </w:rPr>
      </w:pPr>
      <w:r w:rsidRPr="00E775A9">
        <w:rPr>
          <w:rFonts w:hAnsi="SimSun" w:cs="Arial" w:hint="eastAsia"/>
        </w:rPr>
        <w:t>为了加强其与技术援助活动有关的分析和出版物的传播，建议产权组织为这些知识产品制定和实施沟通和传播策略。</w:t>
      </w:r>
    </w:p>
    <w:p w14:paraId="2CD50F47" w14:textId="6F9111EA" w:rsidR="00EA5678" w:rsidRPr="00E775A9" w:rsidRDefault="00215138" w:rsidP="009B432F">
      <w:pPr>
        <w:pStyle w:val="ListParagraph"/>
        <w:numPr>
          <w:ilvl w:val="0"/>
          <w:numId w:val="5"/>
        </w:numPr>
        <w:spacing w:after="120"/>
        <w:ind w:left="1134" w:hanging="567"/>
        <w:rPr>
          <w:rFonts w:hAnsi="SimSun" w:cs="Arial"/>
        </w:rPr>
      </w:pPr>
      <w:r w:rsidRPr="00E775A9">
        <w:rPr>
          <w:rFonts w:hAnsi="SimSun" w:cs="Arial" w:hint="eastAsia"/>
        </w:rPr>
        <w:t>为了在实地更多地利用知识产权来实现可持续发展目标，建议产权组织促进实施将知识产权权利与发展挑战联系起来的若干工作中制定的发展解决方案（例如WIPO Green）。</w:t>
      </w:r>
    </w:p>
    <w:p w14:paraId="04B7D211" w14:textId="2B692795" w:rsidR="00EA5678" w:rsidRPr="00E775A9" w:rsidRDefault="00215138" w:rsidP="009B432F">
      <w:pPr>
        <w:pStyle w:val="ListParagraph"/>
        <w:numPr>
          <w:ilvl w:val="0"/>
          <w:numId w:val="5"/>
        </w:numPr>
        <w:spacing w:after="120"/>
        <w:ind w:left="1134" w:hanging="567"/>
        <w:rPr>
          <w:rFonts w:hAnsi="SimSun" w:cs="Arial"/>
        </w:rPr>
      </w:pPr>
      <w:r w:rsidRPr="00E775A9">
        <w:rPr>
          <w:rFonts w:hAnsi="SimSun" w:cs="Arial" w:hint="eastAsia"/>
        </w:rPr>
        <w:t>为加强南南合作，建议产权组织推动知识产权举措，支持发展中国家内成员国之间的同行学习、经验分享和联合项目。</w:t>
      </w:r>
    </w:p>
    <w:p w14:paraId="1B027D4A" w14:textId="77777777" w:rsidR="00EA5678" w:rsidRPr="00E775A9" w:rsidRDefault="00215138" w:rsidP="009B432F">
      <w:pPr>
        <w:pStyle w:val="ListParagraph"/>
        <w:numPr>
          <w:ilvl w:val="0"/>
          <w:numId w:val="5"/>
        </w:numPr>
        <w:spacing w:after="120"/>
        <w:ind w:left="1134" w:hanging="567"/>
        <w:rPr>
          <w:rFonts w:hAnsi="SimSun" w:cs="Arial"/>
        </w:rPr>
      </w:pPr>
      <w:r w:rsidRPr="00E775A9">
        <w:rPr>
          <w:rFonts w:hAnsi="SimSun" w:cs="Arial" w:hint="eastAsia"/>
        </w:rPr>
        <w:t>为了让国家利益攸关方更多地参与技术援助的实施，建议制定技术援助项目，在相关情况下，明确让各部门的当地利益攸关方参与进来。</w:t>
      </w:r>
    </w:p>
    <w:p w14:paraId="498D52AE" w14:textId="77777777" w:rsidR="00EA5678" w:rsidRPr="00E775A9" w:rsidRDefault="00215138" w:rsidP="0061224F">
      <w:pPr>
        <w:keepNext/>
        <w:overflowPunct w:val="0"/>
        <w:spacing w:beforeLines="100" w:before="240" w:afterLines="50" w:after="120" w:line="340" w:lineRule="atLeast"/>
        <w:rPr>
          <w:rFonts w:hAnsi="SimSun" w:cs="Arial"/>
          <w:b/>
        </w:rPr>
      </w:pPr>
      <w:r w:rsidRPr="00E775A9">
        <w:rPr>
          <w:rFonts w:hAnsi="SimSun" w:cs="Arial" w:hint="eastAsia"/>
          <w:b/>
        </w:rPr>
        <w:t>有效性</w:t>
      </w:r>
    </w:p>
    <w:p w14:paraId="4DA9AC09" w14:textId="77777777" w:rsidR="00EA5678" w:rsidRPr="00E775A9" w:rsidRDefault="00215138" w:rsidP="0061224F">
      <w:pPr>
        <w:keepNext/>
        <w:overflowPunct w:val="0"/>
        <w:spacing w:beforeLines="100" w:before="240" w:afterLines="50" w:after="120" w:line="340" w:lineRule="atLeast"/>
        <w:rPr>
          <w:rFonts w:hAnsi="SimSun" w:cs="Arial"/>
          <w:b/>
          <w:color w:val="525252" w:themeColor="accent3" w:themeShade="80"/>
        </w:rPr>
      </w:pPr>
      <w:r w:rsidRPr="00E775A9">
        <w:rPr>
          <w:rFonts w:hAnsi="SimSun" w:cs="Arial" w:hint="eastAsia"/>
          <w:b/>
          <w:color w:val="525252" w:themeColor="accent3" w:themeShade="80"/>
        </w:rPr>
        <w:t>总体结论</w:t>
      </w:r>
    </w:p>
    <w:p w14:paraId="0139B269"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成员国认为，产权组织在提供合作促进发展领域的技术援助方面非常有效，特别是在能力建设、通过知识产权管理系统（IPAS）建立基础设施、技术与</w:t>
      </w:r>
      <w:r w:rsidRPr="00C259B0">
        <w:rPr>
          <w:rFonts w:hAnsi="SimSun" w:cs="Arial" w:hint="eastAsia"/>
          <w:color w:val="000000"/>
        </w:rPr>
        <w:t>创新</w:t>
      </w:r>
      <w:r w:rsidRPr="00E775A9">
        <w:rPr>
          <w:rFonts w:hAnsi="SimSun" w:cs="Arial" w:hint="eastAsia"/>
        </w:rPr>
        <w:t>支持中心（TISC）和国家知识产权战略方面。然而，有几个领域需要产权组织和成员国关注：</w:t>
      </w:r>
    </w:p>
    <w:p w14:paraId="1D7E1128" w14:textId="77777777" w:rsidR="00EA5678" w:rsidRPr="00E775A9" w:rsidRDefault="00215138" w:rsidP="009B432F">
      <w:pPr>
        <w:pStyle w:val="ListParagraph"/>
        <w:numPr>
          <w:ilvl w:val="0"/>
          <w:numId w:val="7"/>
        </w:numPr>
        <w:spacing w:after="120"/>
        <w:ind w:left="1134" w:hanging="567"/>
        <w:rPr>
          <w:rFonts w:hAnsi="SimSun" w:cs="Arial"/>
        </w:rPr>
      </w:pPr>
      <w:r w:rsidRPr="00E775A9">
        <w:rPr>
          <w:rFonts w:hAnsi="SimSun" w:cs="Arial" w:hint="eastAsia"/>
        </w:rPr>
        <w:t>需要加强成员国对能力建设活动的自主权；通过联合项目和同行学习促进合作；加强对产权组织与成员国联合项目的监测和评价；记录和进一步宣传应用所获技能的成功案例；整合更多创新的解决方案，如多媒体培训模块，以加强远程服务交付。</w:t>
      </w:r>
    </w:p>
    <w:p w14:paraId="0864E90D" w14:textId="77777777" w:rsidR="00EA5678" w:rsidRPr="00E775A9" w:rsidRDefault="00215138" w:rsidP="009B432F">
      <w:pPr>
        <w:pStyle w:val="ListParagraph"/>
        <w:numPr>
          <w:ilvl w:val="0"/>
          <w:numId w:val="7"/>
        </w:numPr>
        <w:spacing w:after="120"/>
        <w:ind w:left="1134" w:hanging="567"/>
        <w:rPr>
          <w:rFonts w:hAnsi="SimSun" w:cs="Arial"/>
        </w:rPr>
      </w:pPr>
      <w:r w:rsidRPr="00E775A9">
        <w:rPr>
          <w:rFonts w:hAnsi="SimSun" w:cs="Arial" w:hint="eastAsia"/>
        </w:rPr>
        <w:t>需要更多资源来满足成员国对IPAS、其新功能和平台更新版本日益增长的需求。</w:t>
      </w:r>
    </w:p>
    <w:p w14:paraId="224D5B93" w14:textId="7C20566B" w:rsidR="00EA5678" w:rsidRPr="00E775A9" w:rsidRDefault="00215138" w:rsidP="009B432F">
      <w:pPr>
        <w:pStyle w:val="ListParagraph"/>
        <w:numPr>
          <w:ilvl w:val="0"/>
          <w:numId w:val="7"/>
        </w:numPr>
        <w:spacing w:after="120"/>
        <w:ind w:left="1134" w:hanging="567"/>
        <w:rPr>
          <w:rFonts w:hAnsi="SimSun" w:cs="Arial"/>
        </w:rPr>
      </w:pPr>
      <w:r w:rsidRPr="00E775A9">
        <w:rPr>
          <w:rFonts w:hAnsi="SimSun" w:cs="Arial" w:hint="eastAsia"/>
        </w:rPr>
        <w:t>有必要加强国家层面的有机对话，以便在相关情况下，让成员国更多的实地利益攸关方参与项目的设计和实施。这将增强发展议程项目成果的可持续性。</w:t>
      </w:r>
    </w:p>
    <w:p w14:paraId="0CBEC8F2" w14:textId="77777777" w:rsidR="00EA5678" w:rsidRPr="00E775A9" w:rsidRDefault="00215138" w:rsidP="009B432F">
      <w:pPr>
        <w:pStyle w:val="ListParagraph"/>
        <w:numPr>
          <w:ilvl w:val="0"/>
          <w:numId w:val="7"/>
        </w:numPr>
        <w:spacing w:after="120"/>
        <w:ind w:left="1134" w:hanging="567"/>
        <w:rPr>
          <w:rFonts w:hAnsi="SimSun" w:cs="Arial"/>
        </w:rPr>
      </w:pPr>
      <w:r w:rsidRPr="00E775A9">
        <w:rPr>
          <w:rFonts w:hAnsi="SimSun" w:cs="Arial" w:hint="eastAsia"/>
        </w:rPr>
        <w:t>有必要通过解决成员国工作人员流动率高、知识产权局能力有限、知识产权资源有限和高层支持不足等难题来加强成员国实施国家知识产权政策。</w:t>
      </w:r>
    </w:p>
    <w:p w14:paraId="0E2FA008" w14:textId="7FA03829" w:rsidR="00EA5678" w:rsidRPr="00E775A9" w:rsidRDefault="00215138" w:rsidP="009B432F">
      <w:pPr>
        <w:pStyle w:val="ListParagraph"/>
        <w:numPr>
          <w:ilvl w:val="0"/>
          <w:numId w:val="7"/>
        </w:numPr>
        <w:spacing w:after="120"/>
        <w:ind w:left="1134" w:hanging="567"/>
        <w:rPr>
          <w:rFonts w:hAnsi="SimSun" w:cs="Arial"/>
        </w:rPr>
      </w:pPr>
      <w:r w:rsidRPr="00E775A9">
        <w:rPr>
          <w:rFonts w:hAnsi="SimSun" w:cs="Arial" w:hint="eastAsia"/>
        </w:rPr>
        <w:t>由于制定或审查知识产权立法的过程漫长，评价提供立法援助的有效性并不容易。因此，成果指标仅基于提供服务的国家数量和对所提供服务的满意度。</w:t>
      </w:r>
    </w:p>
    <w:p w14:paraId="541AFFE6" w14:textId="77777777" w:rsidR="00EA5678" w:rsidRPr="00E775A9" w:rsidRDefault="00215138" w:rsidP="009B432F">
      <w:pPr>
        <w:pStyle w:val="ListParagraph"/>
        <w:numPr>
          <w:ilvl w:val="0"/>
          <w:numId w:val="7"/>
        </w:numPr>
        <w:spacing w:after="120"/>
        <w:ind w:left="1134" w:hanging="567"/>
        <w:rPr>
          <w:rFonts w:hAnsi="SimSun" w:cs="Arial"/>
        </w:rPr>
      </w:pPr>
      <w:r w:rsidRPr="00E775A9">
        <w:rPr>
          <w:rFonts w:hAnsi="SimSun" w:cs="Arial" w:hint="eastAsia"/>
        </w:rPr>
        <w:t>虽然产权组织在公私伙伴关系下部署的平台在展示如何利用知识产权和创新应对社会挑战方面非常有用，但需要进一步宣传这些平台的工作，以提高使用者对这些平台的利用，并为匹配的举措获得更多支持。</w:t>
      </w:r>
    </w:p>
    <w:p w14:paraId="2AD80A76" w14:textId="77777777" w:rsidR="00EA5678" w:rsidRPr="00E775A9" w:rsidRDefault="00215138" w:rsidP="0061224F">
      <w:pPr>
        <w:keepNext/>
        <w:overflowPunct w:val="0"/>
        <w:spacing w:beforeLines="100" w:before="240" w:afterLines="50" w:after="120" w:line="340" w:lineRule="atLeast"/>
        <w:rPr>
          <w:rFonts w:hAnsi="SimSun" w:cs="Arial"/>
          <w:b/>
          <w:color w:val="525252" w:themeColor="accent3" w:themeShade="80"/>
        </w:rPr>
      </w:pPr>
      <w:r w:rsidRPr="00E775A9">
        <w:rPr>
          <w:rFonts w:hAnsi="SimSun" w:cs="Arial" w:hint="eastAsia"/>
          <w:b/>
          <w:color w:val="525252" w:themeColor="accent3" w:themeShade="80"/>
        </w:rPr>
        <w:t>建议</w:t>
      </w:r>
    </w:p>
    <w:p w14:paraId="3D16223D" w14:textId="77777777" w:rsidR="00EA5678" w:rsidRPr="00E775A9" w:rsidRDefault="00215138" w:rsidP="00071254">
      <w:pPr>
        <w:pStyle w:val="ListParagraph"/>
        <w:numPr>
          <w:ilvl w:val="4"/>
          <w:numId w:val="8"/>
        </w:numPr>
        <w:spacing w:after="120" w:line="240" w:lineRule="auto"/>
        <w:ind w:left="1134" w:hanging="567"/>
        <w:rPr>
          <w:rFonts w:hAnsi="SimSun" w:cs="Arial"/>
        </w:rPr>
      </w:pPr>
      <w:r w:rsidRPr="00E775A9">
        <w:rPr>
          <w:rFonts w:hAnsi="SimSun" w:cs="Arial" w:hint="eastAsia"/>
        </w:rPr>
        <w:t>为提高提供与技术援助有关的能力建设的有效性，提出以下建议：</w:t>
      </w:r>
    </w:p>
    <w:p w14:paraId="152C620B" w14:textId="77777777" w:rsidR="00EA5678" w:rsidRPr="00E775A9" w:rsidRDefault="00215138" w:rsidP="00071254">
      <w:pPr>
        <w:pStyle w:val="ListParagraph"/>
        <w:numPr>
          <w:ilvl w:val="1"/>
          <w:numId w:val="8"/>
        </w:numPr>
        <w:spacing w:after="120"/>
        <w:ind w:left="1701" w:hanging="567"/>
        <w:rPr>
          <w:rFonts w:hAnsi="SimSun" w:cs="Arial"/>
        </w:rPr>
      </w:pPr>
      <w:r w:rsidRPr="00E775A9">
        <w:rPr>
          <w:rFonts w:hAnsi="SimSun" w:cs="Arial" w:hint="eastAsia"/>
        </w:rPr>
        <w:t>建议产权组织和成员国努力让更多的国家利益攸关方在相关情况下参与联合能力建设活动的设计和实施，以加强国家自主权。</w:t>
      </w:r>
    </w:p>
    <w:p w14:paraId="62B9F857" w14:textId="77777777" w:rsidR="00EA5678" w:rsidRPr="00E775A9" w:rsidRDefault="00215138" w:rsidP="00071254">
      <w:pPr>
        <w:pStyle w:val="ListParagraph"/>
        <w:numPr>
          <w:ilvl w:val="1"/>
          <w:numId w:val="8"/>
        </w:numPr>
        <w:spacing w:after="120"/>
        <w:ind w:left="1701" w:hanging="567"/>
        <w:rPr>
          <w:rFonts w:hAnsi="SimSun" w:cs="Arial"/>
        </w:rPr>
      </w:pPr>
      <w:r w:rsidRPr="00E775A9">
        <w:rPr>
          <w:rFonts w:hAnsi="SimSun" w:cs="Arial" w:hint="eastAsia"/>
        </w:rPr>
        <w:t>建议产权组织和成员国通过联合项目和同行学习促进不同国家间的合作。</w:t>
      </w:r>
    </w:p>
    <w:p w14:paraId="1379123A" w14:textId="77777777" w:rsidR="00EA5678" w:rsidRPr="00E775A9" w:rsidRDefault="00215138" w:rsidP="00071254">
      <w:pPr>
        <w:pStyle w:val="ListParagraph"/>
        <w:numPr>
          <w:ilvl w:val="1"/>
          <w:numId w:val="8"/>
        </w:numPr>
        <w:spacing w:after="120"/>
        <w:ind w:left="1701" w:hanging="567"/>
        <w:rPr>
          <w:rFonts w:hAnsi="SimSun" w:cs="Arial"/>
        </w:rPr>
      </w:pPr>
      <w:r w:rsidRPr="00E775A9">
        <w:rPr>
          <w:rFonts w:hAnsi="SimSun" w:cs="Arial" w:hint="eastAsia"/>
        </w:rPr>
        <w:t>建议制定旨在加强对产权组织和成员国之间联合项目的监测和评价的模式。</w:t>
      </w:r>
    </w:p>
    <w:p w14:paraId="26BCEEC6" w14:textId="40976F4F" w:rsidR="00EA5678" w:rsidRPr="00E775A9" w:rsidRDefault="00215138" w:rsidP="00071254">
      <w:pPr>
        <w:pStyle w:val="ListParagraph"/>
        <w:numPr>
          <w:ilvl w:val="1"/>
          <w:numId w:val="8"/>
        </w:numPr>
        <w:spacing w:after="120"/>
        <w:ind w:left="1701" w:hanging="567"/>
        <w:rPr>
          <w:rFonts w:hAnsi="SimSun" w:cs="Arial"/>
        </w:rPr>
      </w:pPr>
      <w:r w:rsidRPr="00E775A9">
        <w:rPr>
          <w:rFonts w:hAnsi="SimSun" w:cs="Arial" w:hint="eastAsia"/>
        </w:rPr>
        <w:t>建议产权组织和成员国考虑如何加强成功案例的记录和宣传，展示所获得技能的实际应用。</w:t>
      </w:r>
    </w:p>
    <w:p w14:paraId="3920E225" w14:textId="77777777" w:rsidR="00EA5678" w:rsidRPr="00E775A9" w:rsidRDefault="00215138" w:rsidP="00071254">
      <w:pPr>
        <w:pStyle w:val="ListParagraph"/>
        <w:numPr>
          <w:ilvl w:val="1"/>
          <w:numId w:val="8"/>
        </w:numPr>
        <w:spacing w:after="120"/>
        <w:ind w:left="1701" w:hanging="567"/>
        <w:rPr>
          <w:rFonts w:hAnsi="SimSun" w:cs="Arial"/>
        </w:rPr>
      </w:pPr>
      <w:r w:rsidRPr="00E775A9">
        <w:rPr>
          <w:rFonts w:hAnsi="SimSun" w:cs="Arial" w:hint="eastAsia"/>
        </w:rPr>
        <w:t>建议产权组织和成员国考虑将资源投入到更具创新性的解决方案，如多媒体培训模块，以加强远程服务交付。</w:t>
      </w:r>
    </w:p>
    <w:p w14:paraId="3D907278" w14:textId="77777777" w:rsidR="00EA5678" w:rsidRPr="00E775A9" w:rsidRDefault="00215138" w:rsidP="00071ACF">
      <w:pPr>
        <w:pStyle w:val="ListParagraph"/>
        <w:numPr>
          <w:ilvl w:val="4"/>
          <w:numId w:val="62"/>
        </w:numPr>
        <w:spacing w:after="120"/>
        <w:ind w:left="1134" w:hanging="567"/>
        <w:rPr>
          <w:rFonts w:hAnsi="SimSun" w:cs="Arial"/>
        </w:rPr>
      </w:pPr>
      <w:r w:rsidRPr="00E775A9">
        <w:rPr>
          <w:rFonts w:hAnsi="SimSun" w:cs="Arial" w:hint="eastAsia"/>
        </w:rPr>
        <w:t>为了满足对IPAS本身以及对新功能和平台更新版日益增长的需求，建议产权组织和成员国探讨调动更多资源投入到这一技术和行政基础设施的模式。</w:t>
      </w:r>
    </w:p>
    <w:p w14:paraId="698434F1" w14:textId="0C9611A1" w:rsidR="00EA5678" w:rsidRPr="00E775A9" w:rsidRDefault="00215138" w:rsidP="00071ACF">
      <w:pPr>
        <w:pStyle w:val="ListParagraph"/>
        <w:numPr>
          <w:ilvl w:val="4"/>
          <w:numId w:val="62"/>
        </w:numPr>
        <w:spacing w:after="120"/>
        <w:ind w:left="1134" w:hanging="567"/>
        <w:rPr>
          <w:rFonts w:hAnsi="SimSun" w:cs="Arial"/>
        </w:rPr>
      </w:pPr>
      <w:r w:rsidRPr="00E775A9">
        <w:rPr>
          <w:rFonts w:hAnsi="SimSun" w:cs="Arial" w:hint="eastAsia"/>
        </w:rPr>
        <w:t>为加强发展议程项目成果的可持续性，建议产权组织和成员国在相关情况下探索加强成员国国家机构参与项目设计和实施的模式。</w:t>
      </w:r>
    </w:p>
    <w:p w14:paraId="0FEFE91B" w14:textId="77777777" w:rsidR="00EA5678" w:rsidRPr="00E775A9" w:rsidRDefault="00215138" w:rsidP="00071ACF">
      <w:pPr>
        <w:pStyle w:val="ListParagraph"/>
        <w:numPr>
          <w:ilvl w:val="4"/>
          <w:numId w:val="62"/>
        </w:numPr>
        <w:spacing w:after="120"/>
        <w:ind w:left="1134" w:hanging="567"/>
        <w:rPr>
          <w:rFonts w:hAnsi="SimSun" w:cs="Arial"/>
        </w:rPr>
      </w:pPr>
      <w:r w:rsidRPr="00E775A9">
        <w:rPr>
          <w:rFonts w:hAnsi="SimSun" w:cs="Arial" w:hint="eastAsia"/>
        </w:rPr>
        <w:t>为了加强成员国对国家知识产权政策的实施，建议产权组织和成员国确保在知识产权政策制定开始之前，与政府高层官员充分接触，以确保其对该项目的支持，这将包括调动人力资源和能力来实施该政策。</w:t>
      </w:r>
    </w:p>
    <w:p w14:paraId="01CE6556" w14:textId="77777777" w:rsidR="00EA5678" w:rsidRPr="00E775A9" w:rsidRDefault="00215138" w:rsidP="00071ACF">
      <w:pPr>
        <w:pStyle w:val="ListParagraph"/>
        <w:numPr>
          <w:ilvl w:val="4"/>
          <w:numId w:val="62"/>
        </w:numPr>
        <w:spacing w:after="120"/>
        <w:ind w:left="1134" w:hanging="567"/>
        <w:rPr>
          <w:rFonts w:hAnsi="SimSun" w:cs="Arial"/>
        </w:rPr>
      </w:pPr>
      <w:r w:rsidRPr="00E775A9">
        <w:rPr>
          <w:rFonts w:hAnsi="SimSun" w:cs="Arial" w:hint="eastAsia"/>
        </w:rPr>
        <w:t>为了提高政策和立法援助的有效性，建议产权组织和成员国考虑就政策和立法援助达成基于里程碑的长期合作协议。</w:t>
      </w:r>
    </w:p>
    <w:p w14:paraId="787DF571" w14:textId="77777777" w:rsidR="00E93625" w:rsidRPr="00E775A9" w:rsidRDefault="00215138" w:rsidP="00071ACF">
      <w:pPr>
        <w:pStyle w:val="ListParagraph"/>
        <w:numPr>
          <w:ilvl w:val="4"/>
          <w:numId w:val="62"/>
        </w:numPr>
        <w:spacing w:after="120"/>
        <w:ind w:left="1134" w:hanging="567"/>
        <w:rPr>
          <w:rFonts w:hAnsi="SimSun" w:cs="Arial"/>
        </w:rPr>
      </w:pPr>
      <w:r w:rsidRPr="00E775A9">
        <w:rPr>
          <w:rFonts w:hAnsi="SimSun" w:cs="Arial" w:hint="eastAsia"/>
        </w:rPr>
        <w:t>为了提高包括私营部门在内的使用者对公私伙伴关系平台的利用程度，建议产权组织和成员国制定并实施一项认知提升运动，宣传这些平台的可用性，并进一步支持实施配对举措产生的项目。</w:t>
      </w:r>
    </w:p>
    <w:p w14:paraId="683BF9A9" w14:textId="77777777" w:rsidR="00EA5678" w:rsidRPr="00E775A9" w:rsidRDefault="00215138" w:rsidP="0061224F">
      <w:pPr>
        <w:keepNext/>
        <w:overflowPunct w:val="0"/>
        <w:spacing w:beforeLines="100" w:before="240" w:afterLines="50" w:after="120" w:line="340" w:lineRule="atLeast"/>
        <w:rPr>
          <w:rFonts w:hAnsi="SimSun" w:cs="Arial"/>
          <w:b/>
        </w:rPr>
      </w:pPr>
      <w:r w:rsidRPr="00E775A9">
        <w:rPr>
          <w:rFonts w:hAnsi="SimSun" w:cs="Arial" w:hint="eastAsia"/>
          <w:b/>
        </w:rPr>
        <w:t>效率</w:t>
      </w:r>
    </w:p>
    <w:p w14:paraId="5FE5B2DE" w14:textId="77777777" w:rsidR="00EA5678" w:rsidRPr="00E775A9" w:rsidRDefault="00215138" w:rsidP="0061224F">
      <w:pPr>
        <w:keepNext/>
        <w:overflowPunct w:val="0"/>
        <w:spacing w:beforeLines="100" w:before="240" w:afterLines="50" w:after="120" w:line="340" w:lineRule="atLeast"/>
        <w:rPr>
          <w:rFonts w:hAnsi="SimSun" w:cs="Arial"/>
          <w:b/>
          <w:color w:val="525252" w:themeColor="accent3" w:themeShade="80"/>
        </w:rPr>
      </w:pPr>
      <w:r w:rsidRPr="00E775A9">
        <w:rPr>
          <w:rFonts w:hAnsi="SimSun" w:cs="Arial" w:hint="eastAsia"/>
          <w:b/>
          <w:color w:val="525252" w:themeColor="accent3" w:themeShade="80"/>
        </w:rPr>
        <w:t>总体结论</w:t>
      </w:r>
    </w:p>
    <w:p w14:paraId="0A0BCCC3"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产权组织根据注重成果的管理框架高效地提供技术援助。正在为成员国提供优质服务。不过，需要产权组织和成员国关注的领域不多：</w:t>
      </w:r>
    </w:p>
    <w:p w14:paraId="01BB0DB7" w14:textId="77777777" w:rsidR="00EA5678" w:rsidRPr="00E775A9" w:rsidRDefault="00215138" w:rsidP="00E27075">
      <w:pPr>
        <w:pStyle w:val="ListParagraph"/>
        <w:numPr>
          <w:ilvl w:val="0"/>
          <w:numId w:val="11"/>
        </w:numPr>
        <w:spacing w:after="120"/>
        <w:ind w:left="1134" w:hanging="567"/>
        <w:rPr>
          <w:rFonts w:hAnsi="SimSun" w:cs="Arial"/>
        </w:rPr>
      </w:pPr>
      <w:r w:rsidRPr="00E775A9">
        <w:rPr>
          <w:rFonts w:hAnsi="SimSun" w:cs="Arial" w:hint="eastAsia"/>
        </w:rPr>
        <w:t>根据批准的预算，为2017-2022年期间实施技术援助活动提供了充足的财政资源。然而，在相关情况下，有必要解决信托基金项目相关的资源利用不足问题。</w:t>
      </w:r>
    </w:p>
    <w:p w14:paraId="0009D3CA" w14:textId="742EFE7D" w:rsidR="00EA5678" w:rsidRPr="00E775A9" w:rsidRDefault="00215138" w:rsidP="00E27075">
      <w:pPr>
        <w:pStyle w:val="ListParagraph"/>
        <w:numPr>
          <w:ilvl w:val="0"/>
          <w:numId w:val="11"/>
        </w:numPr>
        <w:spacing w:after="120"/>
        <w:ind w:left="1134" w:hanging="567"/>
        <w:rPr>
          <w:rFonts w:hAnsi="SimSun" w:cs="Arial"/>
        </w:rPr>
      </w:pPr>
      <w:r w:rsidRPr="00E775A9">
        <w:rPr>
          <w:rFonts w:hAnsi="SimSun" w:cs="Arial" w:hint="eastAsia"/>
        </w:rPr>
        <w:t>注重成果的管理仍然是CDIP制定项目的有力工具。它还指导需求评估、与成员国谈判谅解备忘录以及签署服务级协议的过程。然而，在根据选定受益国的需求实施项目文件方面需要灵活性。</w:t>
      </w:r>
    </w:p>
    <w:p w14:paraId="140EA99B" w14:textId="77777777" w:rsidR="00EA5678" w:rsidRPr="00E775A9" w:rsidRDefault="00215138" w:rsidP="00E27075">
      <w:pPr>
        <w:pStyle w:val="ListParagraph"/>
        <w:numPr>
          <w:ilvl w:val="0"/>
          <w:numId w:val="11"/>
        </w:numPr>
        <w:spacing w:after="120"/>
        <w:ind w:left="1134" w:hanging="567"/>
        <w:rPr>
          <w:rFonts w:hAnsi="SimSun" w:cs="Arial"/>
        </w:rPr>
      </w:pPr>
      <w:r w:rsidRPr="00E775A9">
        <w:rPr>
          <w:rFonts w:hAnsi="SimSun" w:cs="Arial" w:hint="eastAsia"/>
        </w:rPr>
        <w:t>尽管产权组织有足够的技术能力提供技术援助，但有必要继续监测产权组织专门用于技术援助的技能和专业知识，以满足日益增长的服务需求。产权组织工作人员在项目管理以及知识产权与发展之间的联系方面需要补充技能。</w:t>
      </w:r>
    </w:p>
    <w:p w14:paraId="118D52C8" w14:textId="77777777" w:rsidR="00EA5678" w:rsidRPr="00E775A9" w:rsidRDefault="00215138" w:rsidP="00E27075">
      <w:pPr>
        <w:pStyle w:val="ListParagraph"/>
        <w:numPr>
          <w:ilvl w:val="0"/>
          <w:numId w:val="11"/>
        </w:numPr>
        <w:spacing w:after="120"/>
        <w:ind w:left="1134" w:hanging="567"/>
        <w:rPr>
          <w:rFonts w:hAnsi="SimSun" w:cs="Arial"/>
        </w:rPr>
      </w:pPr>
      <w:r w:rsidRPr="00E775A9">
        <w:rPr>
          <w:rFonts w:hAnsi="SimSun" w:cs="Arial" w:hint="eastAsia"/>
        </w:rPr>
        <w:t>2017-2022年及之后，在协调技术援助的提供方面取得了重大进展。产权组织工作人员和成员国对此大加赞赏。基于这些努力，还有许多领域需要进一步改进：不同条约之间的合作、各区域司之间的合作、发展议程项目之间的合作、区域司与对外办事处之间的合作、不同领域在业务程序方面的合作、中小企业举措之间的合作，以及同一国家内不同项目之间的合作。</w:t>
      </w:r>
    </w:p>
    <w:p w14:paraId="75AD835B" w14:textId="77777777" w:rsidR="00EA5678" w:rsidRPr="00E775A9" w:rsidRDefault="00215138" w:rsidP="00E27075">
      <w:pPr>
        <w:pStyle w:val="ListParagraph"/>
        <w:numPr>
          <w:ilvl w:val="0"/>
          <w:numId w:val="11"/>
        </w:numPr>
        <w:spacing w:after="120"/>
        <w:ind w:left="1134" w:hanging="567"/>
        <w:rPr>
          <w:rFonts w:hAnsi="SimSun" w:cs="Arial"/>
        </w:rPr>
      </w:pPr>
      <w:r w:rsidRPr="00E775A9">
        <w:rPr>
          <w:rFonts w:hAnsi="SimSun" w:cs="Arial" w:hint="eastAsia"/>
        </w:rPr>
        <w:t>产权组织在建立注重成果的管理框架方面取得了重大进展，该框架改善了发展活动的战略和业务规划，提高了自我评价能力。预算外活动的评价是应有关各方的要求并与之合作进行的。此外，每个项目都有与受益成员国共同制定的工作计划。然而，需要产权组织和成员国注意的领域不多：需要加强产权组织和成员国的监测、评价和学习，鼓励成员国加强定期沟通和更新项目状况，并在受益国加强宣传产权组织举措。</w:t>
      </w:r>
    </w:p>
    <w:p w14:paraId="1C952133" w14:textId="49E5F9AB" w:rsidR="00EA5678" w:rsidRPr="00E775A9" w:rsidRDefault="00215138" w:rsidP="00E27075">
      <w:pPr>
        <w:pStyle w:val="ListParagraph"/>
        <w:numPr>
          <w:ilvl w:val="0"/>
          <w:numId w:val="11"/>
        </w:numPr>
        <w:spacing w:after="120"/>
        <w:ind w:left="1134" w:hanging="567"/>
        <w:rPr>
          <w:rFonts w:hAnsi="SimSun" w:cs="Arial"/>
        </w:rPr>
      </w:pPr>
      <w:r w:rsidRPr="00E775A9">
        <w:rPr>
          <w:rFonts w:hAnsi="SimSun" w:cs="Arial" w:hint="eastAsia"/>
        </w:rPr>
        <w:t>与大多数组织一样，2019冠状病毒病（COVID-19）大流行加速了产权组织在提供技术援助中对数字技术的使用。在2017</w:t>
      </w:r>
      <w:r w:rsidRPr="00E775A9">
        <w:rPr>
          <w:rFonts w:hAnsi="SimSun" w:cs="Arial" w:hint="eastAsia"/>
        </w:rPr>
        <w:noBreakHyphen/>
        <w:t>2022年审查期间，本组织在提供技术援助方面采用了三种模式：混合、虚拟和实体。转为以虚拟形式提供技术援助节省了成本。因此，这种提供技术援助的新模式是一种更明智、更高效的提供方式。然而，不同的时区、有限的信息技术准备和许多成员国对高质量互联网的访问受限，仍然是通过虚拟手段提供技术援助所面临的挑战。</w:t>
      </w:r>
    </w:p>
    <w:p w14:paraId="2302B5DC" w14:textId="77777777" w:rsidR="00EA5678" w:rsidRPr="00E775A9" w:rsidRDefault="00215138" w:rsidP="0061224F">
      <w:pPr>
        <w:keepNext/>
        <w:overflowPunct w:val="0"/>
        <w:spacing w:beforeLines="100" w:before="240" w:afterLines="50" w:after="120" w:line="340" w:lineRule="atLeast"/>
        <w:rPr>
          <w:rFonts w:hAnsi="SimSun" w:cs="Arial"/>
          <w:b/>
          <w:color w:val="525252" w:themeColor="accent3" w:themeShade="80"/>
        </w:rPr>
      </w:pPr>
      <w:r w:rsidRPr="00E775A9">
        <w:rPr>
          <w:rFonts w:hAnsi="SimSun" w:cs="Arial" w:hint="eastAsia"/>
          <w:b/>
          <w:color w:val="525252" w:themeColor="accent3" w:themeShade="80"/>
        </w:rPr>
        <w:t>建议</w:t>
      </w:r>
    </w:p>
    <w:p w14:paraId="3A0789EC" w14:textId="77777777" w:rsidR="00EA5678" w:rsidRPr="00E775A9" w:rsidRDefault="00215138" w:rsidP="00E27075">
      <w:pPr>
        <w:pStyle w:val="ListParagraph"/>
        <w:numPr>
          <w:ilvl w:val="0"/>
          <w:numId w:val="12"/>
        </w:numPr>
        <w:spacing w:after="120"/>
        <w:ind w:left="1134" w:hanging="567"/>
        <w:rPr>
          <w:rFonts w:hAnsi="SimSun" w:cs="Arial"/>
        </w:rPr>
      </w:pPr>
      <w:r w:rsidRPr="00E775A9">
        <w:rPr>
          <w:rFonts w:hAnsi="SimSun" w:cs="Arial" w:hint="eastAsia"/>
        </w:rPr>
        <w:t>为了提高可用资源的利用率，建议产权组织制定并实施一项战略，以有效实施信托基金项目。其次，建议产权组织和成员国探索共同资助和共同贡献的模式，以支持提供技术援助。</w:t>
      </w:r>
    </w:p>
    <w:p w14:paraId="4E42E3C6" w14:textId="77777777" w:rsidR="00EA5678" w:rsidRPr="00E775A9" w:rsidRDefault="00215138" w:rsidP="00E27075">
      <w:pPr>
        <w:pStyle w:val="ListParagraph"/>
        <w:numPr>
          <w:ilvl w:val="0"/>
          <w:numId w:val="12"/>
        </w:numPr>
        <w:spacing w:after="120"/>
        <w:ind w:left="1134" w:hanging="567"/>
        <w:rPr>
          <w:rFonts w:hAnsi="SimSun" w:cs="Arial"/>
        </w:rPr>
      </w:pPr>
      <w:r w:rsidRPr="00E775A9">
        <w:rPr>
          <w:rFonts w:hAnsi="SimSun" w:cs="Arial" w:hint="eastAsia"/>
        </w:rPr>
        <w:t>为了支持工作人员掌握在快速变化的世界中有效提供技术援助所需的技能，建议产权组织监测本组织专门用于技术援助的技能和专业知识，以满足日益增长的服务需求。其次，建议产权组织继续使用并扩大使用当地顾问，以提高提供技术援助的效率。</w:t>
      </w:r>
    </w:p>
    <w:p w14:paraId="7728EFE1" w14:textId="77777777" w:rsidR="00EA5678" w:rsidRPr="00E775A9" w:rsidRDefault="00215138" w:rsidP="00E27075">
      <w:pPr>
        <w:pStyle w:val="ListParagraph"/>
        <w:numPr>
          <w:ilvl w:val="0"/>
          <w:numId w:val="12"/>
        </w:numPr>
        <w:spacing w:after="120"/>
        <w:ind w:left="1134" w:hanging="567"/>
        <w:rPr>
          <w:rFonts w:hAnsi="SimSun" w:cs="Arial"/>
        </w:rPr>
      </w:pPr>
      <w:r w:rsidRPr="00E775A9">
        <w:rPr>
          <w:rFonts w:hAnsi="SimSun" w:cs="Arial" w:hint="eastAsia"/>
        </w:rPr>
        <w:t>为了加强工作人员在项目管理以及处理知识产权与发展之间关系方面的能力，建议产权组织在其他联合国机构的参与下，为产权组织工作人员和成员国设计一门关于知识产权与发展的课程。</w:t>
      </w:r>
    </w:p>
    <w:p w14:paraId="7887797B" w14:textId="16A8037E" w:rsidR="00EA5678" w:rsidRPr="00E775A9" w:rsidRDefault="00215138" w:rsidP="00E27075">
      <w:pPr>
        <w:pStyle w:val="ListParagraph"/>
        <w:numPr>
          <w:ilvl w:val="0"/>
          <w:numId w:val="12"/>
        </w:numPr>
        <w:spacing w:after="120"/>
        <w:ind w:left="1134" w:hanging="567"/>
        <w:rPr>
          <w:rFonts w:hAnsi="SimSun" w:cs="Arial"/>
        </w:rPr>
      </w:pPr>
      <w:r w:rsidRPr="00E775A9">
        <w:rPr>
          <w:rFonts w:hAnsi="SimSun" w:cs="Arial" w:hint="eastAsia"/>
        </w:rPr>
        <w:t>为了在已取得进展的基础上加强协调，建议产权组织考虑制定和实施一项计划，以改进不同条约之间的合作、各区域司之间的合作、发展议程项目之间的合作、区域司与对外办事处之间的合作、不同领域在业务程序（提供技术援助的方法）方面的合作、中小企业举措之间的合作，以及同一国家内不同项目之间的合作。</w:t>
      </w:r>
    </w:p>
    <w:p w14:paraId="004C4F82" w14:textId="77777777" w:rsidR="00EA5678" w:rsidRPr="00E775A9" w:rsidRDefault="00215138" w:rsidP="00E27075">
      <w:pPr>
        <w:pStyle w:val="ListParagraph"/>
        <w:numPr>
          <w:ilvl w:val="0"/>
          <w:numId w:val="12"/>
        </w:numPr>
        <w:spacing w:after="120"/>
        <w:ind w:left="1134" w:hanging="567"/>
        <w:rPr>
          <w:rFonts w:hAnsi="SimSun" w:cs="Arial"/>
        </w:rPr>
      </w:pPr>
      <w:r w:rsidRPr="00E775A9">
        <w:rPr>
          <w:rFonts w:hAnsi="SimSun" w:cs="Arial" w:hint="eastAsia"/>
        </w:rPr>
        <w:t>为了增加和加强技术援助监测和评价以及良好做法交流方面的工作，建议产权组织和成员国探索和实施各种模式，以提高产权组织在监测、评价和学习方面的人员配置水平，鼓励加强定期沟通和更新项目状况，并在受益国加强宣传产权组织举措。此外，建议产权组织和成员国考虑出版一份关于技术援助不同领域良好做法的出版物，并促进后续开展研讨会，以传播经验和进行对话（使用吸取经验教训的案例研究方法）。</w:t>
      </w:r>
    </w:p>
    <w:p w14:paraId="0A92F064" w14:textId="77777777" w:rsidR="00EA5678" w:rsidRPr="00E775A9" w:rsidRDefault="00215138" w:rsidP="00E27075">
      <w:pPr>
        <w:pStyle w:val="ListParagraph"/>
        <w:numPr>
          <w:ilvl w:val="0"/>
          <w:numId w:val="12"/>
        </w:numPr>
        <w:spacing w:after="120"/>
        <w:ind w:left="1134" w:hanging="567"/>
        <w:rPr>
          <w:rFonts w:hAnsi="SimSun" w:cs="Arial"/>
          <w:b/>
        </w:rPr>
      </w:pPr>
      <w:r w:rsidRPr="00E775A9">
        <w:rPr>
          <w:rFonts w:hAnsi="SimSun" w:cs="Arial" w:hint="eastAsia"/>
        </w:rPr>
        <w:t>为了将提供技术援助的混合模式纳入主流，建议产权组织和成员国开发一个技术援助设计预评估工具，考虑到虚拟会议设备、信息技术准备情况和对高质量互联网的访问。</w:t>
      </w:r>
    </w:p>
    <w:p w14:paraId="421CEEB7" w14:textId="77777777" w:rsidR="00EA5678" w:rsidRPr="00E775A9" w:rsidRDefault="00215138" w:rsidP="0061224F">
      <w:pPr>
        <w:keepNext/>
        <w:overflowPunct w:val="0"/>
        <w:spacing w:beforeLines="100" w:before="240" w:afterLines="50" w:after="120" w:line="340" w:lineRule="atLeast"/>
        <w:rPr>
          <w:rFonts w:hAnsi="SimSun" w:cs="Arial"/>
          <w:b/>
        </w:rPr>
      </w:pPr>
      <w:r w:rsidRPr="00E775A9">
        <w:rPr>
          <w:rFonts w:hAnsi="SimSun" w:cs="Arial" w:hint="eastAsia"/>
          <w:b/>
        </w:rPr>
        <w:t>可持续性</w:t>
      </w:r>
    </w:p>
    <w:p w14:paraId="6AFEC826" w14:textId="77777777" w:rsidR="00EA5678" w:rsidRPr="00E775A9" w:rsidRDefault="00215138" w:rsidP="0061224F">
      <w:pPr>
        <w:keepNext/>
        <w:overflowPunct w:val="0"/>
        <w:spacing w:beforeLines="100" w:before="240" w:afterLines="50" w:after="120" w:line="340" w:lineRule="atLeast"/>
        <w:rPr>
          <w:rFonts w:hAnsi="SimSun" w:cs="Arial"/>
          <w:b/>
          <w:color w:val="525252" w:themeColor="accent3" w:themeShade="80"/>
        </w:rPr>
      </w:pPr>
      <w:r w:rsidRPr="00E775A9">
        <w:rPr>
          <w:rFonts w:hAnsi="SimSun" w:cs="Arial" w:hint="eastAsia"/>
          <w:b/>
          <w:color w:val="525252" w:themeColor="accent3" w:themeShade="80"/>
        </w:rPr>
        <w:t>总体结论</w:t>
      </w:r>
    </w:p>
    <w:p w14:paraId="4B513704"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产权组织曾成功地在成员国进行长期能力建设，通过基础设施、能力建设和政策咨询加强知识产权局，以及制定国家知识产权政策。在提供此类技术援助后，成员国继续开展此类技术援助活动。然而，仍有一些领域需要进一步改进，以确保产权组织对成员国的支持在长期内产生最大惠益：</w:t>
      </w:r>
    </w:p>
    <w:p w14:paraId="05B86CCC" w14:textId="469AC19B" w:rsidR="00EA5678" w:rsidRPr="00E775A9" w:rsidRDefault="00215138" w:rsidP="00473B72">
      <w:pPr>
        <w:pStyle w:val="ListParagraph"/>
        <w:numPr>
          <w:ilvl w:val="0"/>
          <w:numId w:val="14"/>
        </w:numPr>
        <w:spacing w:after="120"/>
        <w:ind w:left="1134" w:hanging="567"/>
        <w:rPr>
          <w:rFonts w:hAnsi="SimSun" w:cs="Arial"/>
        </w:rPr>
      </w:pPr>
      <w:r w:rsidRPr="00E775A9">
        <w:rPr>
          <w:rFonts w:hAnsi="SimSun" w:cs="Arial" w:hint="eastAsia"/>
        </w:rPr>
        <w:t>由于缺乏成员国的资源、部门部委的参与和工作人员流动，成员国对一些国家知识产权政策和战略的实施程度较低。</w:t>
      </w:r>
    </w:p>
    <w:p w14:paraId="0F328782" w14:textId="77777777" w:rsidR="00EA5678" w:rsidRPr="00E775A9" w:rsidRDefault="00215138" w:rsidP="00473B72">
      <w:pPr>
        <w:pStyle w:val="ListParagraph"/>
        <w:numPr>
          <w:ilvl w:val="0"/>
          <w:numId w:val="14"/>
        </w:numPr>
        <w:spacing w:after="120"/>
        <w:ind w:left="1134" w:hanging="567"/>
        <w:rPr>
          <w:rFonts w:hAnsi="SimSun" w:cs="Arial"/>
        </w:rPr>
      </w:pPr>
      <w:r w:rsidRPr="00E775A9">
        <w:rPr>
          <w:rFonts w:hAnsi="SimSun" w:cs="Arial" w:hint="eastAsia"/>
        </w:rPr>
        <w:t>目前，技术援助活动主要由产权组织资助。技术援助的共同资助模式可以增强举措完成后的可持续成果。</w:t>
      </w:r>
    </w:p>
    <w:p w14:paraId="20853EF3" w14:textId="77777777" w:rsidR="00EA5678" w:rsidRPr="00E775A9" w:rsidRDefault="00215138" w:rsidP="00473B72">
      <w:pPr>
        <w:pStyle w:val="ListParagraph"/>
        <w:numPr>
          <w:ilvl w:val="0"/>
          <w:numId w:val="14"/>
        </w:numPr>
        <w:spacing w:after="120"/>
        <w:ind w:left="1134" w:hanging="567"/>
        <w:rPr>
          <w:rFonts w:hAnsi="SimSun" w:cs="Arial"/>
        </w:rPr>
      </w:pPr>
      <w:r w:rsidRPr="00E775A9">
        <w:rPr>
          <w:rFonts w:hAnsi="SimSun" w:cs="Arial" w:hint="eastAsia"/>
        </w:rPr>
        <w:t>虽然《发展议程》下产生的若干项目已被纳入产权组织计划和预算的主流，但有必要鼓励成员国探索如何将一些成功的技术援助活动纳入其日常工作的主流中。</w:t>
      </w:r>
    </w:p>
    <w:p w14:paraId="32CCB703" w14:textId="77777777" w:rsidR="00EA5678" w:rsidRPr="00E775A9" w:rsidRDefault="00215138" w:rsidP="00473B72">
      <w:pPr>
        <w:pStyle w:val="ListParagraph"/>
        <w:numPr>
          <w:ilvl w:val="0"/>
          <w:numId w:val="14"/>
        </w:numPr>
        <w:spacing w:after="120"/>
        <w:ind w:left="1134" w:hanging="567"/>
        <w:rPr>
          <w:rFonts w:hAnsi="SimSun" w:cs="Arial"/>
        </w:rPr>
      </w:pPr>
      <w:r w:rsidRPr="00E775A9">
        <w:rPr>
          <w:rFonts w:hAnsi="SimSun" w:cs="Arial" w:hint="eastAsia"/>
        </w:rPr>
        <w:t>虽然产权组织目前正在鼓励与成员国联合起草技术援助项目，以确保自主权，但有必要进行扩展以将可持续性纳入其中。</w:t>
      </w:r>
    </w:p>
    <w:p w14:paraId="7295B38C" w14:textId="77777777" w:rsidR="00EA5678" w:rsidRPr="00E775A9" w:rsidRDefault="00215138" w:rsidP="0061224F">
      <w:pPr>
        <w:keepNext/>
        <w:overflowPunct w:val="0"/>
        <w:spacing w:beforeLines="100" w:before="240" w:afterLines="50" w:after="120" w:line="340" w:lineRule="atLeast"/>
        <w:rPr>
          <w:rFonts w:hAnsi="SimSun" w:cs="Arial"/>
          <w:b/>
          <w:color w:val="525252" w:themeColor="accent3" w:themeShade="80"/>
        </w:rPr>
      </w:pPr>
      <w:r w:rsidRPr="00E775A9">
        <w:rPr>
          <w:rFonts w:hAnsi="SimSun" w:cs="Arial" w:hint="eastAsia"/>
          <w:b/>
          <w:color w:val="525252" w:themeColor="accent3" w:themeShade="80"/>
        </w:rPr>
        <w:t>建议</w:t>
      </w:r>
    </w:p>
    <w:p w14:paraId="7415EA4E"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为了提高产权组织向成员国提供的技术援助活动的可持续性，建议在产权组织和成员国联合制定项目期间，项目可持续性应是一个关键的考虑问题，并应将其纳入项目协议中，其中包括以下内容：</w:t>
      </w:r>
    </w:p>
    <w:p w14:paraId="07CABAA2" w14:textId="77777777" w:rsidR="00EA5678" w:rsidRPr="00E775A9" w:rsidRDefault="00215138" w:rsidP="00473B72">
      <w:pPr>
        <w:pStyle w:val="ListParagraph"/>
        <w:numPr>
          <w:ilvl w:val="0"/>
          <w:numId w:val="17"/>
        </w:numPr>
        <w:spacing w:after="120"/>
        <w:ind w:left="1134" w:hanging="567"/>
        <w:rPr>
          <w:rFonts w:hAnsi="SimSun" w:cs="Arial"/>
        </w:rPr>
      </w:pPr>
      <w:r w:rsidRPr="00E775A9">
        <w:rPr>
          <w:rFonts w:hAnsi="SimSun" w:cs="Arial" w:hint="eastAsia"/>
        </w:rPr>
        <w:t>相关成员国承诺通过共同贡献为该项目分配财政和人力资源。</w:t>
      </w:r>
    </w:p>
    <w:p w14:paraId="07669BEB" w14:textId="77777777" w:rsidR="00EA5678" w:rsidRPr="00E775A9" w:rsidRDefault="00215138" w:rsidP="00473B72">
      <w:pPr>
        <w:pStyle w:val="ListParagraph"/>
        <w:numPr>
          <w:ilvl w:val="0"/>
          <w:numId w:val="17"/>
        </w:numPr>
        <w:spacing w:after="120"/>
        <w:ind w:left="1134" w:hanging="567"/>
        <w:rPr>
          <w:rFonts w:hAnsi="SimSun" w:cs="Arial"/>
        </w:rPr>
      </w:pPr>
      <w:r w:rsidRPr="00E775A9">
        <w:rPr>
          <w:rFonts w:hAnsi="SimSun" w:cs="Arial" w:hint="eastAsia"/>
        </w:rPr>
        <w:t>成员国承诺将一些成功的技术援助活动纳入其年度计划和预算的主流中。</w:t>
      </w:r>
    </w:p>
    <w:p w14:paraId="0678294B" w14:textId="77777777" w:rsidR="00EA5678" w:rsidRPr="00E775A9" w:rsidRDefault="00215138" w:rsidP="0061224F">
      <w:pPr>
        <w:keepNext/>
        <w:overflowPunct w:val="0"/>
        <w:spacing w:beforeLines="100" w:before="240" w:afterLines="50" w:after="120" w:line="340" w:lineRule="atLeast"/>
        <w:rPr>
          <w:rFonts w:hAnsi="SimSun" w:cs="Arial"/>
          <w:b/>
        </w:rPr>
      </w:pPr>
      <w:r w:rsidRPr="00E775A9">
        <w:rPr>
          <w:rFonts w:hAnsi="SimSun" w:cs="Arial" w:hint="eastAsia"/>
          <w:b/>
        </w:rPr>
        <w:t>影响</w:t>
      </w:r>
    </w:p>
    <w:p w14:paraId="4AD4C816" w14:textId="77777777" w:rsidR="00EA5678" w:rsidRPr="00E775A9" w:rsidRDefault="00215138" w:rsidP="0061224F">
      <w:pPr>
        <w:keepNext/>
        <w:overflowPunct w:val="0"/>
        <w:spacing w:beforeLines="100" w:before="240" w:afterLines="50" w:after="120" w:line="340" w:lineRule="atLeast"/>
        <w:rPr>
          <w:rFonts w:hAnsi="SimSun" w:cs="Arial"/>
          <w:b/>
          <w:color w:val="525252" w:themeColor="accent3" w:themeShade="80"/>
        </w:rPr>
      </w:pPr>
      <w:r w:rsidRPr="00E775A9">
        <w:rPr>
          <w:rFonts w:hAnsi="SimSun" w:cs="Arial" w:hint="eastAsia"/>
          <w:b/>
          <w:color w:val="525252" w:themeColor="accent3" w:themeShade="80"/>
        </w:rPr>
        <w:t>总体结论</w:t>
      </w:r>
    </w:p>
    <w:p w14:paraId="600CC36A"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产权组织非常有效地提供了COVID-19一揽子应对方案，使40个成员国受益，是产权组织不同部门协调的一个良好范例。产权组织通过与联合国机构、民间社会组织和区域组织建立相关伙伴关系，在不同领域增加价值，并将知识产权与发展联系起来，得以扩大了其影响范围和影响力。挑战在于使可用信息更容易浏览。理解和浏览产权组织网站以获取和查找相关数据并不总是那么容易。此外，有必要对联合培训活动的交付进行微调。</w:t>
      </w:r>
    </w:p>
    <w:p w14:paraId="64B1A806" w14:textId="77777777" w:rsidR="00EA5678" w:rsidRPr="00E775A9" w:rsidRDefault="00215138" w:rsidP="0061224F">
      <w:pPr>
        <w:keepNext/>
        <w:overflowPunct w:val="0"/>
        <w:spacing w:beforeLines="100" w:before="240" w:afterLines="50" w:after="120" w:line="340" w:lineRule="atLeast"/>
        <w:rPr>
          <w:rFonts w:hAnsi="SimSun" w:cs="Arial"/>
          <w:b/>
          <w:color w:val="525252" w:themeColor="accent3" w:themeShade="80"/>
        </w:rPr>
      </w:pPr>
      <w:r w:rsidRPr="00E775A9">
        <w:rPr>
          <w:rFonts w:hAnsi="SimSun" w:cs="Arial" w:hint="eastAsia"/>
          <w:b/>
          <w:color w:val="525252" w:themeColor="accent3" w:themeShade="80"/>
        </w:rPr>
        <w:t>建议</w:t>
      </w:r>
    </w:p>
    <w:p w14:paraId="0E87EB50" w14:textId="77777777" w:rsidR="00EA5678" w:rsidRPr="00E775A9" w:rsidRDefault="00215138" w:rsidP="00473B72">
      <w:pPr>
        <w:pStyle w:val="ListParagraph"/>
        <w:numPr>
          <w:ilvl w:val="0"/>
          <w:numId w:val="19"/>
        </w:numPr>
        <w:spacing w:after="120"/>
        <w:ind w:left="1134" w:hanging="567"/>
        <w:rPr>
          <w:rFonts w:hAnsi="SimSun" w:cs="Arial"/>
        </w:rPr>
      </w:pPr>
      <w:r w:rsidRPr="00E775A9">
        <w:rPr>
          <w:rFonts w:hAnsi="SimSun" w:cs="Arial" w:hint="eastAsia"/>
        </w:rPr>
        <w:t>建议产权组织审查产权组织不同部门之间供公众使用的信息共享情况。产权组织可以为各个国家制定一份技术援助备选方案清单，并为外交官提供情况介绍会/入职培训课程。</w:t>
      </w:r>
    </w:p>
    <w:p w14:paraId="0F5B1C94" w14:textId="77777777" w:rsidR="00EA5678" w:rsidRPr="00E775A9" w:rsidRDefault="00215138" w:rsidP="00473B72">
      <w:pPr>
        <w:pStyle w:val="ListParagraph"/>
        <w:numPr>
          <w:ilvl w:val="0"/>
          <w:numId w:val="19"/>
        </w:numPr>
        <w:spacing w:after="120"/>
        <w:ind w:left="1134" w:hanging="567"/>
        <w:rPr>
          <w:rFonts w:hAnsi="SimSun" w:cs="Arial"/>
        </w:rPr>
      </w:pPr>
      <w:r w:rsidRPr="00E775A9">
        <w:rPr>
          <w:rFonts w:hAnsi="SimSun" w:cs="Arial" w:hint="eastAsia"/>
        </w:rPr>
        <w:t>为了促进产权组织不同领域培训培训师的能力建设，建议为讲师开发一门课程，包括公开演讲技巧和新的教学方法。此外，建议产权组织根据技术和沟通技能选择课程讲师。</w:t>
      </w:r>
    </w:p>
    <w:p w14:paraId="249D228B" w14:textId="3154FC41" w:rsidR="000C2E1C" w:rsidRDefault="00215138" w:rsidP="00473B72">
      <w:pPr>
        <w:pStyle w:val="ListParagraph"/>
        <w:numPr>
          <w:ilvl w:val="0"/>
          <w:numId w:val="19"/>
        </w:numPr>
        <w:spacing w:after="120"/>
        <w:ind w:left="1134" w:hanging="567"/>
        <w:rPr>
          <w:rFonts w:hAnsi="SimSun" w:cs="Arial"/>
        </w:rPr>
      </w:pPr>
      <w:r w:rsidRPr="00E775A9">
        <w:rPr>
          <w:rFonts w:hAnsi="SimSun" w:cs="Arial" w:hint="eastAsia"/>
        </w:rPr>
        <w:t>为了维持和加强伙伴关系，建议产权组织根据成员国确定的方向，加强与相关联合国机构在知识产权相关问题上的合作。</w:t>
      </w:r>
    </w:p>
    <w:p w14:paraId="245E093B" w14:textId="77777777" w:rsidR="000C2E1C" w:rsidRDefault="000C2E1C">
      <w:pPr>
        <w:spacing w:line="278" w:lineRule="auto"/>
        <w:rPr>
          <w:rFonts w:hAnsi="SimSun" w:cs="Arial"/>
        </w:rPr>
      </w:pPr>
      <w:r>
        <w:rPr>
          <w:rFonts w:hAnsi="SimSun" w:cs="Arial"/>
        </w:rPr>
        <w:br w:type="page"/>
      </w:r>
    </w:p>
    <w:p w14:paraId="5C9E9B33" w14:textId="628B53CD" w:rsidR="00EA5678" w:rsidRPr="00A23549" w:rsidRDefault="000C2E1C" w:rsidP="000C2E1C">
      <w:pPr>
        <w:pStyle w:val="Heading1"/>
        <w:spacing w:before="240" w:after="120"/>
        <w:rPr>
          <w:rFonts w:cstheme="majorBidi"/>
        </w:rPr>
      </w:pPr>
      <w:bookmarkStart w:id="6" w:name="_Toc177325685"/>
      <w:bookmarkStart w:id="7" w:name="_Toc177325045"/>
      <w:bookmarkStart w:id="8" w:name="_Toc177147501"/>
      <w:bookmarkStart w:id="9" w:name="_Toc177148411"/>
      <w:bookmarkStart w:id="10" w:name="_Toc177147500"/>
      <w:bookmarkStart w:id="11" w:name="_Toc177147199"/>
      <w:bookmarkStart w:id="12" w:name="_Toc177324885"/>
      <w:bookmarkStart w:id="13" w:name="_Toc177324727"/>
      <w:bookmarkStart w:id="14" w:name="_Toc177323077"/>
      <w:bookmarkStart w:id="15" w:name="_Toc177325043"/>
      <w:bookmarkStart w:id="16" w:name="_Toc177325520"/>
      <w:bookmarkStart w:id="17" w:name="_Toc177147044"/>
      <w:bookmarkStart w:id="18" w:name="_Toc177324884"/>
      <w:bookmarkStart w:id="19" w:name="_Toc177325361"/>
      <w:bookmarkStart w:id="20" w:name="_Toc177325202"/>
      <w:bookmarkStart w:id="21" w:name="_Toc177148409"/>
      <w:bookmarkStart w:id="22" w:name="_Toc177148410"/>
      <w:bookmarkStart w:id="23" w:name="_Toc177323075"/>
      <w:bookmarkStart w:id="24" w:name="_Toc177151912"/>
      <w:bookmarkStart w:id="25" w:name="_Toc177147350"/>
      <w:bookmarkStart w:id="26" w:name="_Toc177325044"/>
      <w:bookmarkStart w:id="27" w:name="_Toc177147502"/>
      <w:bookmarkStart w:id="28" w:name="_Toc177147046"/>
      <w:bookmarkStart w:id="29" w:name="_Toc177147201"/>
      <w:bookmarkStart w:id="30" w:name="_Toc177325203"/>
      <w:bookmarkStart w:id="31" w:name="_Toc177325851"/>
      <w:bookmarkStart w:id="32" w:name="_Toc177325521"/>
      <w:bookmarkStart w:id="33" w:name="_Toc177147503"/>
      <w:bookmarkStart w:id="34" w:name="_Toc177325850"/>
      <w:bookmarkStart w:id="35" w:name="_Toc177325686"/>
      <w:bookmarkStart w:id="36" w:name="_Toc177147048"/>
      <w:bookmarkStart w:id="37" w:name="_Toc177323078"/>
      <w:bookmarkStart w:id="38" w:name="_Toc177147198"/>
      <w:bookmarkStart w:id="39" w:name="_Toc177324725"/>
      <w:bookmarkStart w:id="40" w:name="_Toc177147043"/>
      <w:bookmarkStart w:id="41" w:name="_Toc177151917"/>
      <w:bookmarkStart w:id="42" w:name="_Toc177147202"/>
      <w:bookmarkStart w:id="43" w:name="_Toc177325204"/>
      <w:bookmarkStart w:id="44" w:name="_Toc177325852"/>
      <w:bookmarkStart w:id="45" w:name="_Toc177147045"/>
      <w:bookmarkStart w:id="46" w:name="_Toc177325362"/>
      <w:bookmarkStart w:id="47" w:name="_Toc177148412"/>
      <w:bookmarkStart w:id="48" w:name="_Toc177324887"/>
      <w:bookmarkStart w:id="49" w:name="_Toc177148413"/>
      <w:bookmarkStart w:id="50" w:name="_Toc177325522"/>
      <w:bookmarkStart w:id="51" w:name="_Toc177325205"/>
      <w:bookmarkStart w:id="52" w:name="_Toc177325363"/>
      <w:bookmarkStart w:id="53" w:name="_Toc177325687"/>
      <w:bookmarkStart w:id="54" w:name="_Toc177147349"/>
      <w:bookmarkStart w:id="55" w:name="_Toc177151915"/>
      <w:bookmarkStart w:id="56" w:name="_Toc177147352"/>
      <w:bookmarkStart w:id="57" w:name="_Toc177148414"/>
      <w:bookmarkStart w:id="58" w:name="_Toc177151913"/>
      <w:bookmarkStart w:id="59" w:name="_Toc177147351"/>
      <w:bookmarkStart w:id="60" w:name="_Toc177323079"/>
      <w:bookmarkStart w:id="61" w:name="_Toc177325364"/>
      <w:bookmarkStart w:id="62" w:name="_Toc177151918"/>
      <w:bookmarkStart w:id="63" w:name="_Toc177147200"/>
      <w:bookmarkStart w:id="64" w:name="_Toc177325523"/>
      <w:bookmarkStart w:id="65" w:name="_Toc177324729"/>
      <w:bookmarkStart w:id="66" w:name="_Toc177147047"/>
      <w:bookmarkStart w:id="67" w:name="_Toc177324889"/>
      <w:bookmarkStart w:id="68" w:name="_Toc177325856"/>
      <w:bookmarkStart w:id="69" w:name="_Toc177325525"/>
      <w:bookmarkStart w:id="70" w:name="_Toc177325524"/>
      <w:bookmarkStart w:id="71" w:name="_Toc177325854"/>
      <w:bookmarkStart w:id="72" w:name="_Toc177325049"/>
      <w:bookmarkStart w:id="73" w:name="_Toc177147197"/>
      <w:bookmarkStart w:id="74" w:name="_Toc177148415"/>
      <w:bookmarkStart w:id="75" w:name="_Toc177324731"/>
      <w:bookmarkStart w:id="76" w:name="_Toc177324886"/>
      <w:bookmarkStart w:id="77" w:name="_Toc177151919"/>
      <w:bookmarkStart w:id="78" w:name="_Toc177147356"/>
      <w:bookmarkStart w:id="79" w:name="_Toc177151914"/>
      <w:bookmarkStart w:id="80" w:name="_Toc177324728"/>
      <w:bookmarkStart w:id="81" w:name="_Toc177147354"/>
      <w:bookmarkStart w:id="82" w:name="_Toc177147353"/>
      <w:bookmarkStart w:id="83" w:name="_Toc177323076"/>
      <w:bookmarkStart w:id="84" w:name="_Toc177324730"/>
      <w:bookmarkStart w:id="85" w:name="_Toc177325689"/>
      <w:bookmarkStart w:id="86" w:name="_Toc177147355"/>
      <w:bookmarkStart w:id="87" w:name="_Toc177324726"/>
      <w:bookmarkStart w:id="88" w:name="_Toc177325855"/>
      <w:bookmarkStart w:id="89" w:name="_Toc177151916"/>
      <w:bookmarkStart w:id="90" w:name="_Toc177147504"/>
      <w:bookmarkStart w:id="91" w:name="_Toc177147203"/>
      <w:bookmarkStart w:id="92" w:name="_Toc177325206"/>
      <w:bookmarkStart w:id="93" w:name="_Toc177325051"/>
      <w:bookmarkStart w:id="94" w:name="_Toc177147505"/>
      <w:bookmarkStart w:id="95" w:name="_Toc177325052"/>
      <w:bookmarkStart w:id="96" w:name="_Toc177325047"/>
      <w:bookmarkStart w:id="97" w:name="_Toc177147507"/>
      <w:bookmarkStart w:id="98" w:name="_Toc177147508"/>
      <w:bookmarkStart w:id="99" w:name="_Toc177325367"/>
      <w:bookmarkStart w:id="100" w:name="_Toc177325365"/>
      <w:bookmarkStart w:id="101" w:name="_Toc177147509"/>
      <w:bookmarkStart w:id="102" w:name="_Toc177324888"/>
      <w:bookmarkStart w:id="103" w:name="_Toc177323083"/>
      <w:bookmarkStart w:id="104" w:name="_Toc177147506"/>
      <w:bookmarkStart w:id="105" w:name="_Toc177325366"/>
      <w:bookmarkStart w:id="106" w:name="_Toc177324733"/>
      <w:bookmarkStart w:id="107" w:name="_Toc177323080"/>
      <w:bookmarkStart w:id="108" w:name="_Toc177324890"/>
      <w:bookmarkStart w:id="109" w:name="_Toc177323081"/>
      <w:bookmarkStart w:id="110" w:name="_Toc177147204"/>
      <w:bookmarkStart w:id="111" w:name="_Toc177324734"/>
      <w:bookmarkStart w:id="112" w:name="_Toc177324891"/>
      <w:bookmarkStart w:id="113" w:name="_Toc177323084"/>
      <w:bookmarkStart w:id="114" w:name="_Toc177324732"/>
      <w:bookmarkStart w:id="115" w:name="_Toc177151920"/>
      <w:bookmarkStart w:id="116" w:name="_Toc177147357"/>
      <w:bookmarkStart w:id="117" w:name="_Toc177325050"/>
      <w:bookmarkStart w:id="118" w:name="_Toc177325688"/>
      <w:bookmarkStart w:id="119" w:name="_Toc177147049"/>
      <w:bookmarkStart w:id="120" w:name="_Toc177325527"/>
      <w:bookmarkStart w:id="121" w:name="_Toc177147050"/>
      <w:bookmarkStart w:id="122" w:name="_Toc177325691"/>
      <w:bookmarkStart w:id="123" w:name="_Toc177325690"/>
      <w:bookmarkStart w:id="124" w:name="_Toc177325048"/>
      <w:bookmarkStart w:id="125" w:name="_Toc177323086"/>
      <w:bookmarkStart w:id="126" w:name="_Toc177325208"/>
      <w:bookmarkStart w:id="127" w:name="_Toc177325209"/>
      <w:bookmarkStart w:id="128" w:name="_Toc177147358"/>
      <w:bookmarkStart w:id="129" w:name="_Toc177324892"/>
      <w:bookmarkStart w:id="130" w:name="_Toc177325526"/>
      <w:bookmarkStart w:id="131" w:name="_Toc177147359"/>
      <w:bookmarkStart w:id="132" w:name="_Toc177325858"/>
      <w:bookmarkStart w:id="133" w:name="_Toc177151922"/>
      <w:bookmarkStart w:id="134" w:name="_Toc177325694"/>
      <w:bookmarkStart w:id="135" w:name="_Toc177325213"/>
      <w:bookmarkStart w:id="136" w:name="_Toc177325210"/>
      <w:bookmarkStart w:id="137" w:name="_Toc177325370"/>
      <w:bookmarkStart w:id="138" w:name="_Toc177325528"/>
      <w:bookmarkStart w:id="139" w:name="_Toc177151921"/>
      <w:bookmarkStart w:id="140" w:name="_Toc177325853"/>
      <w:bookmarkStart w:id="141" w:name="_Toc177325368"/>
      <w:bookmarkStart w:id="142" w:name="_Toc177147206"/>
      <w:bookmarkStart w:id="143" w:name="_Toc177325046"/>
      <w:bookmarkStart w:id="144" w:name="_Toc177323082"/>
      <w:bookmarkStart w:id="145" w:name="_Toc177147510"/>
      <w:bookmarkStart w:id="146" w:name="_Toc177325529"/>
      <w:bookmarkStart w:id="147" w:name="_Toc177148417"/>
      <w:bookmarkStart w:id="148" w:name="_Toc177325693"/>
      <w:bookmarkStart w:id="149" w:name="_Toc177148416"/>
      <w:bookmarkStart w:id="150" w:name="_Toc177324735"/>
      <w:bookmarkStart w:id="151" w:name="_Toc177147360"/>
      <w:bookmarkStart w:id="152" w:name="_Toc177325207"/>
      <w:bookmarkStart w:id="153" w:name="_Toc177148418"/>
      <w:bookmarkStart w:id="154" w:name="_Toc177325859"/>
      <w:bookmarkStart w:id="155" w:name="_Toc177147205"/>
      <w:bookmarkStart w:id="156" w:name="_Toc177148420"/>
      <w:bookmarkStart w:id="157" w:name="_Toc177147055"/>
      <w:bookmarkStart w:id="158" w:name="_Toc177325372"/>
      <w:bookmarkStart w:id="159" w:name="_Toc177325532"/>
      <w:bookmarkStart w:id="160" w:name="_Toc177151923"/>
      <w:bookmarkStart w:id="161" w:name="_Toc177325861"/>
      <w:bookmarkStart w:id="162" w:name="_Toc177325212"/>
      <w:bookmarkStart w:id="163" w:name="_Toc177325054"/>
      <w:bookmarkStart w:id="164" w:name="_Toc177147361"/>
      <w:bookmarkStart w:id="165" w:name="_Toc177325695"/>
      <w:bookmarkStart w:id="166" w:name="_Toc177147208"/>
      <w:bookmarkStart w:id="167" w:name="_Toc177325862"/>
      <w:bookmarkStart w:id="168" w:name="_Toc177147057"/>
      <w:bookmarkStart w:id="169" w:name="_Toc177324895"/>
      <w:bookmarkStart w:id="170" w:name="_Toc177325211"/>
      <w:bookmarkStart w:id="171" w:name="_Toc177147051"/>
      <w:bookmarkStart w:id="172" w:name="_Toc177325530"/>
      <w:bookmarkStart w:id="173" w:name="_Toc177148422"/>
      <w:bookmarkStart w:id="174" w:name="_Toc177148421"/>
      <w:bookmarkStart w:id="175" w:name="_Toc177148419"/>
      <w:bookmarkStart w:id="176" w:name="_Toc177147056"/>
      <w:bookmarkStart w:id="177" w:name="_Toc177325692"/>
      <w:bookmarkStart w:id="178" w:name="_Toc177324893"/>
      <w:bookmarkStart w:id="179" w:name="_Toc177324894"/>
      <w:bookmarkStart w:id="180" w:name="_Toc177147511"/>
      <w:bookmarkStart w:id="181" w:name="_Toc177325531"/>
      <w:bookmarkStart w:id="182" w:name="_Toc177147052"/>
      <w:bookmarkStart w:id="183" w:name="_Toc177147053"/>
      <w:bookmarkStart w:id="184" w:name="_Toc177325369"/>
      <w:bookmarkStart w:id="185" w:name="_Toc177325696"/>
      <w:bookmarkStart w:id="186" w:name="_Toc177325053"/>
      <w:bookmarkStart w:id="187" w:name="_Toc177323085"/>
      <w:bookmarkStart w:id="188" w:name="_Toc177325857"/>
      <w:bookmarkStart w:id="189" w:name="_Toc177323087"/>
      <w:bookmarkStart w:id="190" w:name="_Toc177147211"/>
      <w:bookmarkStart w:id="191" w:name="_Toc177325533"/>
      <w:bookmarkStart w:id="192" w:name="_Toc177147512"/>
      <w:bookmarkStart w:id="193" w:name="_Toc177147209"/>
      <w:bookmarkStart w:id="194" w:name="_Toc177151925"/>
      <w:bookmarkStart w:id="195" w:name="_Toc177325864"/>
      <w:bookmarkStart w:id="196" w:name="_Toc177148423"/>
      <w:bookmarkStart w:id="197" w:name="_Toc177324739"/>
      <w:bookmarkStart w:id="198" w:name="_Toc177325863"/>
      <w:bookmarkStart w:id="199" w:name="_Toc177325056"/>
      <w:bookmarkStart w:id="200" w:name="_Toc177325057"/>
      <w:bookmarkStart w:id="201" w:name="_Toc177324897"/>
      <w:bookmarkStart w:id="202" w:name="_Toc177324736"/>
      <w:bookmarkStart w:id="203" w:name="_Toc177325371"/>
      <w:bookmarkStart w:id="204" w:name="_Toc177147054"/>
      <w:bookmarkStart w:id="205" w:name="_Toc177325055"/>
      <w:bookmarkStart w:id="206" w:name="_Toc177325374"/>
      <w:bookmarkStart w:id="207" w:name="_Toc177325697"/>
      <w:bookmarkStart w:id="208" w:name="_Toc177324898"/>
      <w:bookmarkStart w:id="209" w:name="_Toc177147514"/>
      <w:bookmarkStart w:id="210" w:name="_Toc177325215"/>
      <w:bookmarkStart w:id="211" w:name="_Toc177324738"/>
      <w:bookmarkStart w:id="212" w:name="_Toc177325373"/>
      <w:bookmarkStart w:id="213" w:name="_Toc177147210"/>
      <w:bookmarkStart w:id="214" w:name="_Toc177324737"/>
      <w:bookmarkStart w:id="215" w:name="_Toc177147362"/>
      <w:bookmarkStart w:id="216" w:name="_Toc177147207"/>
      <w:bookmarkStart w:id="217" w:name="_Toc177324896"/>
      <w:bookmarkStart w:id="218" w:name="_Toc177325534"/>
      <w:bookmarkStart w:id="219" w:name="_Toc177323088"/>
      <w:bookmarkStart w:id="220" w:name="_Toc177147513"/>
      <w:bookmarkStart w:id="221" w:name="_Toc177147363"/>
      <w:bookmarkStart w:id="222" w:name="_Toc177323089"/>
      <w:bookmarkStart w:id="223" w:name="_Toc177325860"/>
      <w:bookmarkStart w:id="224" w:name="_Toc177325698"/>
      <w:bookmarkStart w:id="225" w:name="_Toc177325375"/>
      <w:bookmarkStart w:id="226" w:name="_Toc177151926"/>
      <w:bookmarkStart w:id="227" w:name="_Toc177325699"/>
      <w:bookmarkStart w:id="228" w:name="_Toc177151924"/>
      <w:bookmarkStart w:id="229" w:name="_Toc177325214"/>
      <w:bookmarkStart w:id="230" w:name="_Toc177325216"/>
      <w:bookmarkStart w:id="231" w:name="_Toc181695781"/>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r w:rsidRPr="00A23549">
        <w:rPr>
          <w:rFonts w:cstheme="majorBidi" w:hint="eastAsia"/>
        </w:rPr>
        <w:t>1.</w:t>
      </w:r>
      <w:r w:rsidRPr="00A23549">
        <w:rPr>
          <w:rFonts w:cstheme="majorBidi"/>
        </w:rPr>
        <w:tab/>
      </w:r>
      <w:r w:rsidR="00215138" w:rsidRPr="00A23549">
        <w:rPr>
          <w:rFonts w:cstheme="majorBidi" w:hint="eastAsia"/>
        </w:rPr>
        <w:t>导言</w:t>
      </w:r>
      <w:bookmarkEnd w:id="231"/>
    </w:p>
    <w:p w14:paraId="4BB4DC94" w14:textId="3A022011"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本报告讨论了对2017-2022年期间世界知识产权组织（产权组织）在合作促进发展领域开展的技术援助进行的审查的结果。在这一节中，报告介绍了审查的背景、目的和使用者。随后的第二和第三节介绍了干预措施和设计，阐述了使用的审查方式和方法。第四节按分析类别（相关性、连贯性、有效性、效率、可持续性和影响）介绍了各项审查结果。审查结果之后是第五节至第七节中的经验教训、结论和建议。审查组希望这项工作有助于改进产权组织在技术援助方面的交付，以期使知识产权更好地为成员国的发展服务。</w:t>
      </w:r>
    </w:p>
    <w:p w14:paraId="747EE690" w14:textId="436E00E3" w:rsidR="00EA5678" w:rsidRPr="00A23549" w:rsidRDefault="00D51005" w:rsidP="00D51005">
      <w:pPr>
        <w:pStyle w:val="Heading2"/>
        <w:spacing w:before="240" w:after="120"/>
        <w:rPr>
          <w:rFonts w:cstheme="majorBidi"/>
        </w:rPr>
      </w:pPr>
      <w:bookmarkStart w:id="232" w:name="_Toc181695782"/>
      <w:r w:rsidRPr="00A23549">
        <w:rPr>
          <w:rFonts w:cstheme="majorBidi" w:hint="eastAsia"/>
        </w:rPr>
        <w:t>1.1</w:t>
      </w:r>
      <w:r w:rsidRPr="00A23549">
        <w:rPr>
          <w:rFonts w:cstheme="majorBidi"/>
        </w:rPr>
        <w:tab/>
      </w:r>
      <w:r w:rsidR="00215138" w:rsidRPr="00A23549">
        <w:rPr>
          <w:rFonts w:cstheme="majorBidi" w:hint="eastAsia"/>
        </w:rPr>
        <w:t>背景</w:t>
      </w:r>
      <w:bookmarkEnd w:id="232"/>
    </w:p>
    <w:p w14:paraId="4360297C" w14:textId="0AFA64EC"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这是对2017-2022年期间产权组织在合作促进发展领域开展的技术援助进行的独立外部审查的报告。审查工作是根据发展与知识产权委员会（CDIP）在第三十届会议上的决定，以及根据文件</w:t>
      </w:r>
      <w:hyperlink r:id="rId11" w:history="1">
        <w:r w:rsidRPr="00E775A9">
          <w:rPr>
            <w:rFonts w:hAnsi="SimSun" w:cs="Arial" w:hint="eastAsia"/>
            <w:color w:val="000000"/>
          </w:rPr>
          <w:t>CDIP/30/3</w:t>
        </w:r>
      </w:hyperlink>
      <w:r w:rsidRPr="00E775A9">
        <w:rPr>
          <w:rFonts w:hAnsi="SimSun" w:cs="Arial" w:hint="eastAsia"/>
          <w:color w:val="000000"/>
        </w:rPr>
        <w:t>所载的职责范围进行的。本次审查是2011年审查的后续行动，后者所涉时间为2008-2010年。</w:t>
      </w:r>
    </w:p>
    <w:p w14:paraId="5B244799" w14:textId="3279E2A4"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自2011年审查以来，出现了若干新的发展，因此需要对产权组织在合作促进发展领域开展的技术援助进行此次独立外部审查。这些发展包括：</w:t>
      </w:r>
    </w:p>
    <w:p w14:paraId="19DB9259" w14:textId="77777777" w:rsidR="00EA5678" w:rsidRPr="00E775A9" w:rsidRDefault="00215138" w:rsidP="00D51005">
      <w:pPr>
        <w:numPr>
          <w:ilvl w:val="0"/>
          <w:numId w:val="23"/>
        </w:numPr>
        <w:overflowPunct w:val="0"/>
        <w:spacing w:afterLines="50" w:after="120" w:line="340" w:lineRule="atLeast"/>
        <w:ind w:left="1134" w:hanging="567"/>
        <w:jc w:val="both"/>
        <w:rPr>
          <w:rFonts w:hAnsi="SimSun" w:cs="Arial"/>
          <w:color w:val="000000"/>
        </w:rPr>
      </w:pPr>
      <w:r w:rsidRPr="00E775A9">
        <w:rPr>
          <w:rFonts w:hAnsi="SimSun" w:cs="Arial" w:hint="eastAsia"/>
          <w:color w:val="000000"/>
        </w:rPr>
        <w:t>联合国系统和相关国际组织内部机构间合作框架不断变化；</w:t>
      </w:r>
    </w:p>
    <w:p w14:paraId="178A2B0A" w14:textId="77777777" w:rsidR="00EA5678" w:rsidRPr="00E775A9" w:rsidRDefault="00215138" w:rsidP="00D51005">
      <w:pPr>
        <w:numPr>
          <w:ilvl w:val="0"/>
          <w:numId w:val="23"/>
        </w:numPr>
        <w:overflowPunct w:val="0"/>
        <w:spacing w:afterLines="50" w:after="120" w:line="340" w:lineRule="atLeast"/>
        <w:ind w:left="1134" w:hanging="567"/>
        <w:jc w:val="both"/>
        <w:rPr>
          <w:rFonts w:hAnsi="SimSun" w:cs="Arial"/>
          <w:color w:val="000000"/>
        </w:rPr>
      </w:pPr>
      <w:r w:rsidRPr="00E775A9">
        <w:rPr>
          <w:rFonts w:hAnsi="SimSun" w:cs="Arial" w:hint="eastAsia"/>
          <w:color w:val="000000"/>
        </w:rPr>
        <w:t>2015年通过并实施可持续发展目标，以及联合国可持续发展合作框架得到通过和实施；</w:t>
      </w:r>
    </w:p>
    <w:p w14:paraId="2AA1D5C8" w14:textId="77777777" w:rsidR="00EA5678" w:rsidRPr="00E775A9" w:rsidRDefault="00215138" w:rsidP="00D51005">
      <w:pPr>
        <w:numPr>
          <w:ilvl w:val="0"/>
          <w:numId w:val="23"/>
        </w:numPr>
        <w:overflowPunct w:val="0"/>
        <w:spacing w:afterLines="50" w:after="120" w:line="340" w:lineRule="atLeast"/>
        <w:ind w:left="1134" w:hanging="567"/>
        <w:jc w:val="both"/>
        <w:rPr>
          <w:rFonts w:hAnsi="SimSun" w:cs="Arial"/>
          <w:color w:val="000000"/>
        </w:rPr>
      </w:pPr>
      <w:r w:rsidRPr="00E775A9">
        <w:rPr>
          <w:rFonts w:hAnsi="SimSun" w:cs="Arial" w:hint="eastAsia"/>
          <w:color w:val="000000"/>
        </w:rPr>
        <w:t>创新生态系统的态势日益复杂和多样化；</w:t>
      </w:r>
    </w:p>
    <w:p w14:paraId="1D932782" w14:textId="77777777" w:rsidR="00EA5678" w:rsidRPr="00E775A9" w:rsidRDefault="00215138" w:rsidP="00D51005">
      <w:pPr>
        <w:numPr>
          <w:ilvl w:val="0"/>
          <w:numId w:val="23"/>
        </w:numPr>
        <w:overflowPunct w:val="0"/>
        <w:spacing w:afterLines="50" w:after="120" w:line="340" w:lineRule="atLeast"/>
        <w:ind w:left="1134" w:hanging="567"/>
        <w:jc w:val="both"/>
        <w:rPr>
          <w:rFonts w:hAnsi="SimSun" w:cs="Arial"/>
          <w:color w:val="000000"/>
        </w:rPr>
      </w:pPr>
      <w:r w:rsidRPr="00E775A9">
        <w:rPr>
          <w:rFonts w:hAnsi="SimSun" w:cs="Arial" w:hint="eastAsia"/>
          <w:color w:val="000000"/>
        </w:rPr>
        <w:t>数字转型的影响正在带来经济和社会变革，并且在开展技术援助活动中越来越多地使用到新的数字技术；</w:t>
      </w:r>
    </w:p>
    <w:p w14:paraId="315F7580" w14:textId="77777777" w:rsidR="00EA5678" w:rsidRPr="00E775A9" w:rsidRDefault="00215138" w:rsidP="00D51005">
      <w:pPr>
        <w:numPr>
          <w:ilvl w:val="0"/>
          <w:numId w:val="23"/>
        </w:numPr>
        <w:overflowPunct w:val="0"/>
        <w:spacing w:afterLines="50" w:after="120" w:line="340" w:lineRule="atLeast"/>
        <w:ind w:left="1134" w:hanging="567"/>
        <w:jc w:val="both"/>
        <w:rPr>
          <w:rFonts w:hAnsi="SimSun" w:cs="Arial"/>
          <w:color w:val="000000"/>
        </w:rPr>
      </w:pPr>
      <w:r w:rsidRPr="00E775A9">
        <w:rPr>
          <w:rFonts w:hAnsi="SimSun" w:cs="Arial" w:hint="eastAsia"/>
          <w:color w:val="000000"/>
        </w:rPr>
        <w:t>公共和私营部门的利益攸关方（如非政府组织、企业、高校和项目负责人）在知识产权事务中发挥的作用更加突出；以及</w:t>
      </w:r>
    </w:p>
    <w:p w14:paraId="362B9015" w14:textId="08F87331" w:rsidR="00EA5678" w:rsidRPr="00E775A9" w:rsidRDefault="00215138" w:rsidP="00D51005">
      <w:pPr>
        <w:numPr>
          <w:ilvl w:val="0"/>
          <w:numId w:val="23"/>
        </w:numPr>
        <w:overflowPunct w:val="0"/>
        <w:spacing w:afterLines="50" w:after="120" w:line="340" w:lineRule="atLeast"/>
        <w:ind w:left="1134" w:hanging="567"/>
        <w:jc w:val="both"/>
        <w:rPr>
          <w:rFonts w:hAnsi="SimSun" w:cs="Arial"/>
          <w:color w:val="000000"/>
        </w:rPr>
      </w:pPr>
      <w:r w:rsidRPr="00E775A9">
        <w:rPr>
          <w:rFonts w:hAnsi="SimSun" w:cs="Arial" w:hint="eastAsia"/>
          <w:color w:val="000000"/>
        </w:rPr>
        <w:t>产权组织越来越多地参与先进技术和人工智能等新兴领域。</w:t>
      </w:r>
    </w:p>
    <w:p w14:paraId="404354A3" w14:textId="3E67C876"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技术援助是产权组织工作的基石。技术援助提供给各种利益攸关方，包括政府机构、知识产权权利人、成员国、学术界和私营部门等。</w:t>
      </w:r>
    </w:p>
    <w:p w14:paraId="7212D757" w14:textId="77777777"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如本次审查职责范围所示，在本次审查中，技术援助是指产权组织按以下支柱分类的活动：（a）国家知识产权政策和战略；（b）技术和行政基础设施（知识产权局、数据库等的解决方案）；（c）能力建设；（d）立法援助；（e）发展议程相关项目；以及（f）公私伙伴关系（多方利益攸关方平台）。</w:t>
      </w:r>
    </w:p>
    <w:p w14:paraId="57DC148C" w14:textId="2E823068"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虽然产权组织的大多数部门（如版权和创意产业部门、品牌和外观设计部门、专利和技术部门、全球挑战和伙伴关系部门、基础设施和平台部门，以及知识产权和创新生态系统部门）都提供技术援助，但是区域和国家发展部门及其五个区域司在提供技术援助和协调产权组织其他领域的工作方面发挥着至关重要的作用。</w:t>
      </w:r>
    </w:p>
    <w:p w14:paraId="310D2716" w14:textId="77777777"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产权组织的技术援助工作以2007年产权组织大会批准的发展议程框架为指导。45项建议涉及优先考虑技术援助和增加对合作促进发展提供的资金、促进知识产权文化、支持中小企业、使规范设置具有包容性、保护公有领域、促进技术转让、讨论信息与通信技术（ICT）、开展影响研究、提高治理透明度，以及使知识产权执法与发展目标保持一致。</w:t>
      </w:r>
    </w:p>
    <w:p w14:paraId="60A143DE" w14:textId="26B1AF67" w:rsidR="00EA5678" w:rsidRPr="00A23549" w:rsidRDefault="00D51005" w:rsidP="00D51005">
      <w:pPr>
        <w:pStyle w:val="Heading2"/>
        <w:spacing w:before="240" w:after="120"/>
        <w:rPr>
          <w:rFonts w:cstheme="majorBidi"/>
        </w:rPr>
      </w:pPr>
      <w:bookmarkStart w:id="233" w:name="_Toc181695783"/>
      <w:r w:rsidRPr="00A23549">
        <w:rPr>
          <w:rFonts w:cstheme="majorBidi" w:hint="eastAsia"/>
        </w:rPr>
        <w:t>1.2</w:t>
      </w:r>
      <w:r w:rsidRPr="00A23549">
        <w:rPr>
          <w:rFonts w:cstheme="majorBidi"/>
        </w:rPr>
        <w:tab/>
      </w:r>
      <w:r w:rsidR="00215138" w:rsidRPr="00A23549">
        <w:rPr>
          <w:rFonts w:cstheme="majorBidi" w:hint="eastAsia"/>
        </w:rPr>
        <w:t>目的</w:t>
      </w:r>
      <w:bookmarkEnd w:id="233"/>
    </w:p>
    <w:p w14:paraId="25B5836D" w14:textId="77777777"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本次审查的目的是就改进产权组织技术援助活动交付的方法提出建议，包括如何加强其注重成果的管理框架，以促进监测和评价这些活动对发展的影响，同时考虑到可持续发展目标（SDG）、产权组织2022-2026年中期战略计划和45项发展议程建议。</w:t>
      </w:r>
    </w:p>
    <w:p w14:paraId="3F7FB607" w14:textId="1EF3C46D"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更具体地说，本次审查在宏观层面评估了产权组织在合作促进发展领域开展的技术援助活动，衡量了这些活动的相关性、连贯性、有效性、效率、可持续性和影响。它还评估了现有的内部协调机制是否适合这些类型的活动，因为本次审查是在本组织按照高级管理层的新战略方向，运作和提供服务的方式发生重大变化时进行的。</w:t>
      </w:r>
    </w:p>
    <w:p w14:paraId="217704AF" w14:textId="3035D816" w:rsidR="00EA5678" w:rsidRPr="00A23549" w:rsidRDefault="00D51005" w:rsidP="00D51005">
      <w:pPr>
        <w:pStyle w:val="Heading2"/>
        <w:spacing w:before="240" w:after="120"/>
        <w:rPr>
          <w:rFonts w:cstheme="majorBidi"/>
          <w:b w:val="0"/>
        </w:rPr>
      </w:pPr>
      <w:bookmarkStart w:id="234" w:name="_Toc181695784"/>
      <w:r w:rsidRPr="00A23549">
        <w:rPr>
          <w:rFonts w:cstheme="majorBidi" w:hint="eastAsia"/>
        </w:rPr>
        <w:t>1.3</w:t>
      </w:r>
      <w:r w:rsidRPr="00A23549">
        <w:rPr>
          <w:rFonts w:cstheme="majorBidi"/>
        </w:rPr>
        <w:tab/>
      </w:r>
      <w:r w:rsidR="00215138" w:rsidRPr="00A23549">
        <w:rPr>
          <w:rFonts w:cstheme="majorBidi" w:hint="eastAsia"/>
        </w:rPr>
        <w:t>启动阶段</w:t>
      </w:r>
      <w:bookmarkEnd w:id="234"/>
    </w:p>
    <w:p w14:paraId="6DFB74C1" w14:textId="77777777"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在启动阶段，对来自产权组织不同部门和参与CDIP的成员国的利益攸关方进行了范围界定案头审查和12次访谈。这些访谈有助于指导活动、审查问题和选择案例研究。指导包括以下内容：a）需要清楚地了解基线、所做的工作及其影响；b）将各利益攸关方纳入审查：成员国、知识产权局负责人、顾问、外交界、非政府组织和捐助国，包括提供信托基金（FIT）的利益攸关方；c）考虑到自上次审查以来取得了许多积极进展。其中包括加强产权组织内部的合作，与其他联合国机构和来自不同部门的合作伙伴等组织共同取得成果，对注重成果的管理框架有更深刻的理解，对各方职责有更清晰的认识。</w:t>
      </w:r>
    </w:p>
    <w:p w14:paraId="62BAFF61" w14:textId="2F290D2D" w:rsidR="00EA5678" w:rsidRPr="00A23549" w:rsidRDefault="00D51005" w:rsidP="00D51005">
      <w:pPr>
        <w:pStyle w:val="Heading2"/>
        <w:spacing w:before="240" w:after="120"/>
        <w:rPr>
          <w:rFonts w:cstheme="majorBidi"/>
          <w:b w:val="0"/>
        </w:rPr>
      </w:pPr>
      <w:bookmarkStart w:id="235" w:name="_Toc181695785"/>
      <w:r w:rsidRPr="00A23549">
        <w:rPr>
          <w:rFonts w:cstheme="majorBidi" w:hint="eastAsia"/>
        </w:rPr>
        <w:t>1.4</w:t>
      </w:r>
      <w:r w:rsidRPr="00A23549">
        <w:rPr>
          <w:rFonts w:cstheme="majorBidi"/>
        </w:rPr>
        <w:tab/>
      </w:r>
      <w:r w:rsidR="00215138" w:rsidRPr="00A23549">
        <w:rPr>
          <w:rFonts w:cstheme="majorBidi" w:hint="eastAsia"/>
        </w:rPr>
        <w:t>范围和持续时间</w:t>
      </w:r>
      <w:bookmarkEnd w:id="235"/>
    </w:p>
    <w:p w14:paraId="3AE42267" w14:textId="77777777"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本次审查涵盖了产权组织从2017年至2022年在合作促进发展领域开展的技术援助活动。本次审查审议了所有产权组织相关部门通过各类活动提供的援助。它还审议了在所有地理区域开展的活动、在提供此类援助时建立和使用的工具和方法，以及因COVID-19大流行所导致的提供方法的转变。</w:t>
      </w:r>
    </w:p>
    <w:p w14:paraId="5D088E0D" w14:textId="77777777"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审查于2024年1月至9月进行。</w:t>
      </w:r>
    </w:p>
    <w:p w14:paraId="2C3E7140" w14:textId="6E7A4768" w:rsidR="00EA5678" w:rsidRPr="00A23549" w:rsidRDefault="00D51005" w:rsidP="00D51005">
      <w:pPr>
        <w:pStyle w:val="Heading2"/>
        <w:spacing w:before="240" w:after="120"/>
        <w:rPr>
          <w:rFonts w:cstheme="majorBidi"/>
        </w:rPr>
      </w:pPr>
      <w:bookmarkStart w:id="236" w:name="_Toc177324904"/>
      <w:bookmarkStart w:id="237" w:name="_Toc177324745"/>
      <w:bookmarkStart w:id="238" w:name="_Toc177325705"/>
      <w:bookmarkStart w:id="239" w:name="_Toc177151932"/>
      <w:bookmarkStart w:id="240" w:name="_Toc177325222"/>
      <w:bookmarkStart w:id="241" w:name="_Toc177325540"/>
      <w:bookmarkStart w:id="242" w:name="_Toc177325870"/>
      <w:bookmarkStart w:id="243" w:name="_Toc177323095"/>
      <w:bookmarkStart w:id="244" w:name="_Toc177325381"/>
      <w:bookmarkStart w:id="245" w:name="_Toc177325063"/>
      <w:bookmarkStart w:id="246" w:name="_Toc181695786"/>
      <w:bookmarkEnd w:id="236"/>
      <w:bookmarkEnd w:id="237"/>
      <w:bookmarkEnd w:id="238"/>
      <w:bookmarkEnd w:id="239"/>
      <w:bookmarkEnd w:id="240"/>
      <w:bookmarkEnd w:id="241"/>
      <w:bookmarkEnd w:id="242"/>
      <w:bookmarkEnd w:id="243"/>
      <w:bookmarkEnd w:id="244"/>
      <w:bookmarkEnd w:id="245"/>
      <w:r w:rsidRPr="00A23549">
        <w:rPr>
          <w:rFonts w:cstheme="majorBidi" w:hint="eastAsia"/>
        </w:rPr>
        <w:t>1.5</w:t>
      </w:r>
      <w:r w:rsidRPr="00A23549">
        <w:rPr>
          <w:rFonts w:cstheme="majorBidi"/>
        </w:rPr>
        <w:tab/>
      </w:r>
      <w:r w:rsidR="00215138" w:rsidRPr="00A23549">
        <w:rPr>
          <w:rFonts w:cstheme="majorBidi" w:hint="eastAsia"/>
        </w:rPr>
        <w:t>审查使用者</w:t>
      </w:r>
      <w:bookmarkEnd w:id="246"/>
    </w:p>
    <w:p w14:paraId="728B66A2" w14:textId="48D387FE"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本次审查的使用者主要是：1）成员国（知识产权局和相关部委）；2）产权组织工作人员；3）产权组织的实施伙伴。成员国将因了解产权组织在提供技术援助方面取得的成果和可能的改进方法而受益。产权组织工作人员将收到与其工作有关的外部反馈，以便思考如何提高技术援助活动的效率和有效性；产权组织的实施伙伴将更好地了解产权组织的附加值、内部挑战和战略方向，这将有助于其更好地制定与产权组织合作的战略，以最大限度地发挥影响力。此外，本次审查结果将用于帮助产权组织审查其技术援助议程及其在CDIP中的工作。</w:t>
      </w:r>
    </w:p>
    <w:p w14:paraId="68ED5281" w14:textId="57DEE46E" w:rsidR="00EA5678" w:rsidRPr="00A23549" w:rsidRDefault="000C2E1C" w:rsidP="000C2E1C">
      <w:pPr>
        <w:pStyle w:val="Heading1"/>
        <w:spacing w:before="240" w:after="120"/>
        <w:rPr>
          <w:rFonts w:cstheme="majorBidi"/>
        </w:rPr>
      </w:pPr>
      <w:bookmarkStart w:id="247" w:name="_Toc181695787"/>
      <w:bookmarkStart w:id="248" w:name="_Hlk173243479"/>
      <w:r w:rsidRPr="00A23549">
        <w:rPr>
          <w:rFonts w:cstheme="majorBidi" w:hint="eastAsia"/>
        </w:rPr>
        <w:t>2.</w:t>
      </w:r>
      <w:r w:rsidRPr="00A23549">
        <w:rPr>
          <w:rFonts w:cstheme="majorBidi"/>
        </w:rPr>
        <w:tab/>
      </w:r>
      <w:r w:rsidR="00215138" w:rsidRPr="00A23549">
        <w:rPr>
          <w:rFonts w:cstheme="majorBidi" w:hint="eastAsia"/>
        </w:rPr>
        <w:t>干预措施介绍</w:t>
      </w:r>
      <w:bookmarkEnd w:id="247"/>
    </w:p>
    <w:p w14:paraId="7383103A" w14:textId="09E538F5" w:rsidR="00EA5678" w:rsidRPr="00A23549" w:rsidRDefault="00862432" w:rsidP="00862432">
      <w:pPr>
        <w:pStyle w:val="Heading2"/>
        <w:spacing w:before="240" w:after="120"/>
        <w:rPr>
          <w:rFonts w:cstheme="majorBidi"/>
        </w:rPr>
      </w:pPr>
      <w:bookmarkStart w:id="249" w:name="_Toc181695788"/>
      <w:r w:rsidRPr="00A23549">
        <w:rPr>
          <w:rFonts w:cstheme="majorBidi" w:hint="eastAsia"/>
        </w:rPr>
        <w:t>2.1</w:t>
      </w:r>
      <w:r w:rsidRPr="00A23549">
        <w:rPr>
          <w:rFonts w:cstheme="majorBidi"/>
        </w:rPr>
        <w:tab/>
      </w:r>
      <w:r w:rsidR="00215138" w:rsidRPr="00A23549">
        <w:rPr>
          <w:rFonts w:cstheme="majorBidi" w:hint="eastAsia"/>
        </w:rPr>
        <w:t>概述</w:t>
      </w:r>
      <w:bookmarkEnd w:id="249"/>
    </w:p>
    <w:bookmarkEnd w:id="248"/>
    <w:p w14:paraId="06127A75" w14:textId="7614ECF1"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此次活动审查了产权组织在合作促进发展领域的技术援助，涵盖的范围非常大。为了更好地定义我们的研究对象，在启动阶段设计了一个变革理论，并将其用作活动的概念基础。在数据收集过程中，根据利益攸关方的建议进行了审查，并努力将职责范围中所述的技术援助支柱与当前注重成果的管理框架相结合。</w:t>
      </w:r>
    </w:p>
    <w:p w14:paraId="0DF097E0" w14:textId="59CB9968"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审查组认为，本次审查职责范围中提到的技术援助支柱有助于确定和规划整个组织的技术援助。然而，这些支柱并没有涵盖注重成果的管理框架中列出的所有相关技术援助战略和干预措施。有关干预措施和变革理论的完整介绍，参见</w:t>
      </w:r>
      <w:r>
        <w:rPr>
          <w:rFonts w:hAnsi="SimSun" w:cs="SimSun" w:hint="eastAsia"/>
          <w:color w:val="000000"/>
        </w:rPr>
        <w:t>“审查启动报告”</w:t>
      </w:r>
      <w:r w:rsidRPr="00E775A9">
        <w:rPr>
          <w:rFonts w:hAnsi="SimSun" w:cs="Arial" w:hint="eastAsia"/>
          <w:color w:val="000000"/>
        </w:rPr>
        <w:t>（</w:t>
      </w:r>
      <w:hyperlink r:id="rId12" w:history="1">
        <w:r w:rsidRPr="00E775A9">
          <w:rPr>
            <w:rStyle w:val="Hyperlink"/>
            <w:rFonts w:hAnsi="SimSun" w:cs="Arial" w:hint="eastAsia"/>
          </w:rPr>
          <w:t>文件CDIP/32/INC</w:t>
        </w:r>
      </w:hyperlink>
      <w:r w:rsidRPr="00E775A9">
        <w:rPr>
          <w:rFonts w:hAnsi="SimSun" w:cs="Arial" w:hint="eastAsia"/>
          <w:color w:val="000000"/>
        </w:rPr>
        <w:t>）。</w:t>
      </w:r>
    </w:p>
    <w:p w14:paraId="61FF16C8" w14:textId="02E753A4"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在启动阶段，还绘制了利益攸关方分布图。</w:t>
      </w:r>
    </w:p>
    <w:p w14:paraId="1219EF85" w14:textId="5644CFBD" w:rsidR="00EA5678" w:rsidRPr="00A23549" w:rsidRDefault="00862432" w:rsidP="00862432">
      <w:pPr>
        <w:pStyle w:val="Heading2"/>
        <w:spacing w:before="240" w:after="120"/>
        <w:rPr>
          <w:rFonts w:cstheme="majorBidi"/>
          <w:b w:val="0"/>
        </w:rPr>
      </w:pPr>
      <w:bookmarkStart w:id="250" w:name="_Toc181695789"/>
      <w:r w:rsidRPr="00A23549">
        <w:rPr>
          <w:rFonts w:cstheme="majorBidi" w:hint="eastAsia"/>
        </w:rPr>
        <w:t>2.2</w:t>
      </w:r>
      <w:r w:rsidRPr="00A23549">
        <w:rPr>
          <w:rFonts w:cstheme="majorBidi"/>
        </w:rPr>
        <w:tab/>
      </w:r>
      <w:r w:rsidR="00215138" w:rsidRPr="00A23549">
        <w:rPr>
          <w:rFonts w:cstheme="majorBidi" w:hint="eastAsia"/>
        </w:rPr>
        <w:t>针对技术援助资源分配</w:t>
      </w:r>
      <w:bookmarkEnd w:id="250"/>
    </w:p>
    <w:p w14:paraId="1C3D1EC5" w14:textId="3D144E5C" w:rsidR="00E93625" w:rsidRPr="00E775A9" w:rsidRDefault="00215138" w:rsidP="00C259B0">
      <w:pPr>
        <w:pStyle w:val="ListParagraph"/>
        <w:numPr>
          <w:ilvl w:val="0"/>
          <w:numId w:val="3"/>
        </w:numPr>
        <w:spacing w:after="120"/>
        <w:ind w:left="0" w:firstLine="0"/>
        <w:rPr>
          <w:rFonts w:hAnsi="SimSun" w:cs="Arial"/>
          <w:color w:val="2F5496" w:themeColor="accent1" w:themeShade="BF"/>
          <w:sz w:val="20"/>
          <w:szCs w:val="20"/>
        </w:rPr>
      </w:pPr>
      <w:bookmarkStart w:id="251" w:name="_heading=h.3dy6vkm" w:colFirst="0" w:colLast="0"/>
      <w:bookmarkEnd w:id="251"/>
      <w:r w:rsidRPr="00E775A9">
        <w:rPr>
          <w:rFonts w:hAnsi="SimSun" w:cs="Arial" w:hint="eastAsia"/>
          <w:color w:val="000000"/>
        </w:rPr>
        <w:t>产权组织称，</w:t>
      </w:r>
      <w:r w:rsidRPr="00E93625">
        <w:rPr>
          <w:rFonts w:hAnsi="SimSun" w:cs="SimSun" w:hint="eastAsia"/>
          <w:color w:val="000000"/>
        </w:rPr>
        <w:t>“当受益方是发展中国家，且没有用于发达国家（与过去的做法一致，包括经济转型国家）的类似支出时”，该支出才有资格称为“发展支出”</w:t>
      </w:r>
      <w:r w:rsidRPr="00E775A9">
        <w:rPr>
          <w:rFonts w:hAnsi="SimSun" w:cs="Arial" w:hint="eastAsia"/>
          <w:color w:val="000000"/>
        </w:rPr>
        <w:t>。</w:t>
      </w:r>
      <w:r w:rsidRPr="00E775A9">
        <w:rPr>
          <w:rStyle w:val="FootnoteReference"/>
          <w:rFonts w:hAnsi="SimSun" w:cs="Arial" w:hint="eastAsia"/>
          <w:color w:val="000000"/>
        </w:rPr>
        <w:footnoteReference w:id="1"/>
      </w:r>
      <w:r w:rsidRPr="00E775A9">
        <w:rPr>
          <w:rFonts w:hAnsi="SimSun" w:cs="Arial" w:hint="eastAsia"/>
          <w:color w:val="000000"/>
        </w:rPr>
        <w:t>根据产权组织2016-2023年期间的绩效报告，</w:t>
      </w:r>
      <w:r w:rsidRPr="00E775A9">
        <w:rPr>
          <w:rStyle w:val="FootnoteReference"/>
          <w:rFonts w:hAnsi="SimSun" w:cs="Arial" w:hint="eastAsia"/>
          <w:color w:val="000000"/>
        </w:rPr>
        <w:footnoteReference w:id="2"/>
      </w:r>
      <w:r w:rsidRPr="00E775A9">
        <w:rPr>
          <w:rFonts w:hAnsi="SimSun" w:cs="Arial" w:hint="eastAsia"/>
          <w:color w:val="000000"/>
        </w:rPr>
        <w:t>不同领域的发展支出总计529,864</w:t>
      </w:r>
      <w:r w:rsidR="00862432">
        <w:rPr>
          <w:rFonts w:hAnsi="SimSun" w:cs="Arial" w:hint="eastAsia"/>
        </w:rPr>
        <w:t>瑞郎</w:t>
      </w:r>
      <w:r w:rsidRPr="00E775A9">
        <w:rPr>
          <w:rFonts w:hAnsi="SimSun" w:cs="Arial" w:hint="eastAsia"/>
          <w:color w:val="000000"/>
        </w:rPr>
        <w:t>（以千</w:t>
      </w:r>
      <w:r w:rsidR="00862432">
        <w:rPr>
          <w:rFonts w:hAnsi="SimSun" w:cs="Arial" w:hint="eastAsia"/>
          <w:color w:val="000000"/>
        </w:rPr>
        <w:t>瑞郎</w:t>
      </w:r>
      <w:r w:rsidRPr="00E775A9">
        <w:rPr>
          <w:rFonts w:hAnsi="SimSun" w:cs="Arial" w:hint="eastAsia"/>
          <w:color w:val="000000"/>
        </w:rPr>
        <w:t>计），平均占产权组织该期总支出的18.7%。这些数字包括为发展议程项目分配的资源（见表1）。</w:t>
      </w:r>
      <w:bookmarkStart w:id="252" w:name="_Toc177325677"/>
    </w:p>
    <w:p w14:paraId="7AA74252" w14:textId="0A3188A6" w:rsidR="00EA5678" w:rsidRPr="00862432" w:rsidRDefault="00215138" w:rsidP="00FA22D5">
      <w:pPr>
        <w:spacing w:afterLines="50" w:after="120" w:line="340" w:lineRule="atLeast"/>
        <w:jc w:val="center"/>
        <w:rPr>
          <w:rFonts w:hAnsi="SimSun" w:cs="Arial"/>
          <w:color w:val="2F5496" w:themeColor="accent1" w:themeShade="BF"/>
          <w:sz w:val="20"/>
          <w:szCs w:val="20"/>
        </w:rPr>
      </w:pPr>
      <w:r w:rsidRPr="00862432">
        <w:rPr>
          <w:rFonts w:hAnsi="SimSun" w:cs="Arial" w:hint="eastAsia"/>
          <w:color w:val="2F5496" w:themeColor="accent1" w:themeShade="BF"/>
          <w:sz w:val="20"/>
          <w:szCs w:val="20"/>
        </w:rPr>
        <w:t>表</w:t>
      </w:r>
      <w:r w:rsidRPr="00862432">
        <w:rPr>
          <w:rFonts w:hAnsi="SimSun" w:cs="Arial" w:hint="eastAsia"/>
          <w:color w:val="2F5496" w:themeColor="accent1" w:themeShade="BF"/>
          <w:sz w:val="20"/>
          <w:szCs w:val="20"/>
        </w:rPr>
        <w:fldChar w:fldCharType="begin"/>
      </w:r>
      <w:r w:rsidRPr="00862432">
        <w:rPr>
          <w:rFonts w:hAnsi="SimSun" w:cs="Arial" w:hint="eastAsia"/>
          <w:color w:val="2F5496" w:themeColor="accent1" w:themeShade="BF"/>
          <w:sz w:val="20"/>
          <w:szCs w:val="20"/>
        </w:rPr>
        <w:instrText xml:space="preserve"> SEQ Table \* ARABIC </w:instrText>
      </w:r>
      <w:r w:rsidRPr="00862432">
        <w:rPr>
          <w:rFonts w:hAnsi="SimSun" w:cs="Arial" w:hint="eastAsia"/>
          <w:color w:val="2F5496" w:themeColor="accent1" w:themeShade="BF"/>
          <w:sz w:val="20"/>
          <w:szCs w:val="20"/>
        </w:rPr>
        <w:fldChar w:fldCharType="separate"/>
      </w:r>
      <w:r w:rsidR="00AA5A99">
        <w:rPr>
          <w:rFonts w:hAnsi="SimSun" w:cs="Arial"/>
          <w:noProof/>
          <w:color w:val="2F5496" w:themeColor="accent1" w:themeShade="BF"/>
          <w:sz w:val="20"/>
          <w:szCs w:val="20"/>
        </w:rPr>
        <w:t>1</w:t>
      </w:r>
      <w:r w:rsidRPr="00862432">
        <w:rPr>
          <w:rFonts w:hAnsi="SimSun" w:cs="Arial" w:hint="eastAsia"/>
          <w:color w:val="2F5496" w:themeColor="accent1" w:themeShade="BF"/>
          <w:sz w:val="20"/>
          <w:szCs w:val="20"/>
        </w:rPr>
        <w:fldChar w:fldCharType="end"/>
      </w:r>
      <w:r w:rsidRPr="00862432">
        <w:rPr>
          <w:rFonts w:hAnsi="SimSun" w:cs="Arial" w:hint="eastAsia"/>
          <w:color w:val="2F5496" w:themeColor="accent1" w:themeShade="BF"/>
          <w:sz w:val="20"/>
          <w:szCs w:val="20"/>
        </w:rPr>
        <w:t>.2016-2023年产权组织发展支出（单位：千</w:t>
      </w:r>
      <w:r w:rsidR="00862432">
        <w:rPr>
          <w:rFonts w:hAnsi="SimSun" w:cs="Arial" w:hint="eastAsia"/>
          <w:color w:val="2F5496" w:themeColor="accent1" w:themeShade="BF"/>
          <w:sz w:val="20"/>
          <w:szCs w:val="20"/>
        </w:rPr>
        <w:t>瑞郎</w:t>
      </w:r>
      <w:r w:rsidRPr="00862432">
        <w:rPr>
          <w:rFonts w:hAnsi="SimSun" w:cs="Arial" w:hint="eastAsia"/>
          <w:color w:val="2F5496" w:themeColor="accent1" w:themeShade="BF"/>
          <w:sz w:val="20"/>
          <w:szCs w:val="20"/>
        </w:rPr>
        <w:t>）</w:t>
      </w:r>
      <w:bookmarkEnd w:id="252"/>
    </w:p>
    <w:tbl>
      <w:tblPr>
        <w:tblStyle w:val="GridTable4-Accent11"/>
        <w:tblW w:w="8641" w:type="dxa"/>
        <w:jc w:val="center"/>
        <w:tblLayout w:type="fixed"/>
        <w:tblLook w:val="04A0" w:firstRow="1" w:lastRow="0" w:firstColumn="1" w:lastColumn="0" w:noHBand="0" w:noVBand="1"/>
      </w:tblPr>
      <w:tblGrid>
        <w:gridCol w:w="2263"/>
        <w:gridCol w:w="1594"/>
        <w:gridCol w:w="1595"/>
        <w:gridCol w:w="1594"/>
        <w:gridCol w:w="1595"/>
      </w:tblGrid>
      <w:tr w:rsidR="00EA5678" w:rsidRPr="00E775A9" w14:paraId="6C22AB89" w14:textId="77777777" w:rsidTr="00EA567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263" w:type="dxa"/>
          </w:tcPr>
          <w:p w14:paraId="7DA83A06" w14:textId="77777777" w:rsidR="00EA5678" w:rsidRPr="00E775A9" w:rsidRDefault="00215138" w:rsidP="00AB6093">
            <w:pPr>
              <w:pStyle w:val="ListParagraph"/>
              <w:spacing w:afterLines="0" w:after="0"/>
              <w:rPr>
                <w:rFonts w:hAnsi="SimSun" w:cs="Arial"/>
                <w:b w:val="0"/>
                <w:bCs w:val="0"/>
                <w:color w:val="000000"/>
                <w:lang w:eastAsia="zh-CN"/>
              </w:rPr>
            </w:pPr>
            <w:r w:rsidRPr="00E775A9">
              <w:rPr>
                <w:rFonts w:hAnsi="SimSun" w:cs="Arial" w:hint="eastAsia"/>
                <w:color w:val="000000"/>
                <w:lang w:eastAsia="zh-CN"/>
              </w:rPr>
              <w:t>支出</w:t>
            </w:r>
          </w:p>
        </w:tc>
        <w:tc>
          <w:tcPr>
            <w:tcW w:w="1594" w:type="dxa"/>
          </w:tcPr>
          <w:p w14:paraId="39C6EA4C" w14:textId="77777777" w:rsidR="00EA5678" w:rsidRPr="00E775A9" w:rsidRDefault="00215138" w:rsidP="00AB6093">
            <w:pPr>
              <w:pStyle w:val="ListParagraph"/>
              <w:spacing w:afterLines="0" w:after="0"/>
              <w:cnfStyle w:val="100000000000" w:firstRow="1" w:lastRow="0" w:firstColumn="0" w:lastColumn="0" w:oddVBand="0" w:evenVBand="0" w:oddHBand="0" w:evenHBand="0" w:firstRowFirstColumn="0" w:firstRowLastColumn="0" w:lastRowFirstColumn="0" w:lastRowLastColumn="0"/>
              <w:rPr>
                <w:rFonts w:hAnsi="SimSun" w:cs="Arial"/>
                <w:b w:val="0"/>
                <w:bCs w:val="0"/>
                <w:color w:val="000000"/>
                <w:lang w:eastAsia="zh-CN"/>
              </w:rPr>
            </w:pPr>
            <w:r w:rsidRPr="00E775A9">
              <w:rPr>
                <w:rFonts w:hAnsi="SimSun" w:cs="Arial" w:hint="eastAsia"/>
                <w:color w:val="000000"/>
                <w:lang w:eastAsia="zh-CN"/>
              </w:rPr>
              <w:t>2016/2017</w:t>
            </w:r>
          </w:p>
        </w:tc>
        <w:tc>
          <w:tcPr>
            <w:tcW w:w="1595" w:type="dxa"/>
          </w:tcPr>
          <w:p w14:paraId="1F1731AA" w14:textId="77777777" w:rsidR="00EA5678" w:rsidRPr="00E775A9" w:rsidRDefault="00215138" w:rsidP="00AB6093">
            <w:pPr>
              <w:pStyle w:val="ListParagraph"/>
              <w:spacing w:afterLines="0" w:after="0"/>
              <w:cnfStyle w:val="100000000000" w:firstRow="1" w:lastRow="0" w:firstColumn="0" w:lastColumn="0" w:oddVBand="0" w:evenVBand="0" w:oddHBand="0" w:evenHBand="0" w:firstRowFirstColumn="0" w:firstRowLastColumn="0" w:lastRowFirstColumn="0" w:lastRowLastColumn="0"/>
              <w:rPr>
                <w:rFonts w:hAnsi="SimSun" w:cs="Arial"/>
                <w:b w:val="0"/>
                <w:bCs w:val="0"/>
                <w:color w:val="000000"/>
                <w:lang w:eastAsia="zh-CN"/>
              </w:rPr>
            </w:pPr>
            <w:r w:rsidRPr="00E775A9">
              <w:rPr>
                <w:rFonts w:hAnsi="SimSun" w:cs="Arial" w:hint="eastAsia"/>
                <w:color w:val="000000"/>
                <w:lang w:eastAsia="zh-CN"/>
              </w:rPr>
              <w:t>2018/2019</w:t>
            </w:r>
          </w:p>
        </w:tc>
        <w:tc>
          <w:tcPr>
            <w:tcW w:w="1594" w:type="dxa"/>
          </w:tcPr>
          <w:p w14:paraId="57D9083E" w14:textId="77777777" w:rsidR="00EA5678" w:rsidRPr="00E775A9" w:rsidRDefault="00215138" w:rsidP="00AB6093">
            <w:pPr>
              <w:pStyle w:val="ListParagraph"/>
              <w:spacing w:afterLines="0" w:after="0"/>
              <w:cnfStyle w:val="100000000000" w:firstRow="1" w:lastRow="0" w:firstColumn="0" w:lastColumn="0" w:oddVBand="0" w:evenVBand="0" w:oddHBand="0" w:evenHBand="0" w:firstRowFirstColumn="0" w:firstRowLastColumn="0" w:lastRowFirstColumn="0" w:lastRowLastColumn="0"/>
              <w:rPr>
                <w:rFonts w:hAnsi="SimSun" w:cs="Arial"/>
                <w:b w:val="0"/>
                <w:bCs w:val="0"/>
                <w:color w:val="000000"/>
                <w:lang w:eastAsia="zh-CN"/>
              </w:rPr>
            </w:pPr>
            <w:r w:rsidRPr="00E775A9">
              <w:rPr>
                <w:rFonts w:hAnsi="SimSun" w:cs="Arial" w:hint="eastAsia"/>
                <w:color w:val="000000"/>
                <w:lang w:eastAsia="zh-CN"/>
              </w:rPr>
              <w:t>2020/2021</w:t>
            </w:r>
          </w:p>
        </w:tc>
        <w:tc>
          <w:tcPr>
            <w:tcW w:w="1595" w:type="dxa"/>
          </w:tcPr>
          <w:p w14:paraId="3C1E2949" w14:textId="77777777" w:rsidR="00EA5678" w:rsidRPr="00E775A9" w:rsidRDefault="00215138" w:rsidP="00AB6093">
            <w:pPr>
              <w:pStyle w:val="ListParagraph"/>
              <w:spacing w:afterLines="0" w:after="0"/>
              <w:cnfStyle w:val="100000000000" w:firstRow="1" w:lastRow="0" w:firstColumn="0" w:lastColumn="0" w:oddVBand="0" w:evenVBand="0" w:oddHBand="0" w:evenHBand="0" w:firstRowFirstColumn="0" w:firstRowLastColumn="0" w:lastRowFirstColumn="0" w:lastRowLastColumn="0"/>
              <w:rPr>
                <w:rFonts w:hAnsi="SimSun" w:cs="Arial"/>
                <w:b w:val="0"/>
                <w:bCs w:val="0"/>
                <w:color w:val="000000"/>
                <w:lang w:eastAsia="zh-CN"/>
              </w:rPr>
            </w:pPr>
            <w:r w:rsidRPr="00E775A9">
              <w:rPr>
                <w:rFonts w:hAnsi="SimSun" w:cs="Arial" w:hint="eastAsia"/>
                <w:color w:val="000000"/>
                <w:lang w:eastAsia="zh-CN"/>
              </w:rPr>
              <w:t>2022/2023</w:t>
            </w:r>
          </w:p>
        </w:tc>
      </w:tr>
      <w:tr w:rsidR="00EA5678" w:rsidRPr="00E775A9" w14:paraId="596DF004" w14:textId="77777777" w:rsidTr="00EA5678">
        <w:trPr>
          <w:jc w:val="center"/>
        </w:trPr>
        <w:tc>
          <w:tcPr>
            <w:cnfStyle w:val="001000000000" w:firstRow="0" w:lastRow="0" w:firstColumn="1" w:lastColumn="0" w:oddVBand="0" w:evenVBand="0" w:oddHBand="0" w:evenHBand="0" w:firstRowFirstColumn="0" w:firstRowLastColumn="0" w:lastRowFirstColumn="0" w:lastRowLastColumn="0"/>
            <w:tcW w:w="2263" w:type="dxa"/>
            <w:shd w:val="clear" w:color="auto" w:fill="D9E2F3" w:themeFill="accent1" w:themeFillTint="33"/>
          </w:tcPr>
          <w:p w14:paraId="091B94B1" w14:textId="77777777" w:rsidR="00EA5678" w:rsidRPr="00E775A9" w:rsidRDefault="00215138" w:rsidP="00AB6093">
            <w:pPr>
              <w:pStyle w:val="ListParagraph"/>
              <w:spacing w:afterLines="0" w:after="0"/>
              <w:rPr>
                <w:rFonts w:hAnsi="SimSun" w:cs="Arial"/>
                <w:b w:val="0"/>
                <w:bCs w:val="0"/>
                <w:color w:val="000000"/>
                <w:lang w:eastAsia="zh-CN"/>
              </w:rPr>
            </w:pPr>
            <w:r w:rsidRPr="00E775A9">
              <w:rPr>
                <w:rFonts w:hAnsi="SimSun" w:cs="Arial" w:hint="eastAsia"/>
                <w:color w:val="000000"/>
                <w:lang w:eastAsia="zh-CN"/>
              </w:rPr>
              <w:t>总支出</w:t>
            </w:r>
          </w:p>
        </w:tc>
        <w:tc>
          <w:tcPr>
            <w:tcW w:w="1594" w:type="dxa"/>
            <w:shd w:val="clear" w:color="auto" w:fill="D9E2F3" w:themeFill="accent1" w:themeFillTint="33"/>
          </w:tcPr>
          <w:p w14:paraId="02240FC3" w14:textId="77777777" w:rsidR="00EA5678" w:rsidRPr="00E775A9" w:rsidRDefault="00215138" w:rsidP="00AB609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color w:val="000000"/>
                <w:lang w:eastAsia="zh-CN"/>
              </w:rPr>
            </w:pPr>
            <w:r w:rsidRPr="00E775A9">
              <w:rPr>
                <w:rFonts w:hAnsi="SimSun" w:cs="Arial" w:hint="eastAsia"/>
                <w:color w:val="000000"/>
                <w:lang w:eastAsia="zh-CN"/>
              </w:rPr>
              <w:t>688,698</w:t>
            </w:r>
          </w:p>
        </w:tc>
        <w:tc>
          <w:tcPr>
            <w:tcW w:w="1595" w:type="dxa"/>
            <w:shd w:val="clear" w:color="auto" w:fill="D9E2F3" w:themeFill="accent1" w:themeFillTint="33"/>
          </w:tcPr>
          <w:p w14:paraId="3C7D6DED" w14:textId="77777777" w:rsidR="00EA5678" w:rsidRPr="00E775A9" w:rsidRDefault="00215138" w:rsidP="00AB609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color w:val="000000"/>
                <w:lang w:eastAsia="zh-CN"/>
              </w:rPr>
            </w:pPr>
            <w:r w:rsidRPr="00E775A9">
              <w:rPr>
                <w:rFonts w:hAnsi="SimSun" w:cs="Arial" w:hint="eastAsia"/>
                <w:color w:val="000000"/>
                <w:lang w:eastAsia="zh-CN"/>
              </w:rPr>
              <w:t>706,374</w:t>
            </w:r>
          </w:p>
        </w:tc>
        <w:tc>
          <w:tcPr>
            <w:tcW w:w="1594" w:type="dxa"/>
            <w:shd w:val="clear" w:color="auto" w:fill="D9E2F3" w:themeFill="accent1" w:themeFillTint="33"/>
          </w:tcPr>
          <w:p w14:paraId="32EEFEE2" w14:textId="77777777" w:rsidR="00EA5678" w:rsidRPr="00E775A9" w:rsidRDefault="00215138" w:rsidP="00AB609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color w:val="000000"/>
                <w:lang w:eastAsia="zh-CN"/>
              </w:rPr>
            </w:pPr>
            <w:r w:rsidRPr="00E775A9">
              <w:rPr>
                <w:rFonts w:hAnsi="SimSun" w:cs="Arial" w:hint="eastAsia"/>
                <w:color w:val="000000"/>
                <w:lang w:eastAsia="zh-CN"/>
              </w:rPr>
              <w:t>676,018</w:t>
            </w:r>
          </w:p>
        </w:tc>
        <w:tc>
          <w:tcPr>
            <w:tcW w:w="1595" w:type="dxa"/>
            <w:shd w:val="clear" w:color="auto" w:fill="D9E2F3" w:themeFill="accent1" w:themeFillTint="33"/>
          </w:tcPr>
          <w:p w14:paraId="15B4F028" w14:textId="77777777" w:rsidR="00EA5678" w:rsidRPr="00E775A9" w:rsidRDefault="00215138" w:rsidP="00AB609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color w:val="000000"/>
                <w:lang w:eastAsia="zh-CN"/>
              </w:rPr>
            </w:pPr>
            <w:r w:rsidRPr="00E775A9">
              <w:rPr>
                <w:rFonts w:hAnsi="SimSun" w:cs="Arial" w:hint="eastAsia"/>
                <w:color w:val="000000"/>
                <w:lang w:eastAsia="zh-CN"/>
              </w:rPr>
              <w:t>742,767</w:t>
            </w:r>
          </w:p>
        </w:tc>
      </w:tr>
      <w:tr w:rsidR="00EA5678" w:rsidRPr="00E775A9" w14:paraId="1A621754" w14:textId="77777777" w:rsidTr="00EA5678">
        <w:trPr>
          <w:jc w:val="center"/>
        </w:trPr>
        <w:tc>
          <w:tcPr>
            <w:cnfStyle w:val="001000000000" w:firstRow="0" w:lastRow="0" w:firstColumn="1" w:lastColumn="0" w:oddVBand="0" w:evenVBand="0" w:oddHBand="0" w:evenHBand="0" w:firstRowFirstColumn="0" w:firstRowLastColumn="0" w:lastRowFirstColumn="0" w:lastRowLastColumn="0"/>
            <w:tcW w:w="2263" w:type="dxa"/>
          </w:tcPr>
          <w:p w14:paraId="699DC036" w14:textId="77777777" w:rsidR="00EA5678" w:rsidRPr="00E775A9" w:rsidRDefault="00215138" w:rsidP="00AB6093">
            <w:pPr>
              <w:pStyle w:val="ListParagraph"/>
              <w:spacing w:afterLines="0" w:after="0"/>
              <w:rPr>
                <w:rFonts w:hAnsi="SimSun" w:cs="Arial"/>
                <w:b w:val="0"/>
                <w:bCs w:val="0"/>
                <w:color w:val="000000"/>
                <w:lang w:eastAsia="zh-CN"/>
              </w:rPr>
            </w:pPr>
            <w:r w:rsidRPr="00E775A9">
              <w:rPr>
                <w:rFonts w:hAnsi="SimSun" w:cs="Arial" w:hint="eastAsia"/>
                <w:color w:val="000000"/>
                <w:lang w:eastAsia="zh-CN"/>
              </w:rPr>
              <w:t>总发展支出</w:t>
            </w:r>
          </w:p>
        </w:tc>
        <w:tc>
          <w:tcPr>
            <w:tcW w:w="1594" w:type="dxa"/>
          </w:tcPr>
          <w:p w14:paraId="63E3D3FF" w14:textId="77777777" w:rsidR="00EA5678" w:rsidRPr="00E775A9" w:rsidRDefault="00215138" w:rsidP="00AB609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color w:val="000000"/>
                <w:lang w:eastAsia="zh-CN"/>
              </w:rPr>
            </w:pPr>
            <w:r w:rsidRPr="00E775A9">
              <w:rPr>
                <w:rFonts w:hAnsi="SimSun" w:cs="Arial" w:hint="eastAsia"/>
                <w:color w:val="000000"/>
                <w:lang w:eastAsia="zh-CN"/>
              </w:rPr>
              <w:t>141,893</w:t>
            </w:r>
          </w:p>
        </w:tc>
        <w:tc>
          <w:tcPr>
            <w:tcW w:w="1595" w:type="dxa"/>
          </w:tcPr>
          <w:p w14:paraId="3648CB8F" w14:textId="77777777" w:rsidR="00EA5678" w:rsidRPr="00E775A9" w:rsidRDefault="00215138" w:rsidP="00AB609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color w:val="000000"/>
                <w:lang w:eastAsia="zh-CN"/>
              </w:rPr>
            </w:pPr>
            <w:r w:rsidRPr="00E775A9">
              <w:rPr>
                <w:rFonts w:hAnsi="SimSun" w:cs="Arial" w:hint="eastAsia"/>
                <w:color w:val="000000"/>
                <w:lang w:eastAsia="zh-CN"/>
              </w:rPr>
              <w:t>127,004</w:t>
            </w:r>
          </w:p>
        </w:tc>
        <w:tc>
          <w:tcPr>
            <w:tcW w:w="1594" w:type="dxa"/>
          </w:tcPr>
          <w:p w14:paraId="21B5F256" w14:textId="77777777" w:rsidR="00EA5678" w:rsidRPr="00E775A9" w:rsidRDefault="00215138" w:rsidP="00AB609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color w:val="000000"/>
                <w:lang w:eastAsia="zh-CN"/>
              </w:rPr>
            </w:pPr>
            <w:r w:rsidRPr="00E775A9">
              <w:rPr>
                <w:rFonts w:hAnsi="SimSun" w:cs="Arial" w:hint="eastAsia"/>
                <w:color w:val="000000"/>
                <w:lang w:eastAsia="zh-CN"/>
              </w:rPr>
              <w:t>114,991</w:t>
            </w:r>
          </w:p>
        </w:tc>
        <w:tc>
          <w:tcPr>
            <w:tcW w:w="1595" w:type="dxa"/>
          </w:tcPr>
          <w:p w14:paraId="5C1E885C" w14:textId="77777777" w:rsidR="00EA5678" w:rsidRPr="00E775A9" w:rsidRDefault="00215138" w:rsidP="00AB609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color w:val="000000"/>
                <w:lang w:eastAsia="zh-CN"/>
              </w:rPr>
            </w:pPr>
            <w:r w:rsidRPr="00E775A9">
              <w:rPr>
                <w:rFonts w:hAnsi="SimSun" w:cs="Arial" w:hint="eastAsia"/>
                <w:color w:val="000000"/>
                <w:lang w:eastAsia="zh-CN"/>
              </w:rPr>
              <w:t>145,976</w:t>
            </w:r>
          </w:p>
        </w:tc>
      </w:tr>
      <w:tr w:rsidR="00EA5678" w:rsidRPr="00E775A9" w14:paraId="7CB1B46A" w14:textId="77777777" w:rsidTr="00EA5678">
        <w:trPr>
          <w:jc w:val="center"/>
        </w:trPr>
        <w:tc>
          <w:tcPr>
            <w:cnfStyle w:val="001000000000" w:firstRow="0" w:lastRow="0" w:firstColumn="1" w:lastColumn="0" w:oddVBand="0" w:evenVBand="0" w:oddHBand="0" w:evenHBand="0" w:firstRowFirstColumn="0" w:firstRowLastColumn="0" w:lastRowFirstColumn="0" w:lastRowLastColumn="0"/>
            <w:tcW w:w="2263" w:type="dxa"/>
            <w:shd w:val="clear" w:color="auto" w:fill="D9E2F3" w:themeFill="accent1" w:themeFillTint="33"/>
          </w:tcPr>
          <w:p w14:paraId="4025A631" w14:textId="77777777" w:rsidR="00EA5678" w:rsidRPr="00E775A9" w:rsidRDefault="00215138" w:rsidP="00AB6093">
            <w:pPr>
              <w:pStyle w:val="ListParagraph"/>
              <w:spacing w:afterLines="0" w:after="0"/>
              <w:rPr>
                <w:rFonts w:hAnsi="SimSun" w:cs="Arial"/>
                <w:b w:val="0"/>
                <w:bCs w:val="0"/>
                <w:color w:val="000000"/>
                <w:lang w:eastAsia="zh-CN"/>
              </w:rPr>
            </w:pPr>
            <w:r w:rsidRPr="00E775A9">
              <w:rPr>
                <w:rFonts w:hAnsi="SimSun" w:cs="Arial" w:hint="eastAsia"/>
                <w:color w:val="000000"/>
                <w:lang w:eastAsia="zh-CN"/>
              </w:rPr>
              <w:t>发展支出在总预算中占比</w:t>
            </w:r>
          </w:p>
        </w:tc>
        <w:tc>
          <w:tcPr>
            <w:tcW w:w="1594" w:type="dxa"/>
            <w:shd w:val="clear" w:color="auto" w:fill="D9E2F3" w:themeFill="accent1" w:themeFillTint="33"/>
          </w:tcPr>
          <w:p w14:paraId="7F6573DF" w14:textId="77777777" w:rsidR="00EA5678" w:rsidRPr="00E775A9" w:rsidRDefault="00215138" w:rsidP="00AB609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color w:val="000000"/>
                <w:lang w:eastAsia="zh-CN"/>
              </w:rPr>
            </w:pPr>
            <w:r w:rsidRPr="00E775A9">
              <w:rPr>
                <w:rFonts w:hAnsi="SimSun" w:cs="Arial" w:hint="eastAsia"/>
                <w:color w:val="000000"/>
                <w:lang w:eastAsia="zh-CN"/>
              </w:rPr>
              <w:t>20.6%</w:t>
            </w:r>
          </w:p>
        </w:tc>
        <w:tc>
          <w:tcPr>
            <w:tcW w:w="1595" w:type="dxa"/>
            <w:shd w:val="clear" w:color="auto" w:fill="D9E2F3" w:themeFill="accent1" w:themeFillTint="33"/>
          </w:tcPr>
          <w:p w14:paraId="721B3C8D" w14:textId="77777777" w:rsidR="00EA5678" w:rsidRPr="00E775A9" w:rsidRDefault="00215138" w:rsidP="00AB609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color w:val="000000"/>
                <w:lang w:eastAsia="zh-CN"/>
              </w:rPr>
            </w:pPr>
            <w:r w:rsidRPr="00E775A9">
              <w:rPr>
                <w:rFonts w:hAnsi="SimSun" w:cs="Arial" w:hint="eastAsia"/>
                <w:color w:val="000000"/>
                <w:lang w:eastAsia="zh-CN"/>
              </w:rPr>
              <w:t>17.9%</w:t>
            </w:r>
          </w:p>
        </w:tc>
        <w:tc>
          <w:tcPr>
            <w:tcW w:w="1594" w:type="dxa"/>
            <w:shd w:val="clear" w:color="auto" w:fill="D9E2F3" w:themeFill="accent1" w:themeFillTint="33"/>
          </w:tcPr>
          <w:p w14:paraId="19EEE7E2" w14:textId="77777777" w:rsidR="00EA5678" w:rsidRPr="00E775A9" w:rsidRDefault="00215138" w:rsidP="00AB609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color w:val="000000"/>
                <w:lang w:eastAsia="zh-CN"/>
              </w:rPr>
            </w:pPr>
            <w:r w:rsidRPr="00E775A9">
              <w:rPr>
                <w:rFonts w:hAnsi="SimSun" w:cs="Arial" w:hint="eastAsia"/>
                <w:color w:val="000000"/>
                <w:lang w:eastAsia="zh-CN"/>
              </w:rPr>
              <w:t>17%</w:t>
            </w:r>
          </w:p>
        </w:tc>
        <w:tc>
          <w:tcPr>
            <w:tcW w:w="1595" w:type="dxa"/>
            <w:shd w:val="clear" w:color="auto" w:fill="D9E2F3" w:themeFill="accent1" w:themeFillTint="33"/>
          </w:tcPr>
          <w:p w14:paraId="7D4289E9" w14:textId="77777777" w:rsidR="00EA5678" w:rsidRPr="00E775A9" w:rsidRDefault="00215138" w:rsidP="00AB609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color w:val="000000"/>
                <w:lang w:eastAsia="zh-CN"/>
              </w:rPr>
            </w:pPr>
            <w:r w:rsidRPr="00E775A9">
              <w:rPr>
                <w:rFonts w:hAnsi="SimSun" w:cs="Arial" w:hint="eastAsia"/>
                <w:color w:val="000000"/>
                <w:lang w:eastAsia="zh-CN"/>
              </w:rPr>
              <w:t>19.6%</w:t>
            </w:r>
          </w:p>
        </w:tc>
      </w:tr>
    </w:tbl>
    <w:p w14:paraId="4863419D" w14:textId="77777777" w:rsidR="00EA5678" w:rsidRPr="00E775A9" w:rsidRDefault="00215138" w:rsidP="00AB6093">
      <w:pPr>
        <w:pStyle w:val="ListParagraph"/>
        <w:spacing w:after="120" w:line="240" w:lineRule="auto"/>
        <w:ind w:left="340"/>
        <w:rPr>
          <w:rFonts w:hAnsi="SimSun" w:cs="Arial"/>
          <w:color w:val="000000"/>
          <w:sz w:val="20"/>
          <w:szCs w:val="20"/>
        </w:rPr>
      </w:pPr>
      <w:r w:rsidRPr="00E775A9">
        <w:rPr>
          <w:rFonts w:hAnsi="SimSun" w:cs="Arial" w:hint="eastAsia"/>
          <w:color w:val="000000"/>
          <w:sz w:val="20"/>
          <w:szCs w:val="20"/>
        </w:rPr>
        <w:t>来源：2016/17年、2018/19年、2020/2021年、2022/2023年产权组织绩效报告。</w:t>
      </w:r>
    </w:p>
    <w:p w14:paraId="22D90EA9" w14:textId="3A4ACB04"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在产权组织内部，主要收入来源是通过《专利合作条约》（PCT）、《马德里协定》、《海牙协定》和《里斯本协定》产生的服务费。这些收入占总收入的95%以上。其余5%来自成员国的捐款，包括信托基金。表2显示，在审议期间，信托基金项下用于合作促进发展的总金额为53,308,263.62</w:t>
      </w:r>
      <w:r w:rsidR="00862432">
        <w:rPr>
          <w:rFonts w:hAnsi="SimSun" w:cs="Arial" w:hint="eastAsia"/>
        </w:rPr>
        <w:t>瑞郎</w:t>
      </w:r>
      <w:r w:rsidRPr="00E775A9">
        <w:rPr>
          <w:rFonts w:hAnsi="SimSun" w:cs="Arial" w:hint="eastAsia"/>
          <w:color w:val="000000"/>
        </w:rPr>
        <w:t>。</w:t>
      </w:r>
    </w:p>
    <w:p w14:paraId="7C142F13" w14:textId="7AF5AED2" w:rsidR="00EA5678" w:rsidRPr="00E775A9" w:rsidRDefault="00215138" w:rsidP="00FA22D5">
      <w:pPr>
        <w:spacing w:afterLines="50" w:after="120" w:line="340" w:lineRule="atLeast"/>
        <w:jc w:val="center"/>
        <w:rPr>
          <w:rFonts w:hAnsi="SimSun" w:cs="Arial"/>
          <w:color w:val="2F5496" w:themeColor="accent1" w:themeShade="BF"/>
          <w:sz w:val="20"/>
          <w:szCs w:val="20"/>
        </w:rPr>
      </w:pPr>
      <w:bookmarkStart w:id="253" w:name="_Toc177325678"/>
      <w:r w:rsidRPr="00E775A9">
        <w:rPr>
          <w:rFonts w:hAnsi="SimSun" w:cs="Arial" w:hint="eastAsia"/>
          <w:color w:val="2F5496" w:themeColor="accent1" w:themeShade="BF"/>
          <w:sz w:val="20"/>
          <w:szCs w:val="20"/>
        </w:rPr>
        <w:t>表</w:t>
      </w:r>
      <w:r w:rsidRPr="00E775A9">
        <w:rPr>
          <w:rFonts w:hAnsi="SimSun" w:cs="Arial" w:hint="eastAsia"/>
          <w:color w:val="2F5496" w:themeColor="accent1" w:themeShade="BF"/>
          <w:sz w:val="20"/>
          <w:szCs w:val="20"/>
        </w:rPr>
        <w:fldChar w:fldCharType="begin"/>
      </w:r>
      <w:r w:rsidRPr="00E775A9">
        <w:rPr>
          <w:rFonts w:hAnsi="SimSun" w:cs="Arial" w:hint="eastAsia"/>
          <w:color w:val="2F5496" w:themeColor="accent1" w:themeShade="BF"/>
          <w:sz w:val="20"/>
          <w:szCs w:val="20"/>
        </w:rPr>
        <w:instrText xml:space="preserve"> SEQ Table \* ARABIC </w:instrText>
      </w:r>
      <w:r w:rsidRPr="00E775A9">
        <w:rPr>
          <w:rFonts w:hAnsi="SimSun" w:cs="Arial" w:hint="eastAsia"/>
          <w:color w:val="2F5496" w:themeColor="accent1" w:themeShade="BF"/>
          <w:sz w:val="20"/>
          <w:szCs w:val="20"/>
        </w:rPr>
        <w:fldChar w:fldCharType="separate"/>
      </w:r>
      <w:r w:rsidR="00AA5A99">
        <w:rPr>
          <w:rFonts w:hAnsi="SimSun" w:cs="Arial"/>
          <w:noProof/>
          <w:color w:val="2F5496" w:themeColor="accent1" w:themeShade="BF"/>
          <w:sz w:val="20"/>
          <w:szCs w:val="20"/>
        </w:rPr>
        <w:t>2</w:t>
      </w:r>
      <w:r w:rsidRPr="00E775A9">
        <w:rPr>
          <w:rFonts w:hAnsi="SimSun" w:cs="Arial" w:hint="eastAsia"/>
          <w:color w:val="2F5496" w:themeColor="accent1" w:themeShade="BF"/>
          <w:sz w:val="20"/>
          <w:szCs w:val="20"/>
        </w:rPr>
        <w:fldChar w:fldCharType="end"/>
      </w:r>
      <w:r w:rsidRPr="00E775A9">
        <w:rPr>
          <w:rFonts w:hAnsi="SimSun" w:cs="Arial" w:hint="eastAsia"/>
          <w:color w:val="2F5496" w:themeColor="accent1" w:themeShade="BF"/>
          <w:sz w:val="20"/>
          <w:szCs w:val="20"/>
        </w:rPr>
        <w:t>.2017-2022年信托基金支出</w:t>
      </w:r>
      <w:bookmarkEnd w:id="253"/>
    </w:p>
    <w:tbl>
      <w:tblPr>
        <w:tblStyle w:val="GridTable4-Accent11"/>
        <w:tblW w:w="4820" w:type="dxa"/>
        <w:jc w:val="center"/>
        <w:tblLayout w:type="fixed"/>
        <w:tblLook w:val="04A0" w:firstRow="1" w:lastRow="0" w:firstColumn="1" w:lastColumn="0" w:noHBand="0" w:noVBand="1"/>
      </w:tblPr>
      <w:tblGrid>
        <w:gridCol w:w="2872"/>
        <w:gridCol w:w="1948"/>
      </w:tblGrid>
      <w:tr w:rsidR="00EA5678" w:rsidRPr="00E775A9" w14:paraId="5A600519" w14:textId="77777777" w:rsidTr="00EA5678">
        <w:trPr>
          <w:cnfStyle w:val="100000000000" w:firstRow="1" w:lastRow="0" w:firstColumn="0" w:lastColumn="0" w:oddVBand="0" w:evenVBand="0" w:oddHBand="0" w:evenHBand="0" w:firstRowFirstColumn="0" w:firstRowLastColumn="0" w:lastRowFirstColumn="0" w:lastRowLastColumn="0"/>
          <w:trHeight w:val="288"/>
          <w:jc w:val="center"/>
        </w:trPr>
        <w:tc>
          <w:tcPr>
            <w:cnfStyle w:val="001000000000" w:firstRow="0" w:lastRow="0" w:firstColumn="1" w:lastColumn="0" w:oddVBand="0" w:evenVBand="0" w:oddHBand="0" w:evenHBand="0" w:firstRowFirstColumn="0" w:firstRowLastColumn="0" w:lastRowFirstColumn="0" w:lastRowLastColumn="0"/>
            <w:tcW w:w="2872" w:type="dxa"/>
            <w:noWrap/>
          </w:tcPr>
          <w:p w14:paraId="2D5EE942" w14:textId="77777777" w:rsidR="00EA5678" w:rsidRPr="00E775A9" w:rsidRDefault="00215138" w:rsidP="000D2DC1">
            <w:pPr>
              <w:spacing w:line="340" w:lineRule="atLeast"/>
              <w:rPr>
                <w:rFonts w:hAnsi="SimSun" w:cs="Arial"/>
                <w:b w:val="0"/>
                <w:bCs w:val="0"/>
                <w:color w:val="000000"/>
                <w:lang w:eastAsia="zh-CN"/>
              </w:rPr>
            </w:pPr>
            <w:r w:rsidRPr="00E775A9">
              <w:rPr>
                <w:rFonts w:hAnsi="SimSun" w:cs="Arial" w:hint="eastAsia"/>
                <w:color w:val="000000"/>
                <w:lang w:eastAsia="zh-CN"/>
              </w:rPr>
              <w:t>年度</w:t>
            </w:r>
          </w:p>
        </w:tc>
        <w:tc>
          <w:tcPr>
            <w:tcW w:w="1948" w:type="dxa"/>
            <w:noWrap/>
          </w:tcPr>
          <w:p w14:paraId="2D275E79" w14:textId="77777777" w:rsidR="00EA5678" w:rsidRPr="00E775A9" w:rsidRDefault="00215138" w:rsidP="000D2DC1">
            <w:pPr>
              <w:spacing w:line="340" w:lineRule="atLeast"/>
              <w:cnfStyle w:val="100000000000" w:firstRow="1" w:lastRow="0" w:firstColumn="0" w:lastColumn="0" w:oddVBand="0" w:evenVBand="0" w:oddHBand="0" w:evenHBand="0" w:firstRowFirstColumn="0" w:firstRowLastColumn="0" w:lastRowFirstColumn="0" w:lastRowLastColumn="0"/>
              <w:rPr>
                <w:rFonts w:hAnsi="SimSun" w:cs="Arial"/>
                <w:b w:val="0"/>
                <w:bCs w:val="0"/>
                <w:color w:val="000000"/>
                <w:lang w:eastAsia="zh-CN"/>
              </w:rPr>
            </w:pPr>
            <w:r w:rsidRPr="00E775A9">
              <w:rPr>
                <w:rFonts w:hAnsi="SimSun" w:cs="Arial" w:hint="eastAsia"/>
                <w:color w:val="000000"/>
                <w:lang w:eastAsia="zh-CN"/>
              </w:rPr>
              <w:t>支出</w:t>
            </w:r>
          </w:p>
        </w:tc>
      </w:tr>
      <w:tr w:rsidR="00EA5678" w:rsidRPr="00E775A9" w14:paraId="306D46ED" w14:textId="77777777" w:rsidTr="00EA5678">
        <w:trPr>
          <w:trHeight w:val="288"/>
          <w:jc w:val="center"/>
        </w:trPr>
        <w:tc>
          <w:tcPr>
            <w:cnfStyle w:val="001000000000" w:firstRow="0" w:lastRow="0" w:firstColumn="1" w:lastColumn="0" w:oddVBand="0" w:evenVBand="0" w:oddHBand="0" w:evenHBand="0" w:firstRowFirstColumn="0" w:firstRowLastColumn="0" w:lastRowFirstColumn="0" w:lastRowLastColumn="0"/>
            <w:tcW w:w="2872" w:type="dxa"/>
            <w:shd w:val="clear" w:color="auto" w:fill="D9E2F3" w:themeFill="accent1" w:themeFillTint="33"/>
            <w:noWrap/>
          </w:tcPr>
          <w:p w14:paraId="30B07250" w14:textId="77777777" w:rsidR="00EA5678" w:rsidRPr="00E775A9" w:rsidRDefault="00215138" w:rsidP="000D2DC1">
            <w:pPr>
              <w:spacing w:line="340" w:lineRule="atLeast"/>
              <w:rPr>
                <w:rFonts w:hAnsi="SimSun" w:cs="Arial"/>
                <w:b w:val="0"/>
                <w:bCs w:val="0"/>
                <w:color w:val="000000"/>
                <w:lang w:eastAsia="zh-CN"/>
              </w:rPr>
            </w:pPr>
            <w:r w:rsidRPr="00E775A9">
              <w:rPr>
                <w:rFonts w:hAnsi="SimSun" w:cs="Arial" w:hint="eastAsia"/>
                <w:color w:val="000000"/>
                <w:lang w:eastAsia="zh-CN"/>
              </w:rPr>
              <w:t>2017</w:t>
            </w:r>
          </w:p>
        </w:tc>
        <w:tc>
          <w:tcPr>
            <w:tcW w:w="1948" w:type="dxa"/>
            <w:shd w:val="clear" w:color="auto" w:fill="D9E2F3" w:themeFill="accent1" w:themeFillTint="33"/>
            <w:noWrap/>
          </w:tcPr>
          <w:p w14:paraId="7C1E45EB" w14:textId="77777777" w:rsidR="00EA5678" w:rsidRPr="00E775A9" w:rsidRDefault="00215138" w:rsidP="000D2DC1">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color w:val="000000"/>
                <w:lang w:eastAsia="zh-CN"/>
              </w:rPr>
            </w:pPr>
            <w:r w:rsidRPr="00E775A9">
              <w:rPr>
                <w:rFonts w:hAnsi="SimSun" w:cs="Arial" w:hint="eastAsia"/>
                <w:color w:val="000000"/>
                <w:lang w:eastAsia="zh-CN"/>
              </w:rPr>
              <w:t>11,235,499.65</w:t>
            </w:r>
          </w:p>
        </w:tc>
      </w:tr>
      <w:tr w:rsidR="00EA5678" w:rsidRPr="00E775A9" w14:paraId="03E303E8" w14:textId="77777777" w:rsidTr="00EA5678">
        <w:trPr>
          <w:trHeight w:val="288"/>
          <w:jc w:val="center"/>
        </w:trPr>
        <w:tc>
          <w:tcPr>
            <w:cnfStyle w:val="001000000000" w:firstRow="0" w:lastRow="0" w:firstColumn="1" w:lastColumn="0" w:oddVBand="0" w:evenVBand="0" w:oddHBand="0" w:evenHBand="0" w:firstRowFirstColumn="0" w:firstRowLastColumn="0" w:lastRowFirstColumn="0" w:lastRowLastColumn="0"/>
            <w:tcW w:w="2872" w:type="dxa"/>
            <w:noWrap/>
          </w:tcPr>
          <w:p w14:paraId="6B46C3FE" w14:textId="77777777" w:rsidR="00EA5678" w:rsidRPr="00E775A9" w:rsidRDefault="00215138" w:rsidP="000D2DC1">
            <w:pPr>
              <w:spacing w:line="340" w:lineRule="atLeast"/>
              <w:rPr>
                <w:rFonts w:hAnsi="SimSun" w:cs="Arial"/>
                <w:b w:val="0"/>
                <w:bCs w:val="0"/>
                <w:color w:val="000000"/>
                <w:lang w:eastAsia="zh-CN"/>
              </w:rPr>
            </w:pPr>
            <w:r w:rsidRPr="00E775A9">
              <w:rPr>
                <w:rFonts w:hAnsi="SimSun" w:cs="Arial" w:hint="eastAsia"/>
                <w:color w:val="000000"/>
                <w:lang w:eastAsia="zh-CN"/>
              </w:rPr>
              <w:t>2018</w:t>
            </w:r>
          </w:p>
        </w:tc>
        <w:tc>
          <w:tcPr>
            <w:tcW w:w="1948" w:type="dxa"/>
            <w:noWrap/>
          </w:tcPr>
          <w:p w14:paraId="14D9D592" w14:textId="7BF9CD0B" w:rsidR="00EA5678" w:rsidRPr="00E775A9" w:rsidRDefault="00215138" w:rsidP="000D2DC1">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color w:val="000000"/>
                <w:lang w:eastAsia="zh-CN"/>
              </w:rPr>
            </w:pPr>
            <w:r w:rsidRPr="00E775A9">
              <w:rPr>
                <w:rFonts w:hAnsi="SimSun" w:cs="Arial" w:hint="eastAsia"/>
                <w:color w:val="000000"/>
                <w:lang w:eastAsia="zh-CN"/>
              </w:rPr>
              <w:t>11,594,207.69</w:t>
            </w:r>
          </w:p>
        </w:tc>
      </w:tr>
      <w:tr w:rsidR="00EA5678" w:rsidRPr="00E775A9" w14:paraId="3E734E1C" w14:textId="77777777" w:rsidTr="00EA5678">
        <w:trPr>
          <w:trHeight w:val="288"/>
          <w:jc w:val="center"/>
        </w:trPr>
        <w:tc>
          <w:tcPr>
            <w:cnfStyle w:val="001000000000" w:firstRow="0" w:lastRow="0" w:firstColumn="1" w:lastColumn="0" w:oddVBand="0" w:evenVBand="0" w:oddHBand="0" w:evenHBand="0" w:firstRowFirstColumn="0" w:firstRowLastColumn="0" w:lastRowFirstColumn="0" w:lastRowLastColumn="0"/>
            <w:tcW w:w="2872" w:type="dxa"/>
            <w:shd w:val="clear" w:color="auto" w:fill="D9E2F3" w:themeFill="accent1" w:themeFillTint="33"/>
            <w:noWrap/>
          </w:tcPr>
          <w:p w14:paraId="371981CC" w14:textId="77777777" w:rsidR="00EA5678" w:rsidRPr="00E775A9" w:rsidRDefault="00215138" w:rsidP="000D2DC1">
            <w:pPr>
              <w:spacing w:line="340" w:lineRule="atLeast"/>
              <w:rPr>
                <w:rFonts w:hAnsi="SimSun" w:cs="Arial"/>
                <w:b w:val="0"/>
                <w:bCs w:val="0"/>
                <w:color w:val="000000"/>
                <w:lang w:eastAsia="zh-CN"/>
              </w:rPr>
            </w:pPr>
            <w:r w:rsidRPr="00E775A9">
              <w:rPr>
                <w:rFonts w:hAnsi="SimSun" w:cs="Arial" w:hint="eastAsia"/>
                <w:color w:val="000000"/>
                <w:lang w:eastAsia="zh-CN"/>
              </w:rPr>
              <w:t>2019</w:t>
            </w:r>
          </w:p>
        </w:tc>
        <w:tc>
          <w:tcPr>
            <w:tcW w:w="1948" w:type="dxa"/>
            <w:shd w:val="clear" w:color="auto" w:fill="D9E2F3" w:themeFill="accent1" w:themeFillTint="33"/>
            <w:noWrap/>
          </w:tcPr>
          <w:p w14:paraId="68953085" w14:textId="77777777" w:rsidR="00EA5678" w:rsidRPr="00E775A9" w:rsidRDefault="00215138" w:rsidP="000D2DC1">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color w:val="000000"/>
                <w:lang w:eastAsia="zh-CN"/>
              </w:rPr>
            </w:pPr>
            <w:r w:rsidRPr="00E775A9">
              <w:rPr>
                <w:rFonts w:hAnsi="SimSun" w:cs="Arial" w:hint="eastAsia"/>
                <w:color w:val="000000"/>
                <w:lang w:eastAsia="zh-CN"/>
              </w:rPr>
              <w:t>10,871,107.44</w:t>
            </w:r>
          </w:p>
        </w:tc>
      </w:tr>
      <w:tr w:rsidR="00EA5678" w:rsidRPr="00E775A9" w14:paraId="019C5FCC" w14:textId="77777777" w:rsidTr="00EA5678">
        <w:trPr>
          <w:trHeight w:val="288"/>
          <w:jc w:val="center"/>
        </w:trPr>
        <w:tc>
          <w:tcPr>
            <w:cnfStyle w:val="001000000000" w:firstRow="0" w:lastRow="0" w:firstColumn="1" w:lastColumn="0" w:oddVBand="0" w:evenVBand="0" w:oddHBand="0" w:evenHBand="0" w:firstRowFirstColumn="0" w:firstRowLastColumn="0" w:lastRowFirstColumn="0" w:lastRowLastColumn="0"/>
            <w:tcW w:w="2872" w:type="dxa"/>
            <w:noWrap/>
          </w:tcPr>
          <w:p w14:paraId="6888624F" w14:textId="77777777" w:rsidR="00EA5678" w:rsidRPr="00E775A9" w:rsidRDefault="00215138" w:rsidP="000D2DC1">
            <w:pPr>
              <w:spacing w:line="340" w:lineRule="atLeast"/>
              <w:rPr>
                <w:rFonts w:hAnsi="SimSun" w:cs="Arial"/>
                <w:b w:val="0"/>
                <w:bCs w:val="0"/>
                <w:color w:val="000000"/>
                <w:lang w:eastAsia="zh-CN"/>
              </w:rPr>
            </w:pPr>
            <w:r w:rsidRPr="00E775A9">
              <w:rPr>
                <w:rFonts w:hAnsi="SimSun" w:cs="Arial" w:hint="eastAsia"/>
                <w:color w:val="000000"/>
                <w:lang w:eastAsia="zh-CN"/>
              </w:rPr>
              <w:t>2020</w:t>
            </w:r>
          </w:p>
        </w:tc>
        <w:tc>
          <w:tcPr>
            <w:tcW w:w="1948" w:type="dxa"/>
            <w:noWrap/>
          </w:tcPr>
          <w:p w14:paraId="53305E3E" w14:textId="77777777" w:rsidR="00EA5678" w:rsidRPr="00E775A9" w:rsidRDefault="00215138" w:rsidP="000D2DC1">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color w:val="000000"/>
                <w:lang w:eastAsia="zh-CN"/>
              </w:rPr>
            </w:pPr>
            <w:r w:rsidRPr="00E775A9">
              <w:rPr>
                <w:rFonts w:hAnsi="SimSun" w:cs="Arial" w:hint="eastAsia"/>
                <w:color w:val="000000"/>
                <w:lang w:eastAsia="zh-CN"/>
              </w:rPr>
              <w:t>5,835,210.19</w:t>
            </w:r>
          </w:p>
        </w:tc>
      </w:tr>
      <w:tr w:rsidR="00EA5678" w:rsidRPr="00E775A9" w14:paraId="4E3BFCDF" w14:textId="77777777" w:rsidTr="00EA5678">
        <w:trPr>
          <w:trHeight w:val="288"/>
          <w:jc w:val="center"/>
        </w:trPr>
        <w:tc>
          <w:tcPr>
            <w:cnfStyle w:val="001000000000" w:firstRow="0" w:lastRow="0" w:firstColumn="1" w:lastColumn="0" w:oddVBand="0" w:evenVBand="0" w:oddHBand="0" w:evenHBand="0" w:firstRowFirstColumn="0" w:firstRowLastColumn="0" w:lastRowFirstColumn="0" w:lastRowLastColumn="0"/>
            <w:tcW w:w="2872" w:type="dxa"/>
            <w:shd w:val="clear" w:color="auto" w:fill="D9E2F3" w:themeFill="accent1" w:themeFillTint="33"/>
            <w:noWrap/>
          </w:tcPr>
          <w:p w14:paraId="6713BE78" w14:textId="77777777" w:rsidR="00EA5678" w:rsidRPr="00E775A9" w:rsidRDefault="00215138" w:rsidP="000D2DC1">
            <w:pPr>
              <w:spacing w:line="340" w:lineRule="atLeast"/>
              <w:rPr>
                <w:rFonts w:hAnsi="SimSun" w:cs="Arial"/>
                <w:b w:val="0"/>
                <w:bCs w:val="0"/>
                <w:color w:val="000000"/>
                <w:lang w:eastAsia="zh-CN"/>
              </w:rPr>
            </w:pPr>
            <w:r w:rsidRPr="00E775A9">
              <w:rPr>
                <w:rFonts w:hAnsi="SimSun" w:cs="Arial" w:hint="eastAsia"/>
                <w:color w:val="000000"/>
                <w:lang w:eastAsia="zh-CN"/>
              </w:rPr>
              <w:t>2021</w:t>
            </w:r>
          </w:p>
        </w:tc>
        <w:tc>
          <w:tcPr>
            <w:tcW w:w="1948" w:type="dxa"/>
            <w:shd w:val="clear" w:color="auto" w:fill="D9E2F3" w:themeFill="accent1" w:themeFillTint="33"/>
            <w:noWrap/>
          </w:tcPr>
          <w:p w14:paraId="7B7EE59F" w14:textId="393C1742" w:rsidR="00EA5678" w:rsidRPr="00E775A9" w:rsidRDefault="00215138" w:rsidP="000D2DC1">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color w:val="000000"/>
                <w:lang w:eastAsia="zh-CN"/>
              </w:rPr>
            </w:pPr>
            <w:r w:rsidRPr="00E775A9">
              <w:rPr>
                <w:rFonts w:hAnsi="SimSun" w:cs="Arial" w:hint="eastAsia"/>
                <w:color w:val="000000"/>
                <w:lang w:eastAsia="zh-CN"/>
              </w:rPr>
              <w:t>6,574,962.93</w:t>
            </w:r>
          </w:p>
        </w:tc>
      </w:tr>
      <w:tr w:rsidR="00EA5678" w:rsidRPr="00E775A9" w14:paraId="76E3E090" w14:textId="77777777" w:rsidTr="00EA5678">
        <w:trPr>
          <w:trHeight w:val="288"/>
          <w:jc w:val="center"/>
        </w:trPr>
        <w:tc>
          <w:tcPr>
            <w:cnfStyle w:val="001000000000" w:firstRow="0" w:lastRow="0" w:firstColumn="1" w:lastColumn="0" w:oddVBand="0" w:evenVBand="0" w:oddHBand="0" w:evenHBand="0" w:firstRowFirstColumn="0" w:firstRowLastColumn="0" w:lastRowFirstColumn="0" w:lastRowLastColumn="0"/>
            <w:tcW w:w="2872" w:type="dxa"/>
            <w:noWrap/>
          </w:tcPr>
          <w:p w14:paraId="6E60D771" w14:textId="77777777" w:rsidR="00EA5678" w:rsidRPr="00E775A9" w:rsidRDefault="00215138" w:rsidP="000D2DC1">
            <w:pPr>
              <w:spacing w:line="340" w:lineRule="atLeast"/>
              <w:rPr>
                <w:rFonts w:hAnsi="SimSun" w:cs="Arial"/>
                <w:b w:val="0"/>
                <w:bCs w:val="0"/>
                <w:color w:val="000000"/>
                <w:lang w:eastAsia="zh-CN"/>
              </w:rPr>
            </w:pPr>
            <w:r w:rsidRPr="00E775A9">
              <w:rPr>
                <w:rFonts w:hAnsi="SimSun" w:cs="Arial" w:hint="eastAsia"/>
                <w:color w:val="000000"/>
                <w:lang w:eastAsia="zh-CN"/>
              </w:rPr>
              <w:t>2022</w:t>
            </w:r>
          </w:p>
        </w:tc>
        <w:tc>
          <w:tcPr>
            <w:tcW w:w="1948" w:type="dxa"/>
            <w:noWrap/>
          </w:tcPr>
          <w:p w14:paraId="1436017D" w14:textId="515506FB" w:rsidR="00EA5678" w:rsidRPr="00E775A9" w:rsidRDefault="00215138" w:rsidP="000D2DC1">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color w:val="000000"/>
                <w:lang w:eastAsia="zh-CN"/>
              </w:rPr>
            </w:pPr>
            <w:r w:rsidRPr="00E775A9">
              <w:rPr>
                <w:rFonts w:hAnsi="SimSun" w:cs="Arial" w:hint="eastAsia"/>
                <w:color w:val="000000"/>
                <w:lang w:eastAsia="zh-CN"/>
              </w:rPr>
              <w:t>7,197,275.72</w:t>
            </w:r>
          </w:p>
        </w:tc>
      </w:tr>
      <w:tr w:rsidR="00EA5678" w:rsidRPr="00E775A9" w14:paraId="5E4EC6BD" w14:textId="77777777" w:rsidTr="00EA5678">
        <w:trPr>
          <w:trHeight w:val="288"/>
          <w:jc w:val="center"/>
        </w:trPr>
        <w:tc>
          <w:tcPr>
            <w:cnfStyle w:val="001000000000" w:firstRow="0" w:lastRow="0" w:firstColumn="1" w:lastColumn="0" w:oddVBand="0" w:evenVBand="0" w:oddHBand="0" w:evenHBand="0" w:firstRowFirstColumn="0" w:firstRowLastColumn="0" w:lastRowFirstColumn="0" w:lastRowLastColumn="0"/>
            <w:tcW w:w="2872" w:type="dxa"/>
            <w:shd w:val="clear" w:color="auto" w:fill="D9E2F3" w:themeFill="accent1" w:themeFillTint="33"/>
            <w:noWrap/>
          </w:tcPr>
          <w:p w14:paraId="1F2AF172" w14:textId="77777777" w:rsidR="00EA5678" w:rsidRPr="00E775A9" w:rsidRDefault="00215138" w:rsidP="000D2DC1">
            <w:pPr>
              <w:spacing w:line="340" w:lineRule="atLeast"/>
              <w:rPr>
                <w:rFonts w:hAnsi="SimSun" w:cs="Arial"/>
                <w:b w:val="0"/>
                <w:bCs w:val="0"/>
                <w:color w:val="000000"/>
                <w:lang w:eastAsia="zh-CN"/>
              </w:rPr>
            </w:pPr>
            <w:r w:rsidRPr="00E775A9">
              <w:rPr>
                <w:rFonts w:hAnsi="SimSun" w:cs="Arial" w:hint="eastAsia"/>
                <w:color w:val="000000"/>
                <w:lang w:eastAsia="zh-CN"/>
              </w:rPr>
              <w:t>总计</w:t>
            </w:r>
          </w:p>
        </w:tc>
        <w:tc>
          <w:tcPr>
            <w:tcW w:w="1948" w:type="dxa"/>
            <w:shd w:val="clear" w:color="auto" w:fill="D9E2F3" w:themeFill="accent1" w:themeFillTint="33"/>
            <w:noWrap/>
          </w:tcPr>
          <w:p w14:paraId="4D7D6314" w14:textId="77777777" w:rsidR="00EA5678" w:rsidRPr="00E775A9" w:rsidRDefault="00215138" w:rsidP="000D2DC1">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b/>
                <w:color w:val="000000"/>
                <w:lang w:eastAsia="zh-CN"/>
              </w:rPr>
            </w:pPr>
            <w:r w:rsidRPr="00E775A9">
              <w:rPr>
                <w:rFonts w:hAnsi="SimSun" w:cs="Arial" w:hint="eastAsia"/>
                <w:b/>
                <w:color w:val="000000"/>
                <w:lang w:eastAsia="zh-CN"/>
              </w:rPr>
              <w:t>53,308,263.62</w:t>
            </w:r>
          </w:p>
        </w:tc>
      </w:tr>
    </w:tbl>
    <w:p w14:paraId="50993005" w14:textId="77777777" w:rsidR="00EA5678" w:rsidRPr="00E775A9" w:rsidRDefault="00215138" w:rsidP="000D2DC1">
      <w:pPr>
        <w:spacing w:after="0" w:line="240" w:lineRule="auto"/>
        <w:ind w:left="2268"/>
        <w:rPr>
          <w:rFonts w:hAnsi="SimSun" w:cs="Arial"/>
          <w:color w:val="000000"/>
          <w:sz w:val="20"/>
          <w:szCs w:val="20"/>
        </w:rPr>
      </w:pPr>
      <w:r w:rsidRPr="00E775A9">
        <w:rPr>
          <w:rFonts w:hAnsi="SimSun" w:cs="Arial" w:hint="eastAsia"/>
          <w:color w:val="000000"/>
          <w:sz w:val="20"/>
          <w:szCs w:val="20"/>
        </w:rPr>
        <w:t>来源：2017-2022年产权组织绩效报告</w:t>
      </w:r>
    </w:p>
    <w:p w14:paraId="041D2CBE" w14:textId="4B5FD7B0" w:rsidR="00EA5678" w:rsidRPr="00A23549" w:rsidRDefault="000C2E1C" w:rsidP="000C2E1C">
      <w:pPr>
        <w:pStyle w:val="Heading1"/>
        <w:spacing w:before="240" w:after="120"/>
        <w:rPr>
          <w:rFonts w:cstheme="majorBidi"/>
        </w:rPr>
      </w:pPr>
      <w:bookmarkStart w:id="254" w:name="_Toc181695790"/>
      <w:r w:rsidRPr="00A23549">
        <w:rPr>
          <w:rFonts w:cstheme="majorBidi" w:hint="eastAsia"/>
        </w:rPr>
        <w:t>3.</w:t>
      </w:r>
      <w:r w:rsidRPr="00A23549">
        <w:rPr>
          <w:rFonts w:cstheme="majorBidi"/>
        </w:rPr>
        <w:tab/>
      </w:r>
      <w:r w:rsidR="00215138" w:rsidRPr="00A23549">
        <w:rPr>
          <w:rFonts w:cstheme="majorBidi" w:hint="eastAsia"/>
        </w:rPr>
        <w:t>审查设计</w:t>
      </w:r>
      <w:bookmarkEnd w:id="254"/>
    </w:p>
    <w:p w14:paraId="6E4A3AC7" w14:textId="067D96C7" w:rsidR="00EA5678" w:rsidRPr="00A23549" w:rsidRDefault="00862432" w:rsidP="000D2DC1">
      <w:pPr>
        <w:pStyle w:val="Heading2"/>
        <w:spacing w:before="240" w:after="120"/>
        <w:rPr>
          <w:rFonts w:cstheme="majorBidi"/>
          <w:b w:val="0"/>
        </w:rPr>
      </w:pPr>
      <w:bookmarkStart w:id="255" w:name="_Toc181695791"/>
      <w:r w:rsidRPr="00A23549">
        <w:rPr>
          <w:rFonts w:cstheme="majorBidi" w:hint="eastAsia"/>
        </w:rPr>
        <w:t>3.1</w:t>
      </w:r>
      <w:r w:rsidRPr="00A23549">
        <w:rPr>
          <w:rFonts w:cstheme="majorBidi"/>
        </w:rPr>
        <w:tab/>
      </w:r>
      <w:r w:rsidR="00215138" w:rsidRPr="00A23549">
        <w:rPr>
          <w:rFonts w:cstheme="majorBidi" w:hint="eastAsia"/>
        </w:rPr>
        <w:t>审查方式和方法</w:t>
      </w:r>
      <w:bookmarkEnd w:id="255"/>
    </w:p>
    <w:p w14:paraId="30BDE89E" w14:textId="5A0F1911"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此次活动以24个审查问题为指导（见</w:t>
      </w:r>
      <w:hyperlink r:id="rId13" w:history="1">
        <w:r w:rsidRPr="00E775A9">
          <w:rPr>
            <w:rStyle w:val="Hyperlink"/>
            <w:rFonts w:hAnsi="SimSun" w:cs="Arial" w:hint="eastAsia"/>
          </w:rPr>
          <w:t>文件CDIP/32/INC</w:t>
        </w:r>
      </w:hyperlink>
      <w:r w:rsidRPr="00E775A9">
        <w:rPr>
          <w:rFonts w:hAnsi="SimSun" w:cs="Arial" w:hint="eastAsia"/>
          <w:color w:val="000000"/>
        </w:rPr>
        <w:t>中的</w:t>
      </w:r>
      <w:r>
        <w:rPr>
          <w:rFonts w:hAnsi="SimSun" w:cs="SimSun" w:hint="eastAsia"/>
          <w:color w:val="000000"/>
        </w:rPr>
        <w:t>“审查启动报告”</w:t>
      </w:r>
      <w:r w:rsidRPr="00E775A9">
        <w:rPr>
          <w:rFonts w:hAnsi="SimSun" w:cs="Arial" w:hint="eastAsia"/>
          <w:color w:val="000000"/>
        </w:rPr>
        <w:t>）。本次审查审议的维度是相关性、连贯性、有效性、效率、可持续性和影响。这些是经济合作与发展组织发展援助委员会（DAC/OECD）提出的经典评价维度。</w:t>
      </w:r>
    </w:p>
    <w:p w14:paraId="0091C6DA" w14:textId="77777777"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该方法回应了针对每个审查问题提出的指标。本次审查采用了混合方法，三角验证是对比不同来源并达成共识的关键，而共识是以证据为基础的。进行三角验证时使用了各种信息来源：产权组织官方文件、产权组织工作人员、成员国（来自不同机构）和伙伴组织（联合国机构、民间社会组织、区域集团等）。</w:t>
      </w:r>
    </w:p>
    <w:p w14:paraId="73863750" w14:textId="186FE3FF"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本次审查是非实验性的，它使用了案例研究设计和元评价。此次活动是参与性的，在整个审查过程中咨询了利益攸关方。本次审查：a）基于理论；b）注重利用率。变革理论的基本原理是绘制产权组织对合作促进发展的技术援助的成果链，并构建基本原理，以便对其进行检验，以确定战略和制度选择是否产生了预期结果。就注重利用的方法而言，审查组进行了广泛的咨询，以确保审查结果和建议充分符合产权组织和成员国的背景和需求。</w:t>
      </w:r>
    </w:p>
    <w:p w14:paraId="7F04F903" w14:textId="5122B433" w:rsidR="00EA5678" w:rsidRPr="00A23549" w:rsidRDefault="000D2DC1" w:rsidP="000D2DC1">
      <w:pPr>
        <w:pStyle w:val="Heading2"/>
        <w:spacing w:before="240" w:after="120"/>
        <w:rPr>
          <w:rFonts w:cstheme="majorBidi"/>
          <w:b w:val="0"/>
        </w:rPr>
      </w:pPr>
      <w:bookmarkStart w:id="256" w:name="_Toc181695792"/>
      <w:r w:rsidRPr="00A23549">
        <w:rPr>
          <w:rFonts w:cstheme="majorBidi" w:hint="eastAsia"/>
        </w:rPr>
        <w:t>3.2</w:t>
      </w:r>
      <w:r w:rsidRPr="00A23549">
        <w:rPr>
          <w:rFonts w:cstheme="majorBidi"/>
        </w:rPr>
        <w:tab/>
      </w:r>
      <w:r w:rsidR="00215138" w:rsidRPr="00A23549">
        <w:rPr>
          <w:rFonts w:cstheme="majorBidi" w:hint="eastAsia"/>
        </w:rPr>
        <w:t>数据收集</w:t>
      </w:r>
      <w:bookmarkEnd w:id="256"/>
    </w:p>
    <w:p w14:paraId="7CD1E4B1" w14:textId="178A6F6D" w:rsidR="00EA5678" w:rsidRPr="00E775A9" w:rsidRDefault="00215138" w:rsidP="00C259B0">
      <w:pPr>
        <w:pStyle w:val="ListParagraph"/>
        <w:numPr>
          <w:ilvl w:val="0"/>
          <w:numId w:val="3"/>
        </w:numPr>
        <w:spacing w:after="120"/>
        <w:ind w:left="0" w:firstLine="0"/>
        <w:rPr>
          <w:rFonts w:hAnsi="SimSun" w:cs="Arial"/>
          <w:color w:val="000000"/>
          <w:sz w:val="24"/>
          <w:szCs w:val="24"/>
        </w:rPr>
      </w:pPr>
      <w:r w:rsidRPr="00E775A9">
        <w:rPr>
          <w:rFonts w:hAnsi="SimSun" w:cs="Arial" w:hint="eastAsia"/>
          <w:color w:val="000000"/>
        </w:rPr>
        <w:t>下图总结了所使用的所有数据收集方法。</w:t>
      </w:r>
    </w:p>
    <w:p w14:paraId="6640EA4D" w14:textId="77777777" w:rsidR="00F371D3" w:rsidRPr="00F371D3" w:rsidRDefault="00F371D3" w:rsidP="00F371D3">
      <w:pPr>
        <w:spacing w:afterLines="50" w:after="120" w:line="340" w:lineRule="atLeast"/>
        <w:jc w:val="center"/>
        <w:rPr>
          <w:rFonts w:hAnsi="SimSun" w:cs="Arial"/>
          <w:color w:val="002060"/>
          <w:sz w:val="20"/>
          <w:szCs w:val="20"/>
        </w:rPr>
      </w:pPr>
      <w:bookmarkStart w:id="257" w:name="_Toc177474712"/>
      <w:r w:rsidRPr="00F371D3">
        <w:rPr>
          <w:rFonts w:hAnsi="SimSun" w:cs="Arial"/>
          <w:color w:val="002060"/>
          <w:sz w:val="20"/>
          <w:szCs w:val="20"/>
        </w:rPr>
        <w:t>图</w:t>
      </w:r>
      <w:r w:rsidRPr="00F371D3">
        <w:rPr>
          <w:rFonts w:hAnsi="SimSun" w:cs="Arial"/>
          <w:color w:val="002060"/>
          <w:sz w:val="20"/>
          <w:szCs w:val="20"/>
        </w:rPr>
        <w:fldChar w:fldCharType="begin"/>
      </w:r>
      <w:r w:rsidRPr="00F371D3">
        <w:rPr>
          <w:rFonts w:hAnsi="SimSun" w:cs="Arial"/>
          <w:color w:val="002060"/>
          <w:sz w:val="20"/>
          <w:szCs w:val="20"/>
        </w:rPr>
        <w:instrText xml:space="preserve"> SEQ Figure \* ARABIC </w:instrText>
      </w:r>
      <w:r w:rsidRPr="00F371D3">
        <w:rPr>
          <w:rFonts w:hAnsi="SimSun" w:cs="Arial"/>
          <w:color w:val="002060"/>
          <w:sz w:val="20"/>
          <w:szCs w:val="20"/>
        </w:rPr>
        <w:fldChar w:fldCharType="separate"/>
      </w:r>
      <w:r w:rsidRPr="00F371D3">
        <w:rPr>
          <w:rFonts w:hAnsi="SimSun" w:cs="Arial"/>
          <w:noProof/>
          <w:color w:val="002060"/>
          <w:sz w:val="20"/>
          <w:szCs w:val="20"/>
        </w:rPr>
        <w:t>1</w:t>
      </w:r>
      <w:r w:rsidRPr="00F371D3">
        <w:rPr>
          <w:rFonts w:hAnsi="SimSun" w:cs="Arial"/>
          <w:color w:val="002060"/>
          <w:sz w:val="20"/>
          <w:szCs w:val="20"/>
        </w:rPr>
        <w:fldChar w:fldCharType="end"/>
      </w:r>
      <w:r w:rsidRPr="00F371D3">
        <w:rPr>
          <w:rFonts w:hAnsi="SimSun" w:cs="Arial"/>
          <w:color w:val="002060"/>
          <w:sz w:val="20"/>
          <w:szCs w:val="20"/>
        </w:rPr>
        <w:t>.数据收集方法</w:t>
      </w:r>
      <w:bookmarkEnd w:id="257"/>
    </w:p>
    <w:p w14:paraId="68E753F4" w14:textId="77777777" w:rsidR="00EA5678" w:rsidRPr="00E775A9" w:rsidRDefault="00215138">
      <w:pPr>
        <w:rPr>
          <w:rFonts w:hAnsi="SimSun" w:cs="Arial"/>
        </w:rPr>
      </w:pPr>
      <w:r w:rsidRPr="00E775A9">
        <w:rPr>
          <w:rFonts w:hAnsi="SimSun" w:cs="Arial" w:hint="eastAsia"/>
          <w:noProof/>
          <w:sz w:val="24"/>
          <w:szCs w:val="24"/>
        </w:rPr>
        <w:drawing>
          <wp:inline distT="0" distB="0" distL="0" distR="0" wp14:anchorId="4E929E09" wp14:editId="7CA23ECD">
            <wp:extent cx="5709285" cy="1717040"/>
            <wp:effectExtent l="0" t="19050" r="43815" b="54610"/>
            <wp:docPr id="1365070941" name="Diagrama 1" descr="Figure 1. Methods for Data Collectio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 r:lo="rId15" r:qs="rId16" r:cs="rId17"/>
              </a:graphicData>
            </a:graphic>
          </wp:inline>
        </w:drawing>
      </w:r>
    </w:p>
    <w:p w14:paraId="0D8C9D19" w14:textId="3525B6AE" w:rsidR="00EA5678" w:rsidRPr="00A23549" w:rsidRDefault="000D2DC1" w:rsidP="000D2DC1">
      <w:pPr>
        <w:pStyle w:val="Heading2"/>
        <w:spacing w:before="240" w:after="120"/>
        <w:rPr>
          <w:rFonts w:cstheme="majorBidi"/>
          <w:b w:val="0"/>
        </w:rPr>
      </w:pPr>
      <w:bookmarkStart w:id="258" w:name="_heading=h.17dp8vu" w:colFirst="0" w:colLast="0"/>
      <w:bookmarkStart w:id="259" w:name="_Toc181695793"/>
      <w:bookmarkEnd w:id="258"/>
      <w:r w:rsidRPr="00A23549">
        <w:rPr>
          <w:rFonts w:cstheme="majorBidi" w:hint="eastAsia"/>
        </w:rPr>
        <w:t>3.3</w:t>
      </w:r>
      <w:r w:rsidRPr="00A23549">
        <w:rPr>
          <w:rFonts w:cstheme="majorBidi"/>
        </w:rPr>
        <w:tab/>
      </w:r>
      <w:r w:rsidR="00215138" w:rsidRPr="00A23549">
        <w:rPr>
          <w:rFonts w:cstheme="majorBidi" w:hint="eastAsia"/>
        </w:rPr>
        <w:t>抽样</w:t>
      </w:r>
      <w:bookmarkEnd w:id="259"/>
    </w:p>
    <w:p w14:paraId="6673794F" w14:textId="77777777"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在启动过程中，审查组编制了一份利益攸关方名单，审议了主要行为体及其在产权组织技术援助中的作用，以确定谁应该参与审查</w:t>
      </w:r>
      <w:r>
        <w:rPr>
          <w:rFonts w:hAnsi="SimSun" w:cs="SimSun" w:hint="eastAsia"/>
        </w:rPr>
        <w:t>——</w:t>
      </w:r>
      <w:r w:rsidRPr="00E775A9">
        <w:rPr>
          <w:rFonts w:hAnsi="SimSun" w:cs="Arial" w:hint="eastAsia"/>
          <w:color w:val="000000"/>
        </w:rPr>
        <w:t>有目的的抽样。除了这份初始名单外，在数据收集过程中，行为体还被要求参考其他应在过程（滚雪球抽样）中审议的相关利益攸关方，85%的被咨询成员国是通过访谈和调查被咨询的发展中国家。</w:t>
      </w:r>
      <w:bookmarkStart w:id="260" w:name="_heading=h.3rdcrjn" w:colFirst="0" w:colLast="0"/>
      <w:bookmarkStart w:id="261" w:name="_heading=h.26in1rg" w:colFirst="0" w:colLast="0"/>
      <w:bookmarkEnd w:id="260"/>
      <w:bookmarkEnd w:id="261"/>
    </w:p>
    <w:p w14:paraId="7701B27F" w14:textId="098D21E9" w:rsidR="00EA5678" w:rsidRPr="00A23549" w:rsidRDefault="000D2DC1" w:rsidP="000D2DC1">
      <w:pPr>
        <w:pStyle w:val="Heading2"/>
        <w:spacing w:before="240" w:after="120"/>
        <w:rPr>
          <w:rFonts w:cstheme="majorBidi"/>
          <w:b w:val="0"/>
        </w:rPr>
      </w:pPr>
      <w:bookmarkStart w:id="262" w:name="_Toc177324754"/>
      <w:bookmarkStart w:id="263" w:name="_Toc177147377"/>
      <w:bookmarkStart w:id="264" w:name="_Toc177325231"/>
      <w:bookmarkStart w:id="265" w:name="_Toc177325879"/>
      <w:bookmarkStart w:id="266" w:name="_Toc177147528"/>
      <w:bookmarkStart w:id="267" w:name="_Toc177325714"/>
      <w:bookmarkStart w:id="268" w:name="_Toc177324913"/>
      <w:bookmarkStart w:id="269" w:name="_Toc177325549"/>
      <w:bookmarkStart w:id="270" w:name="_Toc177323104"/>
      <w:bookmarkStart w:id="271" w:name="_Toc177325390"/>
      <w:bookmarkStart w:id="272" w:name="_Toc177147225"/>
      <w:bookmarkStart w:id="273" w:name="_Toc177151941"/>
      <w:bookmarkStart w:id="274" w:name="_Toc177147071"/>
      <w:bookmarkStart w:id="275" w:name="_Toc177325072"/>
      <w:bookmarkStart w:id="276" w:name="_Toc177148437"/>
      <w:bookmarkStart w:id="277" w:name="_Toc181695794"/>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r w:rsidRPr="00A23549">
        <w:rPr>
          <w:rFonts w:cstheme="majorBidi" w:hint="eastAsia"/>
        </w:rPr>
        <w:t>3.4</w:t>
      </w:r>
      <w:r w:rsidRPr="00A23549">
        <w:rPr>
          <w:rFonts w:cstheme="majorBidi"/>
        </w:rPr>
        <w:tab/>
      </w:r>
      <w:r w:rsidR="00215138" w:rsidRPr="00A23549">
        <w:rPr>
          <w:rFonts w:cstheme="majorBidi" w:hint="eastAsia"/>
        </w:rPr>
        <w:t>数据分析</w:t>
      </w:r>
      <w:bookmarkEnd w:id="277"/>
    </w:p>
    <w:p w14:paraId="1729BA6F" w14:textId="77777777"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本次审查使用了以下分析方法：1）案头审查和定性数据处理期间的内容分析；2）描述性统计。审查组在审查标准和问题的指导下审查了定性数据，并确定了审查的大趋势和答复。审查组分享了一份包含分析领域的Excel表，其中插入了访谈的关键审查结果，对答案进行了系统的对比和分析，并确定了引语。描述性统计用于处理调查数据。调查中的开放性问题通过报告中的若干段引语来说明审查结果。</w:t>
      </w:r>
    </w:p>
    <w:p w14:paraId="36E1F763" w14:textId="13975B7A" w:rsidR="00EA5678" w:rsidRPr="00A23549" w:rsidRDefault="000D2DC1" w:rsidP="000D2DC1">
      <w:pPr>
        <w:pStyle w:val="Heading2"/>
        <w:spacing w:before="240" w:after="120"/>
        <w:rPr>
          <w:rFonts w:cstheme="majorBidi"/>
          <w:b w:val="0"/>
        </w:rPr>
      </w:pPr>
      <w:bookmarkStart w:id="278" w:name="_Toc181695795"/>
      <w:r w:rsidRPr="00A23549">
        <w:rPr>
          <w:rFonts w:cstheme="majorBidi" w:hint="eastAsia"/>
        </w:rPr>
        <w:t>3.5</w:t>
      </w:r>
      <w:r w:rsidRPr="00A23549">
        <w:rPr>
          <w:rFonts w:cstheme="majorBidi"/>
        </w:rPr>
        <w:tab/>
      </w:r>
      <w:r w:rsidR="00215138" w:rsidRPr="00A23549">
        <w:rPr>
          <w:rFonts w:cstheme="majorBidi" w:hint="eastAsia"/>
        </w:rPr>
        <w:t>审查伦理</w:t>
      </w:r>
      <w:bookmarkEnd w:id="278"/>
    </w:p>
    <w:p w14:paraId="15DC5A3F" w14:textId="77777777"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本次审查以联合国评价小组（UNEG）制定的伦理原则为依据，根据联合国评价小组的定义（联合国评价小组，2020年。《评价伦理准则》：联合国评价小组，纽约），现将其列示如下。</w:t>
      </w:r>
    </w:p>
    <w:p w14:paraId="417EEF17" w14:textId="73E7067D" w:rsidR="00EA5678" w:rsidRPr="00E775A9" w:rsidRDefault="00215138" w:rsidP="00FA22D5">
      <w:pPr>
        <w:spacing w:afterLines="50" w:after="120" w:line="340" w:lineRule="atLeast"/>
        <w:jc w:val="center"/>
        <w:rPr>
          <w:rFonts w:hAnsi="SimSun" w:cs="Arial"/>
          <w:color w:val="2F5496" w:themeColor="accent1" w:themeShade="BF"/>
          <w:sz w:val="20"/>
          <w:szCs w:val="20"/>
        </w:rPr>
      </w:pPr>
      <w:bookmarkStart w:id="279" w:name="_heading=h.3j2qqm3" w:colFirst="0" w:colLast="0"/>
      <w:bookmarkStart w:id="280" w:name="_Toc177325679"/>
      <w:bookmarkEnd w:id="279"/>
      <w:r w:rsidRPr="00E775A9">
        <w:rPr>
          <w:rFonts w:hAnsi="SimSun" w:cs="Arial" w:hint="eastAsia"/>
          <w:color w:val="2F5496" w:themeColor="accent1" w:themeShade="BF"/>
          <w:sz w:val="20"/>
          <w:szCs w:val="20"/>
        </w:rPr>
        <w:t>表</w:t>
      </w:r>
      <w:r w:rsidRPr="00E775A9">
        <w:rPr>
          <w:rFonts w:hAnsi="SimSun" w:cs="Arial" w:hint="eastAsia"/>
          <w:color w:val="2F5496" w:themeColor="accent1" w:themeShade="BF"/>
          <w:sz w:val="20"/>
          <w:szCs w:val="20"/>
        </w:rPr>
        <w:fldChar w:fldCharType="begin"/>
      </w:r>
      <w:r w:rsidRPr="00E775A9">
        <w:rPr>
          <w:rFonts w:hAnsi="SimSun" w:cs="Arial" w:hint="eastAsia"/>
          <w:color w:val="2F5496" w:themeColor="accent1" w:themeShade="BF"/>
          <w:sz w:val="20"/>
          <w:szCs w:val="20"/>
        </w:rPr>
        <w:instrText xml:space="preserve"> SEQ Table \* ARABIC </w:instrText>
      </w:r>
      <w:r w:rsidRPr="00E775A9">
        <w:rPr>
          <w:rFonts w:hAnsi="SimSun" w:cs="Arial" w:hint="eastAsia"/>
          <w:color w:val="2F5496" w:themeColor="accent1" w:themeShade="BF"/>
          <w:sz w:val="20"/>
          <w:szCs w:val="20"/>
        </w:rPr>
        <w:fldChar w:fldCharType="separate"/>
      </w:r>
      <w:r w:rsidR="00AA5A99">
        <w:rPr>
          <w:rFonts w:hAnsi="SimSun" w:cs="Arial"/>
          <w:noProof/>
          <w:color w:val="2F5496" w:themeColor="accent1" w:themeShade="BF"/>
          <w:sz w:val="20"/>
          <w:szCs w:val="20"/>
        </w:rPr>
        <w:t>3</w:t>
      </w:r>
      <w:r w:rsidRPr="00E775A9">
        <w:rPr>
          <w:rFonts w:hAnsi="SimSun" w:cs="Arial" w:hint="eastAsia"/>
          <w:color w:val="2F5496" w:themeColor="accent1" w:themeShade="BF"/>
          <w:sz w:val="20"/>
          <w:szCs w:val="20"/>
        </w:rPr>
        <w:fldChar w:fldCharType="end"/>
      </w:r>
      <w:r w:rsidRPr="00E775A9">
        <w:rPr>
          <w:rFonts w:hAnsi="SimSun" w:cs="Arial" w:hint="eastAsia"/>
          <w:color w:val="2F5496" w:themeColor="accent1" w:themeShade="BF"/>
          <w:sz w:val="20"/>
          <w:szCs w:val="20"/>
        </w:rPr>
        <w:t>.联合国评价小组的评价伦理准则</w:t>
      </w:r>
      <w:bookmarkEnd w:id="280"/>
    </w:p>
    <w:tbl>
      <w:tblPr>
        <w:tblStyle w:val="8"/>
        <w:tblW w:w="8494" w:type="dxa"/>
        <w:jc w:val="center"/>
        <w:tblInd w:w="0"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ayout w:type="fixed"/>
        <w:tblLook w:val="04A0" w:firstRow="1" w:lastRow="0" w:firstColumn="1" w:lastColumn="0" w:noHBand="0" w:noVBand="1"/>
      </w:tblPr>
      <w:tblGrid>
        <w:gridCol w:w="1838"/>
        <w:gridCol w:w="6656"/>
      </w:tblGrid>
      <w:tr w:rsidR="00EA5678" w:rsidRPr="00E775A9" w14:paraId="00267655" w14:textId="77777777" w:rsidTr="00EA567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838" w:type="dxa"/>
          </w:tcPr>
          <w:p w14:paraId="3DA714C8" w14:textId="77777777" w:rsidR="00EA5678" w:rsidRPr="00E775A9" w:rsidRDefault="00215138" w:rsidP="0011655E">
            <w:pPr>
              <w:spacing w:line="340" w:lineRule="atLeast"/>
              <w:rPr>
                <w:rFonts w:hAnsi="SimSun" w:cs="Arial"/>
                <w:b w:val="0"/>
                <w:color w:val="000000"/>
              </w:rPr>
            </w:pPr>
            <w:r w:rsidRPr="00E775A9">
              <w:rPr>
                <w:rFonts w:hAnsi="SimSun" w:cs="Arial" w:hint="eastAsia"/>
                <w:color w:val="000000"/>
              </w:rPr>
              <w:t>伦理原则</w:t>
            </w:r>
          </w:p>
        </w:tc>
        <w:tc>
          <w:tcPr>
            <w:tcW w:w="6656" w:type="dxa"/>
          </w:tcPr>
          <w:p w14:paraId="4DD504D0" w14:textId="77777777" w:rsidR="00EA5678" w:rsidRPr="00E775A9" w:rsidRDefault="00215138" w:rsidP="0011655E">
            <w:pPr>
              <w:spacing w:line="340" w:lineRule="atLeast"/>
              <w:cnfStyle w:val="100000000000" w:firstRow="1" w:lastRow="0" w:firstColumn="0" w:lastColumn="0" w:oddVBand="0" w:evenVBand="0" w:oddHBand="0" w:evenHBand="0" w:firstRowFirstColumn="0" w:firstRowLastColumn="0" w:lastRowFirstColumn="0" w:lastRowLastColumn="0"/>
              <w:rPr>
                <w:rFonts w:hAnsi="SimSun" w:cs="Arial"/>
                <w:b w:val="0"/>
                <w:color w:val="000000"/>
              </w:rPr>
            </w:pPr>
            <w:r w:rsidRPr="00E775A9">
              <w:rPr>
                <w:rFonts w:hAnsi="SimSun" w:cs="Arial" w:hint="eastAsia"/>
                <w:color w:val="000000"/>
              </w:rPr>
              <w:t>联合国评价小组的定义</w:t>
            </w:r>
          </w:p>
        </w:tc>
      </w:tr>
      <w:tr w:rsidR="00EA5678" w:rsidRPr="00E775A9" w14:paraId="427248AF" w14:textId="77777777" w:rsidTr="00EA5678">
        <w:trPr>
          <w:jc w:val="center"/>
        </w:trPr>
        <w:tc>
          <w:tcPr>
            <w:cnfStyle w:val="001000000000" w:firstRow="0" w:lastRow="0" w:firstColumn="1" w:lastColumn="0" w:oddVBand="0" w:evenVBand="0" w:oddHBand="0" w:evenHBand="0" w:firstRowFirstColumn="0" w:firstRowLastColumn="0" w:lastRowFirstColumn="0" w:lastRowLastColumn="0"/>
            <w:tcW w:w="1838" w:type="dxa"/>
          </w:tcPr>
          <w:p w14:paraId="5E965B64" w14:textId="77777777" w:rsidR="00EA5678" w:rsidRPr="00E775A9" w:rsidRDefault="00215138" w:rsidP="0011655E">
            <w:pPr>
              <w:spacing w:line="340" w:lineRule="atLeast"/>
              <w:rPr>
                <w:rFonts w:hAnsi="SimSun" w:cs="Arial"/>
                <w:b w:val="0"/>
                <w:color w:val="000000"/>
              </w:rPr>
            </w:pPr>
            <w:r w:rsidRPr="00E775A9">
              <w:rPr>
                <w:rFonts w:hAnsi="SimSun" w:cs="Arial" w:hint="eastAsia"/>
                <w:color w:val="000000"/>
              </w:rPr>
              <w:t>廉正</w:t>
            </w:r>
          </w:p>
        </w:tc>
        <w:tc>
          <w:tcPr>
            <w:tcW w:w="6656" w:type="dxa"/>
            <w:shd w:val="clear" w:color="auto" w:fill="BDD7EE"/>
          </w:tcPr>
          <w:p w14:paraId="493CF43B" w14:textId="77777777" w:rsidR="00EA5678" w:rsidRPr="00E775A9" w:rsidRDefault="00215138" w:rsidP="00CC1F4A">
            <w:pPr>
              <w:spacing w:line="340" w:lineRule="atLeast"/>
              <w:jc w:val="both"/>
              <w:cnfStyle w:val="000000000000" w:firstRow="0" w:lastRow="0" w:firstColumn="0" w:lastColumn="0" w:oddVBand="0" w:evenVBand="0" w:oddHBand="0" w:evenHBand="0" w:firstRowFirstColumn="0" w:firstRowLastColumn="0" w:lastRowFirstColumn="0" w:lastRowLastColumn="0"/>
              <w:rPr>
                <w:rFonts w:hAnsi="SimSun" w:cs="Arial"/>
                <w:color w:val="000000"/>
              </w:rPr>
            </w:pPr>
            <w:r w:rsidRPr="00E775A9">
              <w:rPr>
                <w:rFonts w:hAnsi="SimSun" w:cs="Arial" w:hint="eastAsia"/>
                <w:color w:val="000000"/>
              </w:rPr>
              <w:t>积极遵守道德价值观和专业标准，这对负责任的评价实践至关重要。</w:t>
            </w:r>
          </w:p>
        </w:tc>
      </w:tr>
      <w:tr w:rsidR="00EA5678" w:rsidRPr="00E775A9" w14:paraId="5BA4F3E7" w14:textId="77777777" w:rsidTr="00EA5678">
        <w:trPr>
          <w:jc w:val="center"/>
        </w:trPr>
        <w:tc>
          <w:tcPr>
            <w:cnfStyle w:val="001000000000" w:firstRow="0" w:lastRow="0" w:firstColumn="1" w:lastColumn="0" w:oddVBand="0" w:evenVBand="0" w:oddHBand="0" w:evenHBand="0" w:firstRowFirstColumn="0" w:firstRowLastColumn="0" w:lastRowFirstColumn="0" w:lastRowLastColumn="0"/>
            <w:tcW w:w="1838" w:type="dxa"/>
          </w:tcPr>
          <w:p w14:paraId="355B45D4" w14:textId="77777777" w:rsidR="00EA5678" w:rsidRPr="00E775A9" w:rsidRDefault="00215138" w:rsidP="0011655E">
            <w:pPr>
              <w:spacing w:line="340" w:lineRule="atLeast"/>
              <w:rPr>
                <w:rFonts w:hAnsi="SimSun" w:cs="Arial"/>
                <w:b w:val="0"/>
                <w:color w:val="000000"/>
              </w:rPr>
            </w:pPr>
            <w:r w:rsidRPr="00E775A9">
              <w:rPr>
                <w:rFonts w:hAnsi="SimSun" w:cs="Arial" w:hint="eastAsia"/>
                <w:color w:val="000000"/>
              </w:rPr>
              <w:t>问责制</w:t>
            </w:r>
          </w:p>
        </w:tc>
        <w:tc>
          <w:tcPr>
            <w:tcW w:w="6656" w:type="dxa"/>
          </w:tcPr>
          <w:p w14:paraId="0992B135" w14:textId="77777777" w:rsidR="00EA5678" w:rsidRPr="00E775A9" w:rsidRDefault="00215138" w:rsidP="00CC1F4A">
            <w:pPr>
              <w:spacing w:line="340" w:lineRule="atLeast"/>
              <w:jc w:val="both"/>
              <w:cnfStyle w:val="000000000000" w:firstRow="0" w:lastRow="0" w:firstColumn="0" w:lastColumn="0" w:oddVBand="0" w:evenVBand="0" w:oddHBand="0" w:evenHBand="0" w:firstRowFirstColumn="0" w:firstRowLastColumn="0" w:lastRowFirstColumn="0" w:lastRowLastColumn="0"/>
              <w:rPr>
                <w:rFonts w:hAnsi="SimSun" w:cs="Arial"/>
                <w:color w:val="000000"/>
              </w:rPr>
            </w:pPr>
            <w:r w:rsidRPr="00E775A9">
              <w:rPr>
                <w:rFonts w:hAnsi="SimSun" w:cs="Arial" w:hint="eastAsia"/>
                <w:color w:val="000000"/>
              </w:rPr>
              <w:t>有义务对所做的所有决定和采取的所有行动负责；负责无条件、无例外地履行承诺，并通过适当渠道报告观察到的潜在或实际危害。</w:t>
            </w:r>
          </w:p>
        </w:tc>
      </w:tr>
      <w:tr w:rsidR="00EA5678" w:rsidRPr="00E775A9" w14:paraId="5E062222" w14:textId="77777777" w:rsidTr="00EA5678">
        <w:trPr>
          <w:jc w:val="center"/>
        </w:trPr>
        <w:tc>
          <w:tcPr>
            <w:cnfStyle w:val="001000000000" w:firstRow="0" w:lastRow="0" w:firstColumn="1" w:lastColumn="0" w:oddVBand="0" w:evenVBand="0" w:oddHBand="0" w:evenHBand="0" w:firstRowFirstColumn="0" w:firstRowLastColumn="0" w:lastRowFirstColumn="0" w:lastRowLastColumn="0"/>
            <w:tcW w:w="1838" w:type="dxa"/>
          </w:tcPr>
          <w:p w14:paraId="622DC0DA" w14:textId="77777777" w:rsidR="00EA5678" w:rsidRPr="00E775A9" w:rsidRDefault="00215138" w:rsidP="0011655E">
            <w:pPr>
              <w:spacing w:line="340" w:lineRule="atLeast"/>
              <w:rPr>
                <w:rFonts w:hAnsi="SimSun" w:cs="Arial"/>
                <w:b w:val="0"/>
                <w:color w:val="000000"/>
              </w:rPr>
            </w:pPr>
            <w:r w:rsidRPr="00E775A9">
              <w:rPr>
                <w:rFonts w:hAnsi="SimSun" w:cs="Arial" w:hint="eastAsia"/>
                <w:color w:val="000000"/>
              </w:rPr>
              <w:t>尊重</w:t>
            </w:r>
          </w:p>
        </w:tc>
        <w:tc>
          <w:tcPr>
            <w:tcW w:w="6656" w:type="dxa"/>
            <w:shd w:val="clear" w:color="auto" w:fill="BDD7EE"/>
          </w:tcPr>
          <w:p w14:paraId="104C6688" w14:textId="34E16E82" w:rsidR="00EA5678" w:rsidRPr="00E775A9" w:rsidRDefault="00215138" w:rsidP="00CC1F4A">
            <w:pPr>
              <w:spacing w:line="340" w:lineRule="atLeast"/>
              <w:jc w:val="both"/>
              <w:cnfStyle w:val="000000000000" w:firstRow="0" w:lastRow="0" w:firstColumn="0" w:lastColumn="0" w:oddVBand="0" w:evenVBand="0" w:oddHBand="0" w:evenHBand="0" w:firstRowFirstColumn="0" w:firstRowLastColumn="0" w:lastRowFirstColumn="0" w:lastRowLastColumn="0"/>
              <w:rPr>
                <w:rFonts w:hAnsi="SimSun" w:cs="Arial"/>
                <w:color w:val="000000"/>
              </w:rPr>
            </w:pPr>
            <w:r w:rsidRPr="00E775A9">
              <w:rPr>
                <w:rFonts w:hAnsi="SimSun" w:cs="Arial" w:hint="eastAsia"/>
                <w:color w:val="000000"/>
              </w:rPr>
              <w:t>涉及以尊重所有评估利益攸关方尊严、福祉和自主权的方式与其进行交流，同时对其生理性别、社会性别、种族、语言、原籍国、LGBTQ身份、年龄、背景、宗教、族裔和能力以及文化、经济和物理环境作出积极反应。</w:t>
            </w:r>
          </w:p>
        </w:tc>
      </w:tr>
      <w:tr w:rsidR="00EA5678" w:rsidRPr="00E775A9" w14:paraId="2ED757FD" w14:textId="77777777" w:rsidTr="00EA5678">
        <w:trPr>
          <w:jc w:val="center"/>
        </w:trPr>
        <w:tc>
          <w:tcPr>
            <w:cnfStyle w:val="001000000000" w:firstRow="0" w:lastRow="0" w:firstColumn="1" w:lastColumn="0" w:oddVBand="0" w:evenVBand="0" w:oddHBand="0" w:evenHBand="0" w:firstRowFirstColumn="0" w:firstRowLastColumn="0" w:lastRowFirstColumn="0" w:lastRowLastColumn="0"/>
            <w:tcW w:w="1838" w:type="dxa"/>
          </w:tcPr>
          <w:p w14:paraId="2C584B11" w14:textId="77777777" w:rsidR="00EA5678" w:rsidRPr="00E775A9" w:rsidRDefault="00215138" w:rsidP="0011655E">
            <w:pPr>
              <w:spacing w:line="340" w:lineRule="atLeast"/>
              <w:rPr>
                <w:rFonts w:hAnsi="SimSun" w:cs="Arial"/>
                <w:b w:val="0"/>
                <w:color w:val="000000"/>
              </w:rPr>
            </w:pPr>
            <w:r w:rsidRPr="00E775A9">
              <w:rPr>
                <w:rFonts w:hAnsi="SimSun" w:cs="Arial" w:hint="eastAsia"/>
                <w:color w:val="000000"/>
              </w:rPr>
              <w:t>行善</w:t>
            </w:r>
          </w:p>
        </w:tc>
        <w:tc>
          <w:tcPr>
            <w:tcW w:w="6656" w:type="dxa"/>
          </w:tcPr>
          <w:p w14:paraId="5244A769" w14:textId="77777777" w:rsidR="00EA5678" w:rsidRPr="00E775A9" w:rsidRDefault="00215138" w:rsidP="00CC1F4A">
            <w:pPr>
              <w:spacing w:line="340" w:lineRule="atLeast"/>
              <w:jc w:val="both"/>
              <w:cnfStyle w:val="000000000000" w:firstRow="0" w:lastRow="0" w:firstColumn="0" w:lastColumn="0" w:oddVBand="0" w:evenVBand="0" w:oddHBand="0" w:evenHBand="0" w:firstRowFirstColumn="0" w:firstRowLastColumn="0" w:lastRowFirstColumn="0" w:lastRowLastColumn="0"/>
              <w:rPr>
                <w:rFonts w:hAnsi="SimSun" w:cs="Arial"/>
                <w:color w:val="000000"/>
              </w:rPr>
            </w:pPr>
            <w:r w:rsidRPr="00E775A9">
              <w:rPr>
                <w:rFonts w:hAnsi="SimSun" w:cs="Arial" w:hint="eastAsia"/>
                <w:color w:val="000000"/>
              </w:rPr>
              <w:t>努力为人类和地球做好事，同时尽量减少评价作为干预措施造成的危害。</w:t>
            </w:r>
          </w:p>
        </w:tc>
      </w:tr>
    </w:tbl>
    <w:p w14:paraId="16574D85" w14:textId="77777777" w:rsidR="00EA5678" w:rsidRPr="00E775A9" w:rsidRDefault="00215138" w:rsidP="00CC1F4A">
      <w:pPr>
        <w:spacing w:afterLines="50" w:after="120" w:line="240" w:lineRule="auto"/>
        <w:ind w:firstLine="454"/>
        <w:rPr>
          <w:rFonts w:hAnsi="SimSun" w:cs="Arial"/>
          <w:color w:val="000000"/>
          <w:sz w:val="20"/>
          <w:szCs w:val="20"/>
        </w:rPr>
      </w:pPr>
      <w:r w:rsidRPr="00E775A9">
        <w:rPr>
          <w:rFonts w:hAnsi="SimSun" w:cs="Arial" w:hint="eastAsia"/>
          <w:color w:val="000000"/>
          <w:sz w:val="20"/>
          <w:szCs w:val="20"/>
        </w:rPr>
        <w:t>来源：联合国评价小组，2020年。《评价伦理准则》：联合国评价小组，纽约</w:t>
      </w:r>
    </w:p>
    <w:p w14:paraId="2E459B2B" w14:textId="475936C3"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此外，本次审查还使用了联合国评价小组的文件</w:t>
      </w:r>
      <w:r>
        <w:rPr>
          <w:rFonts w:hAnsi="SimSun" w:cs="SimSun" w:hint="eastAsia"/>
          <w:color w:val="000000"/>
        </w:rPr>
        <w:t>“评价规范和标准”</w:t>
      </w:r>
      <w:r w:rsidRPr="00E775A9">
        <w:rPr>
          <w:rFonts w:hAnsi="SimSun" w:cs="Arial" w:hint="eastAsia"/>
          <w:color w:val="000000"/>
        </w:rPr>
        <w:t>。向所有参与者简要介绍了信息的保密性和对匿名性的尊重。</w:t>
      </w:r>
    </w:p>
    <w:p w14:paraId="3F5E8EC6" w14:textId="080D6DD2" w:rsidR="00EA5678" w:rsidRPr="00A23549" w:rsidRDefault="000D2DC1" w:rsidP="000D2DC1">
      <w:pPr>
        <w:pStyle w:val="Heading2"/>
        <w:spacing w:before="240" w:after="120"/>
        <w:rPr>
          <w:rFonts w:cstheme="majorBidi"/>
          <w:b w:val="0"/>
        </w:rPr>
      </w:pPr>
      <w:bookmarkStart w:id="281" w:name="_Toc181695796"/>
      <w:r w:rsidRPr="00A23549">
        <w:rPr>
          <w:rFonts w:cstheme="majorBidi" w:hint="eastAsia"/>
        </w:rPr>
        <w:t>3.6</w:t>
      </w:r>
      <w:r w:rsidRPr="00A23549">
        <w:rPr>
          <w:rFonts w:cstheme="majorBidi"/>
        </w:rPr>
        <w:tab/>
      </w:r>
      <w:r w:rsidR="00215138" w:rsidRPr="00A23549">
        <w:rPr>
          <w:rFonts w:cstheme="majorBidi" w:hint="eastAsia"/>
        </w:rPr>
        <w:t>审查限制</w:t>
      </w:r>
      <w:bookmarkEnd w:id="281"/>
    </w:p>
    <w:p w14:paraId="299806B7" w14:textId="77777777"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本次审查的局限性如下：</w:t>
      </w:r>
    </w:p>
    <w:p w14:paraId="48466A94" w14:textId="77777777" w:rsidR="00EA5678" w:rsidRPr="00E775A9" w:rsidRDefault="00215138" w:rsidP="00270D33">
      <w:pPr>
        <w:pStyle w:val="ListParagraph"/>
        <w:numPr>
          <w:ilvl w:val="0"/>
          <w:numId w:val="25"/>
        </w:numPr>
        <w:spacing w:after="120"/>
        <w:ind w:left="1134" w:hanging="567"/>
        <w:rPr>
          <w:rFonts w:hAnsi="SimSun" w:cs="Arial"/>
          <w:color w:val="000000"/>
        </w:rPr>
      </w:pPr>
      <w:r w:rsidRPr="00E775A9">
        <w:rPr>
          <w:rFonts w:hAnsi="SimSun" w:cs="Arial" w:hint="eastAsia"/>
          <w:color w:val="000000"/>
        </w:rPr>
        <w:t>呈现的结果是宏观层面上的。产权组织的技术援助每年涉及数百项活动。绩效报告提供了宏观层面的数据。数据、审查方式和方法对于确定总体趋势、关键挑战和可能的新方向是有效的，但并不能带来用于改进具体做法的粒度数据。</w:t>
      </w:r>
    </w:p>
    <w:p w14:paraId="50739046" w14:textId="77777777" w:rsidR="00EA5678" w:rsidRPr="00E775A9" w:rsidRDefault="00215138" w:rsidP="00270D33">
      <w:pPr>
        <w:pStyle w:val="ListParagraph"/>
        <w:numPr>
          <w:ilvl w:val="0"/>
          <w:numId w:val="25"/>
        </w:numPr>
        <w:spacing w:after="120"/>
        <w:ind w:left="1134" w:hanging="567"/>
        <w:rPr>
          <w:rFonts w:hAnsi="SimSun" w:cs="Arial"/>
          <w:color w:val="000000"/>
        </w:rPr>
      </w:pPr>
      <w:r w:rsidRPr="00E775A9">
        <w:rPr>
          <w:rFonts w:hAnsi="SimSun" w:cs="Arial" w:hint="eastAsia"/>
          <w:color w:val="000000"/>
        </w:rPr>
        <w:t>咨询的成员国利益攸关方主要是知识产权局，它们是产权组织的主要联络点。因此，所表达的观点大多仅限于这种互动。</w:t>
      </w:r>
    </w:p>
    <w:p w14:paraId="7C72A578" w14:textId="44969FE5" w:rsidR="00EA5678" w:rsidRPr="00E775A9" w:rsidRDefault="00215138" w:rsidP="00270D33">
      <w:pPr>
        <w:pStyle w:val="ListParagraph"/>
        <w:numPr>
          <w:ilvl w:val="0"/>
          <w:numId w:val="25"/>
        </w:numPr>
        <w:spacing w:after="120"/>
        <w:ind w:left="1134" w:hanging="567"/>
        <w:rPr>
          <w:rFonts w:hAnsi="SimSun" w:cs="Arial"/>
          <w:color w:val="000000"/>
        </w:rPr>
      </w:pPr>
      <w:r w:rsidRPr="00E775A9">
        <w:rPr>
          <w:rFonts w:hAnsi="SimSun" w:cs="Arial" w:hint="eastAsia"/>
          <w:color w:val="000000"/>
        </w:rPr>
        <w:t>产权组织对外办事处在技术援助方面发挥着作用。审查组采访了区域办公室主任。然而，没有对每个对外办事处的主任都进行访谈。进行了一次外办事处平行审查，可能能够弥补这一差距。</w:t>
      </w:r>
    </w:p>
    <w:p w14:paraId="5542D6D7" w14:textId="6180F1DA" w:rsidR="00EA5678" w:rsidRPr="00E775A9" w:rsidRDefault="00215138" w:rsidP="00270D33">
      <w:pPr>
        <w:pStyle w:val="ListParagraph"/>
        <w:numPr>
          <w:ilvl w:val="0"/>
          <w:numId w:val="25"/>
        </w:numPr>
        <w:spacing w:after="120"/>
        <w:ind w:left="1134" w:hanging="567"/>
        <w:rPr>
          <w:rFonts w:hAnsi="SimSun" w:cs="Arial"/>
          <w:color w:val="000000"/>
        </w:rPr>
      </w:pPr>
      <w:r w:rsidRPr="00E775A9">
        <w:rPr>
          <w:rFonts w:hAnsi="SimSun" w:cs="Arial" w:hint="eastAsia"/>
          <w:color w:val="000000"/>
        </w:rPr>
        <w:t>本次审查咨询了产权组织的合作伙伴，但没有向下一级在国家层面上咨询青年、行业和知识产权政策的最终受益方，因为这不在审查的职责范围内。</w:t>
      </w:r>
    </w:p>
    <w:p w14:paraId="0038E5D4" w14:textId="2ACB13FC" w:rsidR="00EA5678" w:rsidRPr="00E775A9" w:rsidRDefault="00215138" w:rsidP="00C259B0">
      <w:pPr>
        <w:pStyle w:val="ListParagraph"/>
        <w:numPr>
          <w:ilvl w:val="0"/>
          <w:numId w:val="3"/>
        </w:numPr>
        <w:spacing w:after="120"/>
        <w:ind w:left="0" w:firstLine="0"/>
        <w:rPr>
          <w:rFonts w:hAnsi="SimSun" w:cs="Arial"/>
          <w:color w:val="000000"/>
        </w:rPr>
      </w:pPr>
      <w:r w:rsidRPr="00E775A9">
        <w:rPr>
          <w:rFonts w:hAnsi="SimSun" w:cs="Arial" w:hint="eastAsia"/>
          <w:color w:val="000000"/>
        </w:rPr>
        <w:t>尽管存在这些局限性，但本次审查咨询了相当多的相关利益攸关方（160多个）。调查为各利益攸关方提供了表达其意见的机会。事实上，调查中的开放性问题已作为相关反馈纳入整个报告。审查组对通过各种来源进行三角验证的审查结果的一致性充满信心。</w:t>
      </w:r>
    </w:p>
    <w:p w14:paraId="21D5A2D3" w14:textId="20719B7B" w:rsidR="00EA5678" w:rsidRPr="00A23549" w:rsidRDefault="000C2E1C" w:rsidP="00270D33">
      <w:pPr>
        <w:pStyle w:val="Heading1"/>
        <w:keepNext w:val="0"/>
        <w:keepLines w:val="0"/>
        <w:spacing w:before="240" w:after="120"/>
        <w:rPr>
          <w:rFonts w:cstheme="majorBidi"/>
        </w:rPr>
      </w:pPr>
      <w:bookmarkStart w:id="282" w:name="_Toc181695797"/>
      <w:r w:rsidRPr="00A23549">
        <w:rPr>
          <w:rFonts w:cstheme="majorBidi" w:hint="eastAsia"/>
        </w:rPr>
        <w:t>4.</w:t>
      </w:r>
      <w:r w:rsidRPr="00A23549">
        <w:rPr>
          <w:rFonts w:cstheme="majorBidi"/>
        </w:rPr>
        <w:tab/>
      </w:r>
      <w:r w:rsidR="00215138" w:rsidRPr="00A23549">
        <w:rPr>
          <w:rFonts w:cstheme="majorBidi" w:hint="eastAsia"/>
        </w:rPr>
        <w:t>审查结果</w:t>
      </w:r>
      <w:bookmarkEnd w:id="282"/>
    </w:p>
    <w:p w14:paraId="1BD443F6" w14:textId="3E0EE77D" w:rsidR="00EA5678" w:rsidRPr="00A23549" w:rsidRDefault="009B2972" w:rsidP="009B2972">
      <w:pPr>
        <w:pStyle w:val="Heading2"/>
        <w:spacing w:before="240" w:after="120"/>
        <w:rPr>
          <w:rFonts w:cstheme="majorBidi"/>
        </w:rPr>
      </w:pPr>
      <w:bookmarkStart w:id="283" w:name="_Toc181695798"/>
      <w:r w:rsidRPr="00A23549">
        <w:rPr>
          <w:rFonts w:cstheme="majorBidi" w:hint="eastAsia"/>
        </w:rPr>
        <w:t>4.1</w:t>
      </w:r>
      <w:r w:rsidRPr="00A23549">
        <w:rPr>
          <w:rFonts w:cstheme="majorBidi"/>
        </w:rPr>
        <w:tab/>
      </w:r>
      <w:r w:rsidR="00215138" w:rsidRPr="00A23549">
        <w:rPr>
          <w:rFonts w:cstheme="majorBidi" w:hint="eastAsia"/>
        </w:rPr>
        <w:t>相关性</w:t>
      </w:r>
      <w:bookmarkEnd w:id="283"/>
    </w:p>
    <w:p w14:paraId="393FE4EC" w14:textId="77777777" w:rsidR="00EA5678" w:rsidRPr="00E775A9" w:rsidRDefault="00215138" w:rsidP="00C259B0">
      <w:pPr>
        <w:pStyle w:val="ListParagraph"/>
        <w:numPr>
          <w:ilvl w:val="0"/>
          <w:numId w:val="3"/>
        </w:numPr>
        <w:spacing w:after="120"/>
        <w:ind w:left="0" w:firstLine="0"/>
        <w:rPr>
          <w:rFonts w:hAnsi="SimSun" w:cs="Arial"/>
          <w:color w:val="000000"/>
        </w:rPr>
      </w:pPr>
      <w:bookmarkStart w:id="284" w:name="_Hlk173698801"/>
      <w:r w:rsidRPr="00E775A9">
        <w:rPr>
          <w:rFonts w:hAnsi="SimSun" w:cs="Arial" w:hint="eastAsia"/>
          <w:color w:val="000000"/>
        </w:rPr>
        <w:t>在相关性方面，本次审查审议了产权组织的技术援助在多大程度上：</w:t>
      </w:r>
    </w:p>
    <w:p w14:paraId="633E002F" w14:textId="77777777" w:rsidR="00EA5678" w:rsidRPr="00E775A9" w:rsidRDefault="00215138" w:rsidP="00270D33">
      <w:pPr>
        <w:pStyle w:val="ListParagraph"/>
        <w:numPr>
          <w:ilvl w:val="0"/>
          <w:numId w:val="28"/>
        </w:numPr>
        <w:spacing w:after="120"/>
        <w:ind w:left="1134" w:hanging="567"/>
        <w:rPr>
          <w:rFonts w:hAnsi="SimSun" w:cs="Arial"/>
          <w:color w:val="000000"/>
        </w:rPr>
      </w:pPr>
      <w:r w:rsidRPr="00E775A9">
        <w:rPr>
          <w:rFonts w:hAnsi="SimSun" w:cs="Arial" w:hint="eastAsia"/>
          <w:color w:val="000000"/>
        </w:rPr>
        <w:t>补充了成员国国家发展计划的实施。</w:t>
      </w:r>
    </w:p>
    <w:p w14:paraId="5C99EBBB" w14:textId="77777777" w:rsidR="00EA5678" w:rsidRPr="00E775A9" w:rsidRDefault="00215138" w:rsidP="00270D33">
      <w:pPr>
        <w:pStyle w:val="ListParagraph"/>
        <w:numPr>
          <w:ilvl w:val="0"/>
          <w:numId w:val="28"/>
        </w:numPr>
        <w:spacing w:after="120"/>
        <w:ind w:left="1134" w:hanging="567"/>
        <w:rPr>
          <w:rFonts w:hAnsi="SimSun" w:cs="Arial"/>
          <w:color w:val="000000"/>
        </w:rPr>
      </w:pPr>
      <w:r w:rsidRPr="00E775A9">
        <w:rPr>
          <w:rFonts w:hAnsi="SimSun" w:cs="Arial" w:hint="eastAsia"/>
          <w:color w:val="000000"/>
        </w:rPr>
        <w:t>满足了针对其技术援助干预措施的正确需求和受众。</w:t>
      </w:r>
    </w:p>
    <w:p w14:paraId="17F54AEA" w14:textId="77777777" w:rsidR="00EA5678" w:rsidRPr="00E775A9" w:rsidRDefault="00215138" w:rsidP="00270D33">
      <w:pPr>
        <w:pStyle w:val="ListParagraph"/>
        <w:numPr>
          <w:ilvl w:val="0"/>
          <w:numId w:val="28"/>
        </w:numPr>
        <w:spacing w:after="120"/>
        <w:ind w:left="1134" w:hanging="567"/>
        <w:rPr>
          <w:rFonts w:hAnsi="SimSun" w:cs="Arial"/>
          <w:color w:val="000000"/>
        </w:rPr>
      </w:pPr>
      <w:r w:rsidRPr="00E775A9">
        <w:rPr>
          <w:rFonts w:hAnsi="SimSun" w:cs="Arial" w:hint="eastAsia"/>
          <w:color w:val="000000"/>
        </w:rPr>
        <w:t>满足了各种国家行为体的需求，特别是政策制定者、相关部委、知识产权局和其他相关利益攸关方。</w:t>
      </w:r>
    </w:p>
    <w:p w14:paraId="3847AEA7" w14:textId="77777777" w:rsidR="00EA5678" w:rsidRPr="00E775A9" w:rsidRDefault="00215138" w:rsidP="00270D33">
      <w:pPr>
        <w:pStyle w:val="ListParagraph"/>
        <w:numPr>
          <w:ilvl w:val="0"/>
          <w:numId w:val="28"/>
        </w:numPr>
        <w:spacing w:after="120"/>
        <w:ind w:left="1134" w:hanging="567"/>
        <w:rPr>
          <w:rFonts w:hAnsi="SimSun" w:cs="Arial"/>
          <w:color w:val="000000"/>
        </w:rPr>
      </w:pPr>
      <w:r w:rsidRPr="00E775A9">
        <w:rPr>
          <w:rFonts w:hAnsi="SimSun" w:cs="Arial" w:hint="eastAsia"/>
          <w:color w:val="000000"/>
        </w:rPr>
        <w:t>技术援助干预措施与产权组织提案集A（技术援助和能力建设）中的发展议程建议相一致的程度。</w:t>
      </w:r>
    </w:p>
    <w:p w14:paraId="310406A0" w14:textId="77777777" w:rsidR="00EA5678" w:rsidRPr="00E775A9" w:rsidRDefault="00215138" w:rsidP="00270D33">
      <w:pPr>
        <w:pStyle w:val="ListParagraph"/>
        <w:numPr>
          <w:ilvl w:val="0"/>
          <w:numId w:val="28"/>
        </w:numPr>
        <w:spacing w:after="120"/>
        <w:ind w:left="1134" w:hanging="567"/>
        <w:rPr>
          <w:rFonts w:hAnsi="SimSun" w:cs="Arial"/>
          <w:color w:val="000000"/>
        </w:rPr>
      </w:pPr>
      <w:r w:rsidRPr="00E775A9">
        <w:rPr>
          <w:rFonts w:hAnsi="SimSun" w:cs="Arial" w:hint="eastAsia"/>
          <w:color w:val="000000"/>
        </w:rPr>
        <w:t>根据产权组织2014年《性别平等政策》解决了性别平衡问题。</w:t>
      </w:r>
    </w:p>
    <w:p w14:paraId="027EE652" w14:textId="77777777" w:rsidR="00EA5678" w:rsidRPr="00E775A9" w:rsidRDefault="00215138" w:rsidP="00270D33">
      <w:pPr>
        <w:pStyle w:val="ListParagraph"/>
        <w:numPr>
          <w:ilvl w:val="0"/>
          <w:numId w:val="28"/>
        </w:numPr>
        <w:spacing w:after="120"/>
        <w:ind w:left="1134" w:hanging="567"/>
        <w:rPr>
          <w:rFonts w:hAnsi="SimSun" w:cs="Arial"/>
          <w:color w:val="000000"/>
        </w:rPr>
      </w:pPr>
      <w:r w:rsidRPr="00E775A9">
        <w:rPr>
          <w:rFonts w:hAnsi="SimSun" w:cs="Arial" w:hint="eastAsia"/>
          <w:color w:val="000000"/>
        </w:rPr>
        <w:t>是为了确保发展的政策连贯性而设计的。</w:t>
      </w:r>
    </w:p>
    <w:p w14:paraId="5956821F" w14:textId="77777777" w:rsidR="00EA5678" w:rsidRPr="00E775A9" w:rsidRDefault="00215138" w:rsidP="00C259B0">
      <w:pPr>
        <w:pStyle w:val="ListParagraph"/>
        <w:numPr>
          <w:ilvl w:val="0"/>
          <w:numId w:val="3"/>
        </w:numPr>
        <w:spacing w:after="120"/>
        <w:ind w:left="0" w:firstLine="0"/>
        <w:rPr>
          <w:rFonts w:hAnsi="SimSun" w:cs="Arial"/>
          <w:color w:val="000000"/>
        </w:rPr>
      </w:pPr>
      <w:r w:rsidRPr="00E23D52">
        <w:rPr>
          <w:rFonts w:ascii="KaiTi" w:eastAsia="KaiTi" w:hAnsi="KaiTi" w:cs="Arial" w:hint="eastAsia"/>
          <w:iCs/>
          <w:color w:val="000000"/>
        </w:rPr>
        <w:t>产权组织的技术援助是对成员国国家发展计划的补充。</w:t>
      </w:r>
      <w:r w:rsidRPr="00E775A9">
        <w:rPr>
          <w:rFonts w:hAnsi="SimSun" w:cs="Arial" w:hint="eastAsia"/>
          <w:color w:val="000000"/>
        </w:rPr>
        <w:t>技术援助往往由国家知识产权战略提供信息，该战略考虑国家发展政策（产权组织2020年《国家知识产权战略制定方法》和访谈）。国家知识产权战略考虑国家政策并进行初步评估，这对于确定政策联系和可能的战略非常重要。产权组织工作人员、接受产权组织支持制定其国家知识产权战略的所有受访成员国都报告了这一情况，审查调查进一步证实了这一点，在审查调查中，72%的调查受访者表示，技术援助与国家发展计划</w:t>
      </w:r>
      <w:r>
        <w:rPr>
          <w:rFonts w:hAnsi="SimSun" w:cs="SimSun" w:hint="eastAsia"/>
          <w:color w:val="000000"/>
        </w:rPr>
        <w:t>“非常高度”一致或“高度”</w:t>
      </w:r>
      <w:r w:rsidRPr="00E775A9">
        <w:rPr>
          <w:rFonts w:hAnsi="SimSun" w:cs="Arial" w:hint="eastAsia"/>
          <w:color w:val="000000"/>
        </w:rPr>
        <w:t>一致（见图表1）。</w:t>
      </w:r>
    </w:p>
    <w:p w14:paraId="66CAD127" w14:textId="30741C19" w:rsidR="00EA5678" w:rsidRPr="00E775A9" w:rsidRDefault="00215138" w:rsidP="00C259B0">
      <w:pPr>
        <w:pStyle w:val="ListParagraph"/>
        <w:numPr>
          <w:ilvl w:val="0"/>
          <w:numId w:val="3"/>
        </w:numPr>
        <w:spacing w:after="120"/>
        <w:ind w:left="0" w:firstLine="0"/>
        <w:rPr>
          <w:rFonts w:hAnsi="SimSun" w:cs="Arial"/>
          <w:color w:val="000000"/>
        </w:rPr>
      </w:pPr>
      <w:r w:rsidRPr="00E23D52">
        <w:rPr>
          <w:rFonts w:ascii="KaiTi" w:eastAsia="KaiTi" w:hAnsi="KaiTi" w:cs="Arial" w:hint="eastAsia"/>
          <w:iCs/>
          <w:color w:val="000000"/>
        </w:rPr>
        <w:t>产权组织正在做出相关努力，提供关于知识产权可能用于发展的背景分析/部门信息。</w:t>
      </w:r>
      <w:r w:rsidRPr="00E775A9">
        <w:rPr>
          <w:rFonts w:hAnsi="SimSun" w:cs="Arial" w:hint="eastAsia"/>
          <w:color w:val="000000"/>
        </w:rPr>
        <w:t>产权组织的一份具有里程碑意义的出版物是自2007年以来发布的《全球创新指数》，旨在促进关于知识产权与发展的对话（《2023年全球创新指数》，产权组织，2024年）。</w:t>
      </w:r>
      <w:r w:rsidRPr="00E775A9">
        <w:rPr>
          <w:rStyle w:val="FootnoteReference"/>
          <w:rFonts w:hAnsi="SimSun" w:cs="Arial" w:hint="eastAsia"/>
          <w:color w:val="000000"/>
        </w:rPr>
        <w:footnoteReference w:id="3"/>
      </w:r>
      <w:r w:rsidRPr="00E775A9">
        <w:rPr>
          <w:rFonts w:hAnsi="SimSun" w:cs="Arial" w:hint="eastAsia"/>
          <w:color w:val="000000"/>
        </w:rPr>
        <w:t>这表明产权组织为成员国提供了思考其做法的数据。然而，有限的证据表明，成员国在制定政策和与其他部门部委对话时使用了这一系列出版物。</w:t>
      </w:r>
    </w:p>
    <w:p w14:paraId="0DC6B99C" w14:textId="5D859FEA" w:rsidR="00EA5678" w:rsidRPr="00E775A9" w:rsidRDefault="00215138" w:rsidP="00C259B0">
      <w:pPr>
        <w:pStyle w:val="ListParagraph"/>
        <w:numPr>
          <w:ilvl w:val="0"/>
          <w:numId w:val="3"/>
        </w:numPr>
        <w:spacing w:after="120"/>
        <w:ind w:left="0" w:firstLine="0"/>
        <w:rPr>
          <w:rFonts w:hAnsi="SimSun" w:cs="Arial"/>
        </w:rPr>
      </w:pPr>
      <w:r>
        <w:rPr>
          <w:rFonts w:ascii="Arial" w:hAnsi="Arial" w:cs="Arial" w:hint="eastAsia"/>
          <w:i/>
          <w:iCs/>
          <w:noProof/>
        </w:rPr>
        <mc:AlternateContent>
          <mc:Choice Requires="wps">
            <w:drawing>
              <wp:anchor distT="45720" distB="45720" distL="114300" distR="114300" simplePos="0" relativeHeight="251663360" behindDoc="0" locked="0" layoutInCell="1" allowOverlap="1" wp14:anchorId="2588DE12" wp14:editId="6D4AB255">
                <wp:simplePos x="0" y="0"/>
                <wp:positionH relativeFrom="margin">
                  <wp:posOffset>3565525</wp:posOffset>
                </wp:positionH>
                <wp:positionV relativeFrom="paragraph">
                  <wp:posOffset>74930</wp:posOffset>
                </wp:positionV>
                <wp:extent cx="2360930" cy="956310"/>
                <wp:effectExtent l="0" t="0" r="5080" b="0"/>
                <wp:wrapSquare wrapText="bothSides"/>
                <wp:docPr id="605226195" name="Caixa de Texto 2" descr="Finding 1: WIPO’s Technical Assistance is complementary to national development plans of Member States.  However, there is room to improve the dialogue on the SDG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956310"/>
                        </a:xfrm>
                        <a:prstGeom prst="rect">
                          <a:avLst/>
                        </a:prstGeom>
                        <a:solidFill>
                          <a:schemeClr val="accent4">
                            <a:lumMod val="60000"/>
                            <a:lumOff val="40000"/>
                          </a:schemeClr>
                        </a:solidFill>
                        <a:ln w="9525">
                          <a:noFill/>
                          <a:miter lim="800000"/>
                        </a:ln>
                      </wps:spPr>
                      <wps:txbx>
                        <w:txbxContent>
                          <w:p w14:paraId="78B0754A" w14:textId="77777777" w:rsidR="00EA5678" w:rsidRDefault="00215138" w:rsidP="00A430DE">
                            <w:pPr>
                              <w:overflowPunct w:val="0"/>
                              <w:spacing w:afterLines="50" w:after="120" w:line="340" w:lineRule="atLeast"/>
                              <w:jc w:val="both"/>
                            </w:pPr>
                            <w:bookmarkStart w:id="285" w:name="_Hlk174544011"/>
                            <w:bookmarkStart w:id="286" w:name="_Hlk174544012"/>
                            <w:r>
                              <w:t>审查结果1：产权组织的技术援助是对成员国国家发展计划的补充。然而，关于可持续发展目标的对话仍有改进的空间。</w:t>
                            </w:r>
                            <w:bookmarkEnd w:id="285"/>
                            <w:bookmarkEnd w:id="286"/>
                          </w:p>
                        </w:txbxContent>
                      </wps:txbx>
                      <wps:bodyPr rot="0" vert="horz" wrap="square" lIns="91440" tIns="45720" rIns="91440" bIns="45720" anchor="t" anchorCtr="0">
                        <a:noAutofit/>
                      </wps:bodyPr>
                    </wps:wsp>
                  </a:graphicData>
                </a:graphic>
                <wp14:sizeRelH relativeFrom="margin">
                  <wp14:pctWidth>40000</wp14:pctWidth>
                </wp14:sizeRelH>
                <wp14:sizeRelV relativeFrom="page">
                  <wp14:pctHeight>0</wp14:pctHeight>
                </wp14:sizeRelV>
              </wp:anchor>
            </w:drawing>
          </mc:Choice>
          <mc:Fallback>
            <w:pict>
              <v:shapetype w14:anchorId="2588DE12" id="_x0000_t202" coordsize="21600,21600" o:spt="202" path="m,l,21600r21600,l21600,xe">
                <v:stroke joinstyle="miter"/>
                <v:path gradientshapeok="t" o:connecttype="rect"/>
              </v:shapetype>
              <v:shape id="Caixa de Texto 2" o:spid="_x0000_s1026" type="#_x0000_t202" alt="Finding 1: WIPO’s Technical Assistance is complementary to national development plans of Member States.  However, there is room to improve the dialogue on the SDGs." style="position:absolute;left:0;text-align:left;margin-left:280.75pt;margin-top:5.9pt;width:185.9pt;height:75.3pt;z-index:251663360;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" fillcolor="#ffd966 [1943]" stroked="f">
                <v:textbox>
                  <w:txbxContent>
                    <w:p w14:paraId="78B0754A" w14:textId="77777777" w:rsidR="00EA5678" w:rsidRDefault="00215138" w:rsidP="00A430DE">
                      <w:pPr>
                        <w:overflowPunct w:val="0"/>
                        <w:spacing w:afterLines="50" w:after="120" w:line="340" w:lineRule="atLeast"/>
                        <w:jc w:val="both"/>
                      </w:pPr>
                      <w:bookmarkStart w:id="287" w:name="_Hlk174544011"/>
                      <w:bookmarkStart w:id="288" w:name="_Hlk174544012"/>
                      <w:r>
                        <w:t>审查结果1：产权组织的技术援助是对成员国国家发展计划的补充。然而，关于可持续发展目标的</w:t>
                      </w:r>
                      <w:proofErr w:type="gramStart"/>
                      <w:r>
                        <w:t>对话仍</w:t>
                      </w:r>
                      <w:proofErr w:type="gramEnd"/>
                      <w:r>
                        <w:t>有改进的空间。</w:t>
                      </w:r>
                      <w:bookmarkEnd w:id="287"/>
                      <w:bookmarkEnd w:id="288"/>
                    </w:p>
                  </w:txbxContent>
                </v:textbox>
                <w10:wrap type="square" anchorx="margin"/>
              </v:shape>
            </w:pict>
          </mc:Fallback>
        </mc:AlternateContent>
      </w:r>
      <w:r w:rsidRPr="00E23D52">
        <w:rPr>
          <w:rFonts w:ascii="KaiTi" w:eastAsia="KaiTi" w:hAnsi="KaiTi" w:cs="Arial" w:hint="eastAsia"/>
          <w:iCs/>
        </w:rPr>
        <w:t>有关于产权组织和可持续发展目标的年度报告，在所咨询的利益攸关方的谈话中提到了这一主题。然而，许多被咨询的利益攸关方（特别是产权组织的利益攸关方）认为，除了一些值得注意的例外情况外，这些联系仍然有限。</w:t>
      </w:r>
      <w:r w:rsidRPr="00E775A9">
        <w:rPr>
          <w:rFonts w:hAnsi="SimSun" w:cs="Arial" w:hint="eastAsia"/>
        </w:rPr>
        <w:t>知识产权与发展政策之间的联系因知识产权局在该国的定位而异。亚洲的一个成员国提到了一个值得注意的例外，该国正在以可持续发展目标为背景，确定该国境内和非洲伙伴国家的问题并匹配解决方案。他们确定了与可持续发展目标相关的专利，向其他成员国（特别是非洲成员国）提供这些技术，但由于发展解决方案尚未实施，这项工作仍在进行中。</w:t>
      </w:r>
      <w:bookmarkEnd w:id="284"/>
    </w:p>
    <w:bookmarkStart w:id="287" w:name="_Hlk173698825"/>
    <w:p w14:paraId="6D989CA9" w14:textId="661FFAC2" w:rsidR="00EA5678" w:rsidRDefault="00CC1F4A" w:rsidP="00C259B0">
      <w:pPr>
        <w:pStyle w:val="ListParagraph"/>
        <w:numPr>
          <w:ilvl w:val="0"/>
          <w:numId w:val="3"/>
        </w:numPr>
        <w:spacing w:after="120"/>
        <w:ind w:left="0" w:firstLine="0"/>
        <w:rPr>
          <w:rFonts w:hAnsi="SimSun" w:cs="SimSun"/>
          <w:sz w:val="24"/>
          <w:szCs w:val="24"/>
        </w:rPr>
      </w:pPr>
      <w:r w:rsidRPr="00E23D52">
        <w:rPr>
          <w:rFonts w:ascii="KaiTi" w:eastAsia="KaiTi" w:hAnsi="KaiTi" w:cs="Arial" w:hint="eastAsia"/>
          <w:iCs/>
          <w:noProof/>
        </w:rPr>
        <mc:AlternateContent>
          <mc:Choice Requires="wps">
            <w:drawing>
              <wp:anchor distT="45720" distB="45720" distL="114300" distR="114300" simplePos="0" relativeHeight="251665408" behindDoc="0" locked="0" layoutInCell="1" allowOverlap="1" wp14:anchorId="63085A60" wp14:editId="58610F7E">
                <wp:simplePos x="0" y="0"/>
                <wp:positionH relativeFrom="margin">
                  <wp:posOffset>3175</wp:posOffset>
                </wp:positionH>
                <wp:positionV relativeFrom="paragraph">
                  <wp:posOffset>1834515</wp:posOffset>
                </wp:positionV>
                <wp:extent cx="2360930" cy="739775"/>
                <wp:effectExtent l="0" t="0" r="5080" b="3175"/>
                <wp:wrapSquare wrapText="bothSides"/>
                <wp:docPr id="515004947" name="Caixa de Texto 2" descr="Finding 2: Technical Assistance is highly relevant and addresses the needs and demands of Member States to a high extent. "/>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739775"/>
                        </a:xfrm>
                        <a:prstGeom prst="rect">
                          <a:avLst/>
                        </a:prstGeom>
                        <a:solidFill>
                          <a:srgbClr val="FFC000">
                            <a:lumMod val="60000"/>
                            <a:lumOff val="40000"/>
                          </a:srgbClr>
                        </a:solidFill>
                        <a:ln w="9525">
                          <a:noFill/>
                          <a:miter lim="800000"/>
                        </a:ln>
                      </wps:spPr>
                      <wps:txbx>
                        <w:txbxContent>
                          <w:p w14:paraId="566A20E1" w14:textId="2EE0F1E6" w:rsidR="00EA5678" w:rsidRDefault="00215138" w:rsidP="00A430DE">
                            <w:pPr>
                              <w:spacing w:afterLines="50" w:after="120" w:line="340" w:lineRule="atLeast"/>
                              <w:jc w:val="both"/>
                            </w:pPr>
                            <w:bookmarkStart w:id="288" w:name="_Hlk174544031"/>
                            <w:bookmarkStart w:id="289" w:name="_Hlk174544032"/>
                            <w:r>
                              <w:t>审查结果2：技术援助具有高度相关性，在很大程度上满足了成员国的需求和要求。</w:t>
                            </w:r>
                            <w:bookmarkEnd w:id="288"/>
                            <w:bookmarkEnd w:id="289"/>
                          </w:p>
                        </w:txbxContent>
                      </wps:txbx>
                      <wps:bodyPr rot="0" vert="horz" wrap="square" lIns="91440" tIns="45720" rIns="91440" bIns="45720" anchor="t" anchorCtr="0">
                        <a:noAutofit/>
                      </wps:bodyPr>
                    </wps:wsp>
                  </a:graphicData>
                </a:graphic>
                <wp14:sizeRelH relativeFrom="margin">
                  <wp14:pctWidth>40000</wp14:pctWidth>
                </wp14:sizeRelH>
                <wp14:sizeRelV relativeFrom="page">
                  <wp14:pctHeight>0</wp14:pctHeight>
                </wp14:sizeRelV>
              </wp:anchor>
            </w:drawing>
          </mc:Choice>
          <mc:Fallback>
            <w:pict>
              <v:shape w14:anchorId="63085A60" id="_x0000_s1027" type="#_x0000_t202" alt="Finding 2: Technical Assistance is highly relevant and addresses the needs and demands of Member States to a high extent. " style="position:absolute;left:0;text-align:left;margin-left:.25pt;margin-top:144.45pt;width:185.9pt;height:58.25pt;z-index:251665408;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" fillcolor="#ffd966" stroked="f">
                <v:textbox>
                  <w:txbxContent>
                    <w:p w14:paraId="566A20E1" w14:textId="2EE0F1E6" w:rsidR="00EA5678" w:rsidRDefault="00215138" w:rsidP="00A430DE">
                      <w:pPr>
                        <w:spacing w:afterLines="50" w:after="120" w:line="340" w:lineRule="atLeast"/>
                        <w:jc w:val="both"/>
                      </w:pPr>
                      <w:bookmarkStart w:id="292" w:name="_Hlk174544031"/>
                      <w:bookmarkStart w:id="293" w:name="_Hlk174544032"/>
                      <w:r>
                        <w:t>审查结果2：技术援助具有高度相关性，在很大程度上满足了成员国的需求和要求。</w:t>
                      </w:r>
                      <w:bookmarkEnd w:id="292"/>
                      <w:bookmarkEnd w:id="293"/>
                    </w:p>
                  </w:txbxContent>
                </v:textbox>
                <w10:wrap type="square" anchorx="margin"/>
              </v:shape>
            </w:pict>
          </mc:Fallback>
        </mc:AlternateContent>
      </w:r>
      <w:r>
        <w:rPr>
          <w:rFonts w:ascii="Arial" w:hAnsi="Arial" w:cs="Arial" w:hint="eastAsia"/>
          <w:b/>
          <w:noProof/>
          <w:color w:val="4472C4"/>
        </w:rPr>
        <mc:AlternateContent>
          <mc:Choice Requires="wps">
            <w:drawing>
              <wp:anchor distT="45720" distB="45720" distL="114300" distR="114300" simplePos="0" relativeHeight="251661312" behindDoc="1" locked="0" layoutInCell="1" allowOverlap="1" wp14:anchorId="5F7DD717" wp14:editId="5638AEF6">
                <wp:simplePos x="0" y="0"/>
                <wp:positionH relativeFrom="margin">
                  <wp:posOffset>3522980</wp:posOffset>
                </wp:positionH>
                <wp:positionV relativeFrom="paragraph">
                  <wp:posOffset>77470</wp:posOffset>
                </wp:positionV>
                <wp:extent cx="2360930" cy="1292860"/>
                <wp:effectExtent l="4445" t="4445" r="0" b="0"/>
                <wp:wrapTight wrapText="bothSides">
                  <wp:wrapPolygon edited="0">
                    <wp:start x="-96" y="-85"/>
                    <wp:lineTo x="-96" y="21239"/>
                    <wp:lineTo x="21444" y="21239"/>
                    <wp:lineTo x="21444" y="-85"/>
                    <wp:lineTo x="-96" y="-85"/>
                  </wp:wrapPolygon>
                </wp:wrapTight>
                <wp:docPr id="217" name="Caixa de Texto 2" descr="“WIPO’s Technical Assistance is very relevant for Member States for it ensures the consolidation of the IP system and it has progressively improved to accommodate Member States’ needs.”&#10;Member State, Review survey&#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292860"/>
                        </a:xfrm>
                        <a:prstGeom prst="rect">
                          <a:avLst/>
                        </a:prstGeom>
                        <a:solidFill>
                          <a:srgbClr val="4472C4">
                            <a:lumMod val="50000"/>
                          </a:srgbClr>
                        </a:solidFill>
                        <a:ln w="9525">
                          <a:solidFill>
                            <a:srgbClr val="000000"/>
                          </a:solidFill>
                          <a:miter lim="800000"/>
                        </a:ln>
                      </wps:spPr>
                      <wps:txbx>
                        <w:txbxContent>
                          <w:p w14:paraId="09511682" w14:textId="77777777" w:rsidR="00EA5678" w:rsidRDefault="00215138" w:rsidP="00A430DE">
                            <w:pPr>
                              <w:overflowPunct w:val="0"/>
                              <w:spacing w:afterLines="50" w:after="120" w:line="340" w:lineRule="atLeast"/>
                              <w:jc w:val="center"/>
                            </w:pPr>
                            <w:r>
                              <w:t>“</w:t>
                            </w:r>
                            <w:r>
                              <w:t>产权组织的技术援助对成员国非常重要，因为它确保了知识产权系统的巩固，并逐步改进以满足成员国的需求。</w:t>
                            </w:r>
                            <w:r>
                              <w:t>”</w:t>
                            </w:r>
                          </w:p>
                          <w:p w14:paraId="06D9225E" w14:textId="77777777" w:rsidR="00EA5678" w:rsidRDefault="00215138" w:rsidP="00A430DE">
                            <w:pPr>
                              <w:overflowPunct w:val="0"/>
                              <w:spacing w:afterLines="50" w:after="120" w:line="340" w:lineRule="atLeast"/>
                              <w:jc w:val="center"/>
                            </w:pPr>
                            <w:r>
                              <w:t>成员国，审查调查</w:t>
                            </w:r>
                          </w:p>
                        </w:txbxContent>
                      </wps:txbx>
                      <wps:bodyPr rot="0" vert="horz" wrap="square" lIns="91440" tIns="45720" rIns="91440" bIns="45720" anchor="t" anchorCtr="0">
                        <a:noAutofit/>
                      </wps:bodyPr>
                    </wps:wsp>
                  </a:graphicData>
                </a:graphic>
                <wp14:sizeRelH relativeFrom="margin">
                  <wp14:pctWidth>40000</wp14:pctWidth>
                </wp14:sizeRelH>
                <wp14:sizeRelV relativeFrom="page">
                  <wp14:pctHeight>0</wp14:pctHeight>
                </wp14:sizeRelV>
              </wp:anchor>
            </w:drawing>
          </mc:Choice>
          <mc:Fallback>
            <w:pict>
              <v:shape w14:anchorId="5F7DD717" id="_x0000_s1028" type="#_x0000_t202" alt="“WIPO’s Technical Assistance is very relevant for Member States for it ensures the consolidation of the IP system and it has progressively improved to accommodate Member States’ needs.”&#10;Member State, Review survey&#10;" style="position:absolute;left:0;text-align:left;margin-left:277.4pt;margin-top:6.1pt;width:185.9pt;height:101.8pt;z-index:-251655168;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" fillcolor="#203864">
                <v:textbox>
                  <w:txbxContent>
                    <w:p w14:paraId="09511682" w14:textId="77777777" w:rsidR="00EA5678" w:rsidRDefault="00215138" w:rsidP="00A430DE">
                      <w:pPr>
                        <w:overflowPunct w:val="0"/>
                        <w:spacing w:afterLines="50" w:after="120" w:line="340" w:lineRule="atLeast"/>
                        <w:jc w:val="center"/>
                      </w:pPr>
                      <w:r>
                        <w:t>“</w:t>
                      </w:r>
                      <w:r>
                        <w:t>产权组织的技术援助对成员国非常重要，因为它确保了知识产权系统的巩固，并逐步改进以满足成员国的需求。</w:t>
                      </w:r>
                      <w:r>
                        <w:t>”</w:t>
                      </w:r>
                    </w:p>
                    <w:p w14:paraId="06D9225E" w14:textId="77777777" w:rsidR="00EA5678" w:rsidRDefault="00215138" w:rsidP="00A430DE">
                      <w:pPr>
                        <w:overflowPunct w:val="0"/>
                        <w:spacing w:afterLines="50" w:after="120" w:line="340" w:lineRule="atLeast"/>
                        <w:jc w:val="center"/>
                      </w:pPr>
                      <w:r>
                        <w:t>成员国，审查调查</w:t>
                      </w:r>
                    </w:p>
                  </w:txbxContent>
                </v:textbox>
                <w10:wrap type="tight" anchorx="margin"/>
              </v:shape>
            </w:pict>
          </mc:Fallback>
        </mc:AlternateContent>
      </w:r>
      <w:r w:rsidR="00215138" w:rsidRPr="00E23D52">
        <w:rPr>
          <w:rFonts w:ascii="KaiTi" w:eastAsia="KaiTi" w:hAnsi="KaiTi" w:cs="Arial" w:hint="eastAsia"/>
          <w:iCs/>
        </w:rPr>
        <w:t>人们普遍认为，在与成员国磋商后，产权组织的技术援助具有高度相关性，并适应各国家的背景和需求</w:t>
      </w:r>
      <w:bookmarkEnd w:id="287"/>
      <w:r w:rsidR="00215138" w:rsidRPr="00E23D52">
        <w:rPr>
          <w:rFonts w:ascii="KaiTi" w:eastAsia="KaiTi" w:hAnsi="KaiTi" w:cs="Arial" w:hint="eastAsia"/>
          <w:iCs/>
        </w:rPr>
        <w:t>。</w:t>
      </w:r>
      <w:r w:rsidR="00215138" w:rsidRPr="00E775A9">
        <w:rPr>
          <w:rFonts w:hAnsi="SimSun" w:cs="Arial" w:hint="eastAsia"/>
        </w:rPr>
        <w:t>《发展议程》呼吁技术援助以需求为导向。成员国报告称，技术援助是对其需求和要求的回应。其与产权组织接触，并根据其请求，产权组织区域司与技术领域之间进行对话，以确定如何最好地满足成员国的需求和请求。在数据收集阶段，这一点已被广泛报道。这方面的挑战是，有时成员国可能会对技术援助提出宽泛或非常宏大的请求，而一个正常运作的知识产权系统的基石尚未建立。在这种情况下，产权组织与成员国进行对话，以帮助更好地确定需求，并确定具备接受所提请求的能力。图表1显示，74.1%的成员国将技术援助评估</w:t>
      </w:r>
      <w:r w:rsidR="00215138">
        <w:rPr>
          <w:rFonts w:hAnsi="SimSun" w:cs="SimSun" w:hint="eastAsia"/>
        </w:rPr>
        <w:t>为“非常高度”相关和“高度”相关</w:t>
      </w:r>
      <w:r w:rsidR="00215138" w:rsidRPr="00E775A9">
        <w:rPr>
          <w:rFonts w:hAnsi="SimSun" w:cs="Arial" w:hint="eastAsia"/>
        </w:rPr>
        <w:t>，68.9%将</w:t>
      </w:r>
      <w:r w:rsidR="00215138">
        <w:rPr>
          <w:rFonts w:hAnsi="SimSun" w:cs="SimSun" w:hint="eastAsia"/>
        </w:rPr>
        <w:t>“技术援助由成员国的需求驱动”</w:t>
      </w:r>
      <w:r w:rsidR="00215138" w:rsidRPr="00E775A9">
        <w:rPr>
          <w:rFonts w:hAnsi="SimSun" w:cs="Arial" w:hint="eastAsia"/>
        </w:rPr>
        <w:t>的程度评估为</w:t>
      </w:r>
      <w:r w:rsidR="00215138">
        <w:rPr>
          <w:rFonts w:hAnsi="SimSun" w:cs="SimSun" w:hint="eastAsia"/>
        </w:rPr>
        <w:t>“非常高”和“高”</w:t>
      </w:r>
      <w:r w:rsidR="00215138" w:rsidRPr="00E775A9">
        <w:rPr>
          <w:rFonts w:hAnsi="SimSun" w:cs="Arial" w:hint="eastAsia"/>
        </w:rPr>
        <w:t>，71.9%将</w:t>
      </w:r>
      <w:r w:rsidR="00215138">
        <w:rPr>
          <w:rFonts w:hAnsi="SimSun" w:cs="SimSun" w:hint="eastAsia"/>
        </w:rPr>
        <w:t>“产权组织的技术援助与成员国国家发展计划的互补性”评估为“非常高”和“高”</w:t>
      </w:r>
      <w:r w:rsidR="00215138">
        <w:rPr>
          <w:rFonts w:hAnsi="SimSun" w:cs="SimSun" w:hint="eastAsia"/>
          <w:sz w:val="24"/>
          <w:szCs w:val="24"/>
        </w:rPr>
        <w:t>。</w:t>
      </w:r>
    </w:p>
    <w:p w14:paraId="624EB6A1" w14:textId="68A23314" w:rsidR="00EA5678" w:rsidRPr="00E775A9" w:rsidRDefault="00215138" w:rsidP="00FA22D5">
      <w:pPr>
        <w:spacing w:afterLines="50" w:after="120" w:line="340" w:lineRule="atLeast"/>
        <w:jc w:val="center"/>
        <w:rPr>
          <w:rFonts w:hAnsi="SimSun" w:cs="Arial"/>
          <w:color w:val="2F5496" w:themeColor="accent1" w:themeShade="BF"/>
          <w:sz w:val="20"/>
          <w:szCs w:val="20"/>
        </w:rPr>
      </w:pPr>
      <w:r w:rsidRPr="00E775A9">
        <w:rPr>
          <w:rFonts w:hAnsi="SimSun" w:cs="Arial" w:hint="eastAsia"/>
          <w:color w:val="2F5496" w:themeColor="accent1" w:themeShade="BF"/>
          <w:sz w:val="20"/>
          <w:szCs w:val="20"/>
        </w:rPr>
        <w:t>图表</w:t>
      </w:r>
      <w:r w:rsidRPr="00E775A9">
        <w:rPr>
          <w:rFonts w:hAnsi="SimSun" w:cs="Arial" w:hint="eastAsia"/>
          <w:color w:val="2F5496" w:themeColor="accent1" w:themeShade="BF"/>
          <w:sz w:val="20"/>
          <w:szCs w:val="20"/>
        </w:rPr>
        <w:fldChar w:fldCharType="begin"/>
      </w:r>
      <w:r w:rsidRPr="00E775A9">
        <w:rPr>
          <w:rFonts w:hAnsi="SimSun" w:cs="Arial" w:hint="eastAsia"/>
          <w:color w:val="2F5496" w:themeColor="accent1" w:themeShade="BF"/>
          <w:sz w:val="20"/>
          <w:szCs w:val="20"/>
        </w:rPr>
        <w:instrText xml:space="preserve"> SEQ Graph \* ARABIC </w:instrText>
      </w:r>
      <w:r w:rsidRPr="00E775A9">
        <w:rPr>
          <w:rFonts w:hAnsi="SimSun" w:cs="Arial" w:hint="eastAsia"/>
          <w:color w:val="2F5496" w:themeColor="accent1" w:themeShade="BF"/>
          <w:sz w:val="20"/>
          <w:szCs w:val="20"/>
        </w:rPr>
        <w:fldChar w:fldCharType="separate"/>
      </w:r>
      <w:r w:rsidR="00AA5A99">
        <w:rPr>
          <w:rFonts w:hAnsi="SimSun" w:cs="Arial"/>
          <w:noProof/>
          <w:color w:val="2F5496" w:themeColor="accent1" w:themeShade="BF"/>
          <w:sz w:val="20"/>
          <w:szCs w:val="20"/>
        </w:rPr>
        <w:t>1</w:t>
      </w:r>
      <w:r w:rsidRPr="00E775A9">
        <w:rPr>
          <w:rFonts w:hAnsi="SimSun" w:cs="Arial" w:hint="eastAsia"/>
          <w:color w:val="2F5496" w:themeColor="accent1" w:themeShade="BF"/>
          <w:sz w:val="20"/>
          <w:szCs w:val="20"/>
        </w:rPr>
        <w:fldChar w:fldCharType="end"/>
      </w:r>
      <w:r w:rsidRPr="00E775A9">
        <w:rPr>
          <w:rFonts w:hAnsi="SimSun" w:cs="Arial" w:hint="eastAsia"/>
          <w:color w:val="2F5496" w:themeColor="accent1" w:themeShade="BF"/>
          <w:sz w:val="20"/>
          <w:szCs w:val="20"/>
        </w:rPr>
        <w:t>.成员国评估的技术援助的相关性</w:t>
      </w:r>
    </w:p>
    <w:p w14:paraId="00C11EA0" w14:textId="0D1B40AD" w:rsidR="00EA5678" w:rsidRPr="00E775A9" w:rsidRDefault="00A430DE">
      <w:pPr>
        <w:spacing w:after="60" w:line="240" w:lineRule="auto"/>
        <w:rPr>
          <w:rFonts w:hAnsi="SimSun" w:cs="Arial"/>
          <w:sz w:val="24"/>
          <w:szCs w:val="24"/>
        </w:rPr>
      </w:pPr>
      <w:r w:rsidRPr="00A430DE">
        <w:rPr>
          <w:rFonts w:hint="eastAsia"/>
          <w:noProof/>
        </w:rPr>
        <w:drawing>
          <wp:inline distT="0" distB="0" distL="0" distR="0" wp14:anchorId="08DA1D7B" wp14:editId="62D779A4">
            <wp:extent cx="5939790" cy="2669540"/>
            <wp:effectExtent l="0" t="0" r="3810" b="0"/>
            <wp:docPr id="5324919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39790" cy="2669540"/>
                    </a:xfrm>
                    <a:prstGeom prst="rect">
                      <a:avLst/>
                    </a:prstGeom>
                    <a:noFill/>
                    <a:ln>
                      <a:noFill/>
                    </a:ln>
                  </pic:spPr>
                </pic:pic>
              </a:graphicData>
            </a:graphic>
          </wp:inline>
        </w:drawing>
      </w:r>
    </w:p>
    <w:p w14:paraId="0BC09554" w14:textId="77777777" w:rsidR="00EA5678" w:rsidRPr="00E775A9" w:rsidRDefault="00215138" w:rsidP="0061732F">
      <w:pPr>
        <w:tabs>
          <w:tab w:val="left" w:pos="0"/>
        </w:tabs>
        <w:spacing w:afterLines="50" w:after="120" w:line="240" w:lineRule="auto"/>
        <w:rPr>
          <w:rFonts w:hAnsi="SimSun" w:cs="Arial"/>
          <w:sz w:val="20"/>
          <w:szCs w:val="20"/>
        </w:rPr>
      </w:pPr>
      <w:r w:rsidRPr="00E775A9">
        <w:rPr>
          <w:rFonts w:hAnsi="SimSun" w:cs="Arial" w:hint="eastAsia"/>
          <w:sz w:val="20"/>
          <w:szCs w:val="20"/>
        </w:rPr>
        <w:t>来源：审查调查</w:t>
      </w:r>
    </w:p>
    <w:bookmarkStart w:id="290" w:name="_Hlk173698845"/>
    <w:p w14:paraId="762D69A4" w14:textId="4B6C60B7" w:rsidR="00EA5678" w:rsidRPr="00E775A9" w:rsidRDefault="0061732F" w:rsidP="00C259B0">
      <w:pPr>
        <w:pStyle w:val="ListParagraph"/>
        <w:numPr>
          <w:ilvl w:val="0"/>
          <w:numId w:val="3"/>
        </w:numPr>
        <w:spacing w:after="120"/>
        <w:ind w:left="0" w:firstLine="0"/>
        <w:rPr>
          <w:rFonts w:hAnsi="SimSun" w:cs="Arial"/>
        </w:rPr>
      </w:pPr>
      <w:r>
        <w:rPr>
          <w:rFonts w:ascii="Arial" w:hAnsi="Arial" w:cs="Arial" w:hint="eastAsia"/>
          <w:noProof/>
        </w:rPr>
        <mc:AlternateContent>
          <mc:Choice Requires="wps">
            <w:drawing>
              <wp:anchor distT="45720" distB="45720" distL="114300" distR="114300" simplePos="0" relativeHeight="251664384" behindDoc="0" locked="0" layoutInCell="1" allowOverlap="1" wp14:anchorId="30421D21" wp14:editId="61C2A61A">
                <wp:simplePos x="0" y="0"/>
                <wp:positionH relativeFrom="margin">
                  <wp:posOffset>3527855</wp:posOffset>
                </wp:positionH>
                <wp:positionV relativeFrom="paragraph">
                  <wp:posOffset>81915</wp:posOffset>
                </wp:positionV>
                <wp:extent cx="2360930" cy="1003935"/>
                <wp:effectExtent l="0" t="0" r="5080" b="5715"/>
                <wp:wrapSquare wrapText="bothSides"/>
                <wp:docPr id="188069587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003935"/>
                        </a:xfrm>
                        <a:prstGeom prst="rect">
                          <a:avLst/>
                        </a:prstGeom>
                        <a:solidFill>
                          <a:srgbClr val="FFC000">
                            <a:lumMod val="60000"/>
                            <a:lumOff val="40000"/>
                          </a:srgbClr>
                        </a:solidFill>
                        <a:ln w="9525">
                          <a:noFill/>
                          <a:miter lim="800000"/>
                        </a:ln>
                      </wps:spPr>
                      <wps:txbx>
                        <w:txbxContent>
                          <w:p w14:paraId="3BC054C6" w14:textId="06ACD3D5" w:rsidR="00EA5678" w:rsidRDefault="00215138" w:rsidP="00A430DE">
                            <w:pPr>
                              <w:overflowPunct w:val="0"/>
                              <w:spacing w:afterLines="50" w:after="120" w:line="340" w:lineRule="atLeast"/>
                              <w:jc w:val="both"/>
                            </w:pPr>
                            <w:bookmarkStart w:id="291" w:name="_Hlk174544046"/>
                            <w:bookmarkStart w:id="292" w:name="_Hlk174544045"/>
                            <w:r>
                              <w:t>审查结果3：技术援助的主要对话是与知识产权局进行的。与知识产权局以外的其他机构的对话正在进行中。</w:t>
                            </w:r>
                            <w:bookmarkEnd w:id="291"/>
                            <w:bookmarkEnd w:id="292"/>
                          </w:p>
                        </w:txbxContent>
                      </wps:txbx>
                      <wps:bodyPr rot="0" vert="horz" wrap="square" lIns="91440" tIns="45720" rIns="91440" bIns="45720" anchor="t" anchorCtr="0">
                        <a:noAutofit/>
                      </wps:bodyPr>
                    </wps:wsp>
                  </a:graphicData>
                </a:graphic>
                <wp14:sizeRelH relativeFrom="margin">
                  <wp14:pctWidth>40000</wp14:pctWidth>
                </wp14:sizeRelH>
                <wp14:sizeRelV relativeFrom="page">
                  <wp14:pctHeight>0</wp14:pctHeight>
                </wp14:sizeRelV>
              </wp:anchor>
            </w:drawing>
          </mc:Choice>
          <mc:Fallback>
            <w:pict>
              <v:shape w14:anchorId="30421D21" id="_x0000_s1029" type="#_x0000_t202" style="position:absolute;left:0;text-align:left;margin-left:277.8pt;margin-top:6.45pt;width:185.9pt;height:79.05pt;z-index:251664384;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" fillcolor="#ffd966" stroked="f">
                <v:textbox>
                  <w:txbxContent>
                    <w:p w14:paraId="3BC054C6" w14:textId="06ACD3D5" w:rsidR="00EA5678" w:rsidRDefault="00215138" w:rsidP="00A430DE">
                      <w:pPr>
                        <w:overflowPunct w:val="0"/>
                        <w:spacing w:afterLines="50" w:after="120" w:line="340" w:lineRule="atLeast"/>
                        <w:jc w:val="both"/>
                      </w:pPr>
                      <w:bookmarkStart w:id="297" w:name="_Hlk174544046"/>
                      <w:bookmarkStart w:id="298" w:name="_Hlk174544045"/>
                      <w:r>
                        <w:t>审查结果3：技术援助的主要对话是与知识产权局进行的。与知识产权局以外的其他机构的对话正在进行中。</w:t>
                      </w:r>
                      <w:bookmarkEnd w:id="297"/>
                      <w:bookmarkEnd w:id="298"/>
                    </w:p>
                  </w:txbxContent>
                </v:textbox>
                <w10:wrap type="square" anchorx="margin"/>
              </v:shape>
            </w:pict>
          </mc:Fallback>
        </mc:AlternateContent>
      </w:r>
      <w:r>
        <w:rPr>
          <w:rFonts w:ascii="Arial" w:hAnsi="Arial" w:cs="Arial" w:hint="eastAsia"/>
          <w:b/>
          <w:noProof/>
          <w:color w:val="4472C4"/>
        </w:rPr>
        <mc:AlternateContent>
          <mc:Choice Requires="wps">
            <w:drawing>
              <wp:anchor distT="45720" distB="45720" distL="114300" distR="114300" simplePos="0" relativeHeight="251662336" behindDoc="1" locked="0" layoutInCell="1" allowOverlap="1" wp14:anchorId="23347257" wp14:editId="2FC05FAD">
                <wp:simplePos x="0" y="0"/>
                <wp:positionH relativeFrom="margin">
                  <wp:posOffset>5921</wp:posOffset>
                </wp:positionH>
                <wp:positionV relativeFrom="paragraph">
                  <wp:posOffset>277194</wp:posOffset>
                </wp:positionV>
                <wp:extent cx="2610485" cy="1465580"/>
                <wp:effectExtent l="4445" t="4445" r="13970" b="41275"/>
                <wp:wrapTight wrapText="bothSides">
                  <wp:wrapPolygon edited="0">
                    <wp:start x="-37" y="-66"/>
                    <wp:lineTo x="-37" y="21460"/>
                    <wp:lineTo x="21505" y="21460"/>
                    <wp:lineTo x="21505" y="-66"/>
                    <wp:lineTo x="-37" y="-66"/>
                  </wp:wrapPolygon>
                </wp:wrapTight>
                <wp:docPr id="2081107201" name="Caixa de Texto 2" descr="“WIPO Technical Assistance is relevant and meets the needs defined by national agencies. It is these national organizations that usually fail to identify the situation of companies and other interest groups, because it is common to find that the intellectual property offices of the countries have very little connection with the economic sector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0485" cy="1465580"/>
                        </a:xfrm>
                        <a:prstGeom prst="rect">
                          <a:avLst/>
                        </a:prstGeom>
                        <a:solidFill>
                          <a:srgbClr val="4472C4">
                            <a:lumMod val="50000"/>
                          </a:srgbClr>
                        </a:solidFill>
                        <a:ln w="9525">
                          <a:solidFill>
                            <a:srgbClr val="000000"/>
                          </a:solidFill>
                          <a:miter lim="800000"/>
                        </a:ln>
                      </wps:spPr>
                      <wps:txbx>
                        <w:txbxContent>
                          <w:p w14:paraId="783BE449" w14:textId="54DAA467" w:rsidR="00EA5678" w:rsidRDefault="00A430DE" w:rsidP="00A430DE">
                            <w:pPr>
                              <w:overflowPunct w:val="0"/>
                              <w:spacing w:afterLines="50" w:after="120" w:line="340" w:lineRule="atLeast"/>
                              <w:jc w:val="center"/>
                            </w:pPr>
                            <w:r>
                              <w:rPr>
                                <w:rFonts w:hint="eastAsia"/>
                              </w:rPr>
                              <w:t>“</w:t>
                            </w:r>
                            <w:r w:rsidR="00215138">
                              <w:t>产权组织技术援助具有相关性，符合国家机构确定的需求。正是这些国家组织通常无法确定公司和其他利益集团的情况，因为常常发现，这些国家的知识产权局与经济部门的联系很少。</w:t>
                            </w:r>
                            <w:r>
                              <w:rPr>
                                <w:rFonts w:hint="eastAsia"/>
                              </w:rPr>
                              <w:t>”</w:t>
                            </w:r>
                          </w:p>
                          <w:p w14:paraId="2CB1CD31" w14:textId="77777777" w:rsidR="00EA5678" w:rsidRDefault="00215138" w:rsidP="00A430DE">
                            <w:pPr>
                              <w:overflowPunct w:val="0"/>
                              <w:spacing w:afterLines="50" w:after="120" w:line="340" w:lineRule="atLeast"/>
                              <w:jc w:val="center"/>
                            </w:pPr>
                            <w:r>
                              <w:t>成员国，审查调查</w:t>
                            </w:r>
                          </w:p>
                        </w:txbxContent>
                      </wps:txbx>
                      <wps:bodyPr rot="0" vert="horz" wrap="square" lIns="91440" tIns="45720" rIns="91440" bIns="45720" anchor="t" anchorCtr="0">
                        <a:noAutofit/>
                      </wps:bodyPr>
                    </wps:wsp>
                  </a:graphicData>
                </a:graphic>
              </wp:anchor>
            </w:drawing>
          </mc:Choice>
          <mc:Fallback>
            <w:pict>
              <v:shape w14:anchorId="23347257" id="_x0000_s1030" type="#_x0000_t202" alt="“WIPO Technical Assistance is relevant and meets the needs defined by national agencies. It is these national organizations that usually fail to identify the situation of companies and other interest groups, because it is common to find that the intellectual property offices of the countries have very little connection with the economic sectors.”" style="position:absolute;left:0;text-align:left;margin-left:.45pt;margin-top:21.85pt;width:205.55pt;height:115.4pt;z-index:-251654144;visibility:visible;mso-wrap-style:square;mso-wrap-distance-left:9pt;mso-wrap-distance-top:3.6pt;mso-wrap-distance-right:9pt;mso-wrap-distance-bottom:3.6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" fillcolor="#203864">
                <v:textbox>
                  <w:txbxContent>
                    <w:p w14:paraId="783BE449" w14:textId="54DAA467" w:rsidR="00EA5678" w:rsidRDefault="00A430DE" w:rsidP="00A430DE">
                      <w:pPr>
                        <w:overflowPunct w:val="0"/>
                        <w:spacing w:afterLines="50" w:after="120" w:line="340" w:lineRule="atLeast"/>
                        <w:jc w:val="center"/>
                      </w:pPr>
                      <w:r>
                        <w:rPr>
                          <w:rFonts w:hint="eastAsia"/>
                        </w:rPr>
                        <w:t>“</w:t>
                      </w:r>
                      <w:r w:rsidR="00215138">
                        <w:t>产权组织技术援助具有相关性，符合国家机构确定的需求。正是这些国家组织通常无法确定公司和其他利益集团的情况，因为常常发现，这些国家的知识产权局与经济部门的联系很少。</w:t>
                      </w:r>
                      <w:r>
                        <w:rPr>
                          <w:rFonts w:hint="eastAsia"/>
                        </w:rPr>
                        <w:t>”</w:t>
                      </w:r>
                    </w:p>
                    <w:p w14:paraId="2CB1CD31" w14:textId="77777777" w:rsidR="00EA5678" w:rsidRDefault="00215138" w:rsidP="00A430DE">
                      <w:pPr>
                        <w:overflowPunct w:val="0"/>
                        <w:spacing w:afterLines="50" w:after="120" w:line="340" w:lineRule="atLeast"/>
                        <w:jc w:val="center"/>
                      </w:pPr>
                      <w:r>
                        <w:t>成员国，审查调查</w:t>
                      </w:r>
                    </w:p>
                  </w:txbxContent>
                </v:textbox>
                <w10:wrap type="tight" anchorx="margin"/>
              </v:shape>
            </w:pict>
          </mc:Fallback>
        </mc:AlternateContent>
      </w:r>
      <w:r w:rsidR="00215138" w:rsidRPr="00E23D52">
        <w:rPr>
          <w:rFonts w:ascii="KaiTi" w:eastAsia="KaiTi" w:hAnsi="KaiTi" w:cs="Arial" w:hint="eastAsia"/>
          <w:iCs/>
        </w:rPr>
        <w:t>知识产权局是技术援助干预措施领域的主要合作伙伴。无法评估这些干预措施在多大程度上能够触及其他利益攸关方，尽管有证据表明与教育部、高校、女性群体和青年进行了互动。</w:t>
      </w:r>
      <w:r w:rsidR="00215138" w:rsidRPr="00E775A9">
        <w:rPr>
          <w:rFonts w:hAnsi="SimSun" w:cs="Arial" w:hint="eastAsia"/>
        </w:rPr>
        <w:t>知识产权管理部门的设置和重要性因国家而异。它通常隶属于工业部、科学技术部或司法部，并处于二级官僚机构。没有足够的数据来评价技术援助干预措施在多大程度上满足了各国行为体的需求。在非洲的一个案例中，一个国家报告称，在与其他部委合作实施国家知识产权战略方面存在困难。这与该领域一个众所周知的挑战相符，即各国其他部委和利益攸关方对知识产权的了解有限。另一方面，审查还发现了（非洲和东欧）各成员国与教育部和青年互动的证据。这表明，尽管在让其他部门参与知识产权方面存在挑战，但正在取得一些进展。</w:t>
      </w:r>
    </w:p>
    <w:p w14:paraId="473AB1C6" w14:textId="3878CC4A"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与能力建设相关的技术援助受到高度重视，这与产权组织在提案集A中的发展议程建议相一致。</w:t>
      </w:r>
      <w:r w:rsidRPr="00E775A9">
        <w:rPr>
          <w:rFonts w:hAnsi="SimSun" w:cs="Arial" w:hint="eastAsia"/>
        </w:rPr>
        <w:t>当成员国被问及其在审查时间范围内参与的关键技术援助干预措施时，它们总是提及产权组织的能力建设工作，提到WIPO学院、短期课程、硕士课程、在线课程、进修课程等。这确实是产权组织技术援助的一个显著特征，得到了利益攸关方的广泛认可。</w:t>
      </w:r>
    </w:p>
    <w:p w14:paraId="31C2DE75" w14:textId="19CA3707" w:rsidR="00EA5678" w:rsidRPr="00E23D52" w:rsidRDefault="00A430DE" w:rsidP="00C259B0">
      <w:pPr>
        <w:pStyle w:val="ListParagraph"/>
        <w:numPr>
          <w:ilvl w:val="0"/>
          <w:numId w:val="3"/>
        </w:numPr>
        <w:spacing w:after="120"/>
        <w:ind w:left="0" w:firstLine="0"/>
        <w:rPr>
          <w:rFonts w:ascii="KaiTi" w:eastAsia="KaiTi" w:hAnsi="KaiTi" w:cs="Arial"/>
          <w:iCs/>
        </w:rPr>
      </w:pPr>
      <w:r>
        <w:rPr>
          <w:rFonts w:ascii="Arial" w:hAnsi="Arial" w:cs="Arial" w:hint="eastAsia"/>
          <w:i/>
          <w:iCs/>
          <w:noProof/>
          <w:highlight w:val="red"/>
        </w:rPr>
        <mc:AlternateContent>
          <mc:Choice Requires="wps">
            <w:drawing>
              <wp:anchor distT="45720" distB="45720" distL="114300" distR="114300" simplePos="0" relativeHeight="251666432" behindDoc="0" locked="0" layoutInCell="1" allowOverlap="1" wp14:anchorId="6950EF1E" wp14:editId="458DAFAF">
                <wp:simplePos x="0" y="0"/>
                <wp:positionH relativeFrom="margin">
                  <wp:posOffset>3538855</wp:posOffset>
                </wp:positionH>
                <wp:positionV relativeFrom="paragraph">
                  <wp:posOffset>89535</wp:posOffset>
                </wp:positionV>
                <wp:extent cx="2360930" cy="560070"/>
                <wp:effectExtent l="0" t="0" r="5080" b="0"/>
                <wp:wrapSquare wrapText="bothSides"/>
                <wp:docPr id="999027892" name="Caixa de Texto 2" descr="Finding 4:  Some Member States requested to provide further elaboration on WIPO’s Technical Assistance.  "/>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560070"/>
                        </a:xfrm>
                        <a:prstGeom prst="rect">
                          <a:avLst/>
                        </a:prstGeom>
                        <a:solidFill>
                          <a:srgbClr val="FFC000">
                            <a:lumMod val="60000"/>
                            <a:lumOff val="40000"/>
                          </a:srgbClr>
                        </a:solidFill>
                        <a:ln w="9525">
                          <a:noFill/>
                          <a:miter lim="800000"/>
                        </a:ln>
                      </wps:spPr>
                      <wps:txbx>
                        <w:txbxContent>
                          <w:p w14:paraId="5C3B696E" w14:textId="77777777" w:rsidR="00EA5678" w:rsidRDefault="00215138" w:rsidP="00A430DE">
                            <w:pPr>
                              <w:spacing w:afterLines="50" w:after="120" w:line="340" w:lineRule="atLeast"/>
                              <w:jc w:val="both"/>
                            </w:pPr>
                            <w:bookmarkStart w:id="293" w:name="_Hlk174544057"/>
                            <w:bookmarkStart w:id="294" w:name="_Hlk174544058"/>
                            <w:r>
                              <w:t>审查结果4：一些成员国要求进一步阐述产权组织的技术援助。</w:t>
                            </w:r>
                            <w:bookmarkEnd w:id="293"/>
                            <w:bookmarkEnd w:id="294"/>
                          </w:p>
                        </w:txbxContent>
                      </wps:txbx>
                      <wps:bodyPr rot="0" vert="horz" wrap="square" lIns="91440" tIns="45720" rIns="91440" bIns="45720" anchor="t" anchorCtr="0">
                        <a:noAutofit/>
                      </wps:bodyPr>
                    </wps:wsp>
                  </a:graphicData>
                </a:graphic>
                <wp14:sizeRelH relativeFrom="margin">
                  <wp14:pctWidth>40000</wp14:pctWidth>
                </wp14:sizeRelH>
                <wp14:sizeRelV relativeFrom="page">
                  <wp14:pctHeight>0</wp14:pctHeight>
                </wp14:sizeRelV>
              </wp:anchor>
            </w:drawing>
          </mc:Choice>
          <mc:Fallback>
            <w:pict>
              <v:shape w14:anchorId="6950EF1E" id="_x0000_s1031" type="#_x0000_t202" alt="Finding 4:  Some Member States requested to provide further elaboration on WIPO’s Technical Assistance.  " style="position:absolute;left:0;text-align:left;margin-left:278.65pt;margin-top:7.05pt;width:185.9pt;height:44.1pt;z-index:251666432;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" fillcolor="#ffd966" stroked="f">
                <v:textbox>
                  <w:txbxContent>
                    <w:p w14:paraId="5C3B696E" w14:textId="77777777" w:rsidR="00EA5678" w:rsidRDefault="00215138" w:rsidP="00A430DE">
                      <w:pPr>
                        <w:spacing w:afterLines="50" w:after="120" w:line="340" w:lineRule="atLeast"/>
                        <w:jc w:val="both"/>
                      </w:pPr>
                      <w:bookmarkStart w:id="301" w:name="_Hlk174544057"/>
                      <w:bookmarkStart w:id="302" w:name="_Hlk174544058"/>
                      <w:r>
                        <w:t>审查结果4：一些成员国要求进一步阐述产权组织的技术援助。</w:t>
                      </w:r>
                      <w:bookmarkEnd w:id="301"/>
                      <w:bookmarkEnd w:id="302"/>
                    </w:p>
                  </w:txbxContent>
                </v:textbox>
                <w10:wrap type="square" anchorx="margin"/>
              </v:shape>
            </w:pict>
          </mc:Fallback>
        </mc:AlternateContent>
      </w:r>
      <w:r w:rsidR="00215138" w:rsidRPr="00E23D52">
        <w:rPr>
          <w:rFonts w:ascii="KaiTi" w:eastAsia="KaiTi" w:hAnsi="KaiTi" w:cs="Arial" w:hint="eastAsia"/>
          <w:iCs/>
        </w:rPr>
        <w:t>一些成员国要求进一步说明所提供的技术援助（援助成员国的标准、工作计划、资源分配和成果）。</w:t>
      </w:r>
      <w:r w:rsidR="00215138" w:rsidRPr="00E775A9">
        <w:rPr>
          <w:rFonts w:hAnsi="SimSun" w:cs="Arial" w:hint="eastAsia"/>
        </w:rPr>
        <w:t>根据审查调查，61%的调查受访者将技术援助的透明度评价为</w:t>
      </w:r>
      <w:r w:rsidR="00215138">
        <w:rPr>
          <w:rFonts w:hAnsi="SimSun" w:cs="SimSun" w:hint="eastAsia"/>
        </w:rPr>
        <w:t>“非常高”或“高”</w:t>
      </w:r>
      <w:r w:rsidR="00215138" w:rsidRPr="00E775A9">
        <w:rPr>
          <w:rFonts w:hAnsi="SimSun" w:cs="Arial" w:hint="eastAsia"/>
        </w:rPr>
        <w:t>。虽然这一数字看起来可能很高，而且从绝对值来看也是如此，但这是相关性项下得分最低的项目，从访谈和调查中的开放性问题可以看出，一些成员国不清楚向成员国分配资源的标准，不知道结果、工作计划等。值得一提的是，产权组织通过</w:t>
      </w:r>
      <w:hyperlink r:id="rId20" w:history="1">
        <w:r w:rsidR="00215138" w:rsidRPr="00E775A9">
          <w:rPr>
            <w:rStyle w:val="Hyperlink"/>
            <w:rFonts w:hAnsi="SimSun" w:cs="Arial" w:hint="eastAsia"/>
          </w:rPr>
          <w:t>产权组织技术援助数据库</w:t>
        </w:r>
      </w:hyperlink>
      <w:r w:rsidR="00215138" w:rsidRPr="00E775A9">
        <w:rPr>
          <w:rFonts w:hAnsi="SimSun" w:cs="Arial" w:hint="eastAsia"/>
        </w:rPr>
        <w:t>和发展议程下的</w:t>
      </w:r>
      <w:hyperlink r:id="rId21" w:history="1">
        <w:r w:rsidR="00215138" w:rsidRPr="00E775A9">
          <w:rPr>
            <w:rStyle w:val="Hyperlink"/>
            <w:rFonts w:hAnsi="SimSun" w:cs="Arial" w:hint="eastAsia"/>
          </w:rPr>
          <w:t>的发展议程项目和产出目录</w:t>
        </w:r>
      </w:hyperlink>
      <w:r w:rsidR="00215138" w:rsidRPr="00E775A9">
        <w:rPr>
          <w:rFonts w:hAnsi="SimSun" w:cs="Arial" w:hint="eastAsia"/>
        </w:rPr>
        <w:t>，努力提高技术援助的透明度。</w:t>
      </w:r>
    </w:p>
    <w:p w14:paraId="1BDD0D11" w14:textId="4A17FEC8" w:rsidR="00EA5678" w:rsidRPr="00E775A9" w:rsidRDefault="00215138" w:rsidP="00FA22D5">
      <w:pPr>
        <w:spacing w:afterLines="50" w:after="120" w:line="340" w:lineRule="atLeast"/>
        <w:jc w:val="center"/>
        <w:rPr>
          <w:rFonts w:hAnsi="SimSun" w:cs="Arial"/>
          <w:color w:val="2F5496" w:themeColor="accent1" w:themeShade="BF"/>
          <w:sz w:val="20"/>
          <w:szCs w:val="20"/>
        </w:rPr>
      </w:pPr>
      <w:r w:rsidRPr="00E775A9">
        <w:rPr>
          <w:rFonts w:hAnsi="SimSun" w:cs="Arial" w:hint="eastAsia"/>
          <w:color w:val="2F5496" w:themeColor="accent1" w:themeShade="BF"/>
          <w:sz w:val="20"/>
          <w:szCs w:val="20"/>
        </w:rPr>
        <w:t>图表</w:t>
      </w:r>
      <w:r w:rsidRPr="00E775A9">
        <w:rPr>
          <w:rFonts w:hAnsi="SimSun" w:cs="Arial" w:hint="eastAsia"/>
          <w:color w:val="2F5496" w:themeColor="accent1" w:themeShade="BF"/>
          <w:sz w:val="20"/>
          <w:szCs w:val="20"/>
        </w:rPr>
        <w:fldChar w:fldCharType="begin"/>
      </w:r>
      <w:r w:rsidRPr="00E775A9">
        <w:rPr>
          <w:rFonts w:hAnsi="SimSun" w:cs="Arial" w:hint="eastAsia"/>
          <w:color w:val="2F5496" w:themeColor="accent1" w:themeShade="BF"/>
          <w:sz w:val="20"/>
          <w:szCs w:val="20"/>
        </w:rPr>
        <w:instrText xml:space="preserve"> SEQ Graph \* ARABIC </w:instrText>
      </w:r>
      <w:r w:rsidRPr="00E775A9">
        <w:rPr>
          <w:rFonts w:hAnsi="SimSun" w:cs="Arial" w:hint="eastAsia"/>
          <w:color w:val="2F5496" w:themeColor="accent1" w:themeShade="BF"/>
          <w:sz w:val="20"/>
          <w:szCs w:val="20"/>
        </w:rPr>
        <w:fldChar w:fldCharType="separate"/>
      </w:r>
      <w:r w:rsidR="00AA5A99">
        <w:rPr>
          <w:rFonts w:hAnsi="SimSun" w:cs="Arial"/>
          <w:noProof/>
          <w:color w:val="2F5496" w:themeColor="accent1" w:themeShade="BF"/>
          <w:sz w:val="20"/>
          <w:szCs w:val="20"/>
        </w:rPr>
        <w:t>2</w:t>
      </w:r>
      <w:r w:rsidRPr="00E775A9">
        <w:rPr>
          <w:rFonts w:hAnsi="SimSun" w:cs="Arial" w:hint="eastAsia"/>
          <w:color w:val="2F5496" w:themeColor="accent1" w:themeShade="BF"/>
          <w:sz w:val="20"/>
          <w:szCs w:val="20"/>
        </w:rPr>
        <w:fldChar w:fldCharType="end"/>
      </w:r>
      <w:r w:rsidRPr="00E775A9">
        <w:rPr>
          <w:rFonts w:hAnsi="SimSun" w:cs="Arial" w:hint="eastAsia"/>
          <w:color w:val="2F5496" w:themeColor="accent1" w:themeShade="BF"/>
          <w:sz w:val="20"/>
          <w:szCs w:val="20"/>
        </w:rPr>
        <w:t>.利益攸关方评估的技术援助透明度水平</w:t>
      </w:r>
    </w:p>
    <w:p w14:paraId="4048271E" w14:textId="77777777" w:rsidR="00F012D1" w:rsidRDefault="00F012D1" w:rsidP="0061732F">
      <w:pPr>
        <w:pStyle w:val="ListParagraph"/>
        <w:spacing w:afterLines="0" w:after="0" w:line="240" w:lineRule="auto"/>
        <w:ind w:left="284"/>
        <w:rPr>
          <w:rFonts w:hAnsi="SimSun" w:cs="Arial"/>
          <w:sz w:val="20"/>
          <w:szCs w:val="20"/>
        </w:rPr>
      </w:pPr>
      <w:r w:rsidRPr="00F012D1">
        <w:rPr>
          <w:rFonts w:hint="eastAsia"/>
          <w:noProof/>
        </w:rPr>
        <w:drawing>
          <wp:inline distT="0" distB="0" distL="0" distR="0" wp14:anchorId="30235B21" wp14:editId="71F52BDB">
            <wp:extent cx="5047615" cy="2722245"/>
            <wp:effectExtent l="0" t="0" r="635" b="1905"/>
            <wp:docPr id="101041009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047615" cy="2722245"/>
                    </a:xfrm>
                    <a:prstGeom prst="rect">
                      <a:avLst/>
                    </a:prstGeom>
                    <a:noFill/>
                    <a:ln>
                      <a:noFill/>
                    </a:ln>
                  </pic:spPr>
                </pic:pic>
              </a:graphicData>
            </a:graphic>
          </wp:inline>
        </w:drawing>
      </w:r>
    </w:p>
    <w:p w14:paraId="0A4B017F" w14:textId="5324A7DA" w:rsidR="00EA5678" w:rsidRPr="00E23D52" w:rsidRDefault="00215138">
      <w:pPr>
        <w:pStyle w:val="ListParagraph"/>
        <w:spacing w:after="120" w:line="240" w:lineRule="auto"/>
        <w:ind w:left="284"/>
        <w:rPr>
          <w:rFonts w:ascii="KaiTi" w:eastAsia="KaiTi" w:hAnsi="KaiTi" w:cs="Arial"/>
          <w:iCs/>
          <w:sz w:val="24"/>
          <w:szCs w:val="24"/>
        </w:rPr>
      </w:pPr>
      <w:r w:rsidRPr="00E775A9">
        <w:rPr>
          <w:rFonts w:hAnsi="SimSun" w:cs="Arial" w:hint="eastAsia"/>
          <w:sz w:val="20"/>
          <w:szCs w:val="20"/>
        </w:rPr>
        <w:t>来源：审查调查</w:t>
      </w:r>
    </w:p>
    <w:p w14:paraId="7A852113" w14:textId="77777777"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为最不发达国家（LDC）提供技术援助方面做出了相关努力。</w:t>
      </w:r>
      <w:r w:rsidRPr="00E775A9">
        <w:rPr>
          <w:rFonts w:hAnsi="SimSun" w:cs="Arial" w:hint="eastAsia"/>
        </w:rPr>
        <w:t>在产权组织内，最不发达国家通过产权组织的区域司和最不发达发达国家的相关司获得支持。《伊斯坦布尔行动纲领》指导这项工作。这种支持是跨部门和跨国家的。通过专题旗舰项目加强技术援助，这些项目有助于建设国家利用技术信息（如何提取信息）的能力，并将其用于与具体发展相关的挑战（例如</w:t>
      </w:r>
      <w:r w:rsidRPr="00E23D52">
        <w:rPr>
          <w:rFonts w:ascii="KaiTi" w:eastAsia="KaiTi" w:hAnsi="KaiTi" w:cs="Arial" w:hint="eastAsia"/>
          <w:iCs/>
        </w:rPr>
        <w:t>，</w:t>
      </w:r>
      <w:r w:rsidRPr="00E775A9">
        <w:rPr>
          <w:rFonts w:hAnsi="SimSun" w:cs="Arial" w:hint="eastAsia"/>
        </w:rPr>
        <w:t>在乌干达使用雨水收集数据库）。许多针对最不发达国家的干预措施的基本原理是利用知识产权促进发展——将创新与发展需求联系起来。</w:t>
      </w:r>
    </w:p>
    <w:p w14:paraId="6052E217" w14:textId="77777777" w:rsidR="00EA5678" w:rsidRPr="00E775A9" w:rsidRDefault="00215138" w:rsidP="00C259B0">
      <w:pPr>
        <w:pStyle w:val="ListParagraph"/>
        <w:numPr>
          <w:ilvl w:val="0"/>
          <w:numId w:val="3"/>
        </w:numPr>
        <w:spacing w:after="120"/>
        <w:ind w:left="0" w:firstLine="0"/>
        <w:rPr>
          <w:rFonts w:hAnsi="SimSun" w:cs="Arial"/>
        </w:rPr>
      </w:pPr>
      <w:r>
        <w:rPr>
          <w:rFonts w:ascii="Arial" w:hAnsi="Arial" w:cs="Arial" w:hint="eastAsia"/>
          <w:noProof/>
        </w:rPr>
        <mc:AlternateContent>
          <mc:Choice Requires="wps">
            <w:drawing>
              <wp:anchor distT="45720" distB="45720" distL="114300" distR="114300" simplePos="0" relativeHeight="251667456" behindDoc="0" locked="0" layoutInCell="1" allowOverlap="1" wp14:anchorId="2C84E20E" wp14:editId="78A06A45">
                <wp:simplePos x="0" y="0"/>
                <wp:positionH relativeFrom="margin">
                  <wp:posOffset>3835400</wp:posOffset>
                </wp:positionH>
                <wp:positionV relativeFrom="paragraph">
                  <wp:posOffset>709574</wp:posOffset>
                </wp:positionV>
                <wp:extent cx="2087245" cy="786130"/>
                <wp:effectExtent l="0" t="0" r="8255" b="0"/>
                <wp:wrapSquare wrapText="bothSides"/>
                <wp:docPr id="2032369707"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7245" cy="786130"/>
                        </a:xfrm>
                        <a:prstGeom prst="rect">
                          <a:avLst/>
                        </a:prstGeom>
                        <a:solidFill>
                          <a:srgbClr val="FFC000">
                            <a:lumMod val="60000"/>
                            <a:lumOff val="40000"/>
                          </a:srgbClr>
                        </a:solidFill>
                        <a:ln w="9525">
                          <a:noFill/>
                          <a:miter lim="800000"/>
                        </a:ln>
                      </wps:spPr>
                      <wps:txbx>
                        <w:txbxContent>
                          <w:p w14:paraId="6D4B5FC3" w14:textId="2F474C99" w:rsidR="00EA5678" w:rsidRDefault="00215138" w:rsidP="00F012D1">
                            <w:pPr>
                              <w:spacing w:afterLines="50" w:after="120" w:line="340" w:lineRule="atLeast"/>
                              <w:jc w:val="both"/>
                            </w:pPr>
                            <w:r>
                              <w:t>审查结果5：产权组织支持了南南合作的相关举措。然而，成员国希望加强这一努力。</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C84E20E" id="_x0000_s1032" type="#_x0000_t202" style="position:absolute;left:0;text-align:left;margin-left:302pt;margin-top:55.85pt;width:164.35pt;height:61.9pt;z-index:2516674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" fillcolor="#ffd966" stroked="f">
                <v:textbox>
                  <w:txbxContent>
                    <w:p w14:paraId="6D4B5FC3" w14:textId="2F474C99" w:rsidR="00EA5678" w:rsidRDefault="00215138" w:rsidP="00F012D1">
                      <w:pPr>
                        <w:spacing w:afterLines="50" w:after="120" w:line="340" w:lineRule="atLeast"/>
                        <w:jc w:val="both"/>
                      </w:pPr>
                      <w:r>
                        <w:t>审查结果5：产权组织支持了南南合作的相关举措。然而，成员国希望加强这一努力。</w:t>
                      </w:r>
                    </w:p>
                  </w:txbxContent>
                </v:textbox>
                <w10:wrap type="square" anchorx="margin"/>
              </v:shape>
            </w:pict>
          </mc:Fallback>
        </mc:AlternateContent>
      </w:r>
      <w:r w:rsidRPr="00E23D52">
        <w:rPr>
          <w:rFonts w:ascii="KaiTi" w:eastAsia="KaiTi" w:hAnsi="KaiTi" w:cs="Arial" w:hint="eastAsia"/>
          <w:iCs/>
        </w:rPr>
        <w:t>尽管在加勒比、东欧和东盟等地区进行了重要对话，但南南合作仍然有限。</w:t>
      </w:r>
      <w:r w:rsidRPr="00E775A9">
        <w:rPr>
          <w:rFonts w:hAnsi="SimSun" w:cs="Arial" w:hint="eastAsia"/>
        </w:rPr>
        <w:t>根据审查调查（见图表3），只有45%的人将产权组织内部的南南合作评估为</w:t>
      </w:r>
      <w:r>
        <w:rPr>
          <w:rFonts w:hAnsi="SimSun" w:cs="SimSun" w:hint="eastAsia"/>
        </w:rPr>
        <w:t>“非常高”和“高”</w:t>
      </w:r>
      <w:r w:rsidRPr="00E775A9">
        <w:rPr>
          <w:rFonts w:hAnsi="SimSun" w:cs="Arial" w:hint="eastAsia"/>
        </w:rPr>
        <w:t>。对成员国的访谈证实了这一点，他们在访谈中报告称，其希望有机会与其同行以及在现实情况更相似的区域内交流更多的经验。事实上，这是审查过程中咨询过的许多成员国提出的要求。已经确定了两个值得注意的例外，第一个是在东盟地区，在信托基金（FIT）的支持下，各国之间正在进行重要对话。另一个值得注意的例外是加勒比地区，该地区重视能力建设。</w:t>
      </w:r>
    </w:p>
    <w:p w14:paraId="66B886DC" w14:textId="74FBB22C" w:rsidR="00EA5678" w:rsidRPr="00E775A9" w:rsidRDefault="00215138" w:rsidP="00FA22D5">
      <w:pPr>
        <w:spacing w:afterLines="50" w:after="120" w:line="340" w:lineRule="atLeast"/>
        <w:jc w:val="center"/>
        <w:rPr>
          <w:rFonts w:hAnsi="SimSun" w:cs="Arial"/>
          <w:color w:val="2F5496" w:themeColor="accent1" w:themeShade="BF"/>
          <w:sz w:val="20"/>
          <w:szCs w:val="20"/>
        </w:rPr>
      </w:pPr>
      <w:r w:rsidRPr="00E775A9">
        <w:rPr>
          <w:rFonts w:hAnsi="SimSun" w:cs="Arial" w:hint="eastAsia"/>
          <w:color w:val="2F5496" w:themeColor="accent1" w:themeShade="BF"/>
          <w:sz w:val="20"/>
          <w:szCs w:val="20"/>
        </w:rPr>
        <w:t>图表</w:t>
      </w:r>
      <w:r w:rsidRPr="00E775A9">
        <w:rPr>
          <w:rFonts w:hAnsi="SimSun" w:cs="Arial" w:hint="eastAsia"/>
          <w:color w:val="2F5496" w:themeColor="accent1" w:themeShade="BF"/>
          <w:sz w:val="20"/>
          <w:szCs w:val="20"/>
        </w:rPr>
        <w:fldChar w:fldCharType="begin"/>
      </w:r>
      <w:r w:rsidRPr="00E775A9">
        <w:rPr>
          <w:rFonts w:hAnsi="SimSun" w:cs="Arial" w:hint="eastAsia"/>
          <w:color w:val="2F5496" w:themeColor="accent1" w:themeShade="BF"/>
          <w:sz w:val="20"/>
          <w:szCs w:val="20"/>
        </w:rPr>
        <w:instrText xml:space="preserve"> SEQ Graph \* ARABIC </w:instrText>
      </w:r>
      <w:r w:rsidRPr="00E775A9">
        <w:rPr>
          <w:rFonts w:hAnsi="SimSun" w:cs="Arial" w:hint="eastAsia"/>
          <w:color w:val="2F5496" w:themeColor="accent1" w:themeShade="BF"/>
          <w:sz w:val="20"/>
          <w:szCs w:val="20"/>
        </w:rPr>
        <w:fldChar w:fldCharType="separate"/>
      </w:r>
      <w:r w:rsidR="00AA5A99">
        <w:rPr>
          <w:rFonts w:hAnsi="SimSun" w:cs="Arial"/>
          <w:noProof/>
          <w:color w:val="2F5496" w:themeColor="accent1" w:themeShade="BF"/>
          <w:sz w:val="20"/>
          <w:szCs w:val="20"/>
        </w:rPr>
        <w:t>3</w:t>
      </w:r>
      <w:r w:rsidRPr="00E775A9">
        <w:rPr>
          <w:rFonts w:hAnsi="SimSun" w:cs="Arial" w:hint="eastAsia"/>
          <w:color w:val="2F5496" w:themeColor="accent1" w:themeShade="BF"/>
          <w:sz w:val="20"/>
          <w:szCs w:val="20"/>
        </w:rPr>
        <w:fldChar w:fldCharType="end"/>
      </w:r>
      <w:r w:rsidRPr="00E775A9">
        <w:rPr>
          <w:rFonts w:hAnsi="SimSun" w:cs="Arial" w:hint="eastAsia"/>
          <w:color w:val="2F5496" w:themeColor="accent1" w:themeShade="BF"/>
          <w:sz w:val="20"/>
          <w:szCs w:val="20"/>
        </w:rPr>
        <w:t>.审议产权组织提供的技术援助方面的南南合作</w:t>
      </w:r>
    </w:p>
    <w:p w14:paraId="0391B281" w14:textId="32848D70" w:rsidR="00F012D1" w:rsidRDefault="00F012D1">
      <w:pPr>
        <w:spacing w:after="0" w:line="240" w:lineRule="auto"/>
        <w:ind w:left="426"/>
        <w:rPr>
          <w:rFonts w:hAnsi="SimSun" w:cs="Arial"/>
          <w:noProof/>
        </w:rPr>
      </w:pPr>
      <w:r w:rsidRPr="00F012D1">
        <w:rPr>
          <w:noProof/>
        </w:rPr>
        <w:drawing>
          <wp:inline distT="0" distB="0" distL="0" distR="0" wp14:anchorId="096F0D61" wp14:editId="18EF61B8">
            <wp:extent cx="5116195" cy="2722245"/>
            <wp:effectExtent l="0" t="0" r="8255" b="1905"/>
            <wp:docPr id="113651508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16195" cy="2722245"/>
                    </a:xfrm>
                    <a:prstGeom prst="rect">
                      <a:avLst/>
                    </a:prstGeom>
                    <a:noFill/>
                    <a:ln>
                      <a:noFill/>
                    </a:ln>
                  </pic:spPr>
                </pic:pic>
              </a:graphicData>
            </a:graphic>
          </wp:inline>
        </w:drawing>
      </w:r>
    </w:p>
    <w:p w14:paraId="501AA573" w14:textId="2232C101" w:rsidR="00EA5678" w:rsidRPr="00E775A9" w:rsidRDefault="00215138" w:rsidP="0061732F">
      <w:pPr>
        <w:spacing w:afterLines="50" w:after="120" w:line="240" w:lineRule="auto"/>
        <w:ind w:left="425"/>
        <w:rPr>
          <w:rFonts w:hAnsi="SimSun" w:cs="Arial"/>
          <w:sz w:val="20"/>
          <w:szCs w:val="20"/>
        </w:rPr>
      </w:pPr>
      <w:r w:rsidRPr="00E775A9">
        <w:rPr>
          <w:rFonts w:hAnsi="SimSun" w:cs="Arial" w:hint="eastAsia"/>
          <w:sz w:val="20"/>
          <w:szCs w:val="20"/>
        </w:rPr>
        <w:t>来源：审查调查</w:t>
      </w:r>
    </w:p>
    <w:p w14:paraId="18CCE2FC" w14:textId="77777777" w:rsidR="00EA5678" w:rsidRPr="00E775A9" w:rsidRDefault="00215138" w:rsidP="00C259B0">
      <w:pPr>
        <w:pStyle w:val="ListParagraph"/>
        <w:numPr>
          <w:ilvl w:val="0"/>
          <w:numId w:val="3"/>
        </w:numPr>
        <w:spacing w:after="120"/>
        <w:ind w:left="0" w:firstLine="0"/>
        <w:rPr>
          <w:rFonts w:hAnsi="SimSun" w:cs="Arial"/>
          <w:color w:val="2F5496" w:themeColor="accent1" w:themeShade="BF"/>
          <w:sz w:val="20"/>
          <w:szCs w:val="20"/>
        </w:rPr>
      </w:pPr>
      <w:r>
        <w:rPr>
          <w:rFonts w:ascii="Arial" w:hAnsi="Arial" w:cs="Arial" w:hint="eastAsia"/>
          <w:i/>
          <w:iCs/>
          <w:noProof/>
        </w:rPr>
        <mc:AlternateContent>
          <mc:Choice Requires="wps">
            <w:drawing>
              <wp:anchor distT="45720" distB="45720" distL="114300" distR="114300" simplePos="0" relativeHeight="251668480" behindDoc="0" locked="0" layoutInCell="1" allowOverlap="1" wp14:anchorId="0E25F6CC" wp14:editId="1DF0615D">
                <wp:simplePos x="0" y="0"/>
                <wp:positionH relativeFrom="margin">
                  <wp:posOffset>3549650</wp:posOffset>
                </wp:positionH>
                <wp:positionV relativeFrom="paragraph">
                  <wp:posOffset>728345</wp:posOffset>
                </wp:positionV>
                <wp:extent cx="2360930" cy="1009015"/>
                <wp:effectExtent l="0" t="0" r="5080" b="635"/>
                <wp:wrapSquare wrapText="bothSides"/>
                <wp:docPr id="1832760662" name="Caixa de Texto 2" descr="Finding 6:  The inclusion of gender equality in WIPO’s Technical Assistance has grown over time, motivating policy changes in Member States.  "/>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009015"/>
                        </a:xfrm>
                        <a:prstGeom prst="rect">
                          <a:avLst/>
                        </a:prstGeom>
                        <a:solidFill>
                          <a:srgbClr val="FFC000">
                            <a:lumMod val="60000"/>
                            <a:lumOff val="40000"/>
                          </a:srgbClr>
                        </a:solidFill>
                        <a:ln w="9525">
                          <a:noFill/>
                          <a:miter lim="800000"/>
                        </a:ln>
                      </wps:spPr>
                      <wps:txbx>
                        <w:txbxContent>
                          <w:p w14:paraId="142BC3BF" w14:textId="77777777" w:rsidR="00EA5678" w:rsidRDefault="00215138" w:rsidP="00F012D1">
                            <w:pPr>
                              <w:spacing w:afterLines="50" w:after="120" w:line="340" w:lineRule="atLeast"/>
                              <w:jc w:val="both"/>
                            </w:pPr>
                            <w:bookmarkStart w:id="295" w:name="_Hlk174544090"/>
                            <w:bookmarkStart w:id="296" w:name="_Hlk174544091"/>
                            <w:r>
                              <w:t>审查结果6：随着时间的推移，将性别平等纳入产权组织技术援助的情况越来越多，促使成员国进行政策变革。</w:t>
                            </w:r>
                            <w:bookmarkEnd w:id="295"/>
                            <w:bookmarkEnd w:id="296"/>
                          </w:p>
                        </w:txbxContent>
                      </wps:txbx>
                      <wps:bodyPr rot="0" vert="horz" wrap="square" lIns="91440" tIns="45720" rIns="91440" bIns="45720" anchor="t" anchorCtr="0">
                        <a:noAutofit/>
                      </wps:bodyPr>
                    </wps:wsp>
                  </a:graphicData>
                </a:graphic>
                <wp14:sizeRelH relativeFrom="margin">
                  <wp14:pctWidth>40000</wp14:pctWidth>
                </wp14:sizeRelH>
                <wp14:sizeRelV relativeFrom="page">
                  <wp14:pctHeight>0</wp14:pctHeight>
                </wp14:sizeRelV>
              </wp:anchor>
            </w:drawing>
          </mc:Choice>
          <mc:Fallback>
            <w:pict>
              <v:shape w14:anchorId="0E25F6CC" id="_x0000_s1033" type="#_x0000_t202" alt="Finding 6:  The inclusion of gender equality in WIPO’s Technical Assistance has grown over time, motivating policy changes in Member States.  " style="position:absolute;left:0;text-align:left;margin-left:279.5pt;margin-top:57.35pt;width:185.9pt;height:79.45pt;z-index:251668480;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" fillcolor="#ffd966" stroked="f">
                <v:textbox>
                  <w:txbxContent>
                    <w:p w14:paraId="142BC3BF" w14:textId="77777777" w:rsidR="00EA5678" w:rsidRDefault="00215138" w:rsidP="00F012D1">
                      <w:pPr>
                        <w:spacing w:afterLines="50" w:after="120" w:line="340" w:lineRule="atLeast"/>
                        <w:jc w:val="both"/>
                      </w:pPr>
                      <w:bookmarkStart w:id="305" w:name="_Hlk174544090"/>
                      <w:bookmarkStart w:id="306" w:name="_Hlk174544091"/>
                      <w:r>
                        <w:t>审查结果6：随着时间的推移，将性别平等纳入产权组织技术援助的情况越来越多，促使成员国进行政策变革。</w:t>
                      </w:r>
                      <w:bookmarkEnd w:id="305"/>
                      <w:bookmarkEnd w:id="306"/>
                    </w:p>
                  </w:txbxContent>
                </v:textbox>
                <w10:wrap type="square" anchorx="margin"/>
              </v:shape>
            </w:pict>
          </mc:Fallback>
        </mc:AlternateContent>
      </w:r>
      <w:r w:rsidRPr="00E23D52">
        <w:rPr>
          <w:rFonts w:ascii="KaiTi" w:eastAsia="KaiTi" w:hAnsi="KaiTi" w:cs="Arial" w:hint="eastAsia"/>
          <w:iCs/>
        </w:rPr>
        <w:t>性别平衡已成为产权组织不同领域的一个相关主题，包括国家层面的技术援助举措和项目。其中许多明确解决了将妇女纳入知识产权的具体需求。</w:t>
      </w:r>
      <w:r w:rsidRPr="00E775A9">
        <w:rPr>
          <w:rFonts w:hAnsi="SimSun" w:cs="Arial" w:hint="eastAsia"/>
        </w:rPr>
        <w:t>2014年，产权组织与其他联合国组织保持一致，制定了一项性别政策。性别政策说明了产权组织内部性别维度的演变，这已被视为整个组织的一个相关问题。这是通过产权组织不同领域实施的性别相关项目的数量来确定的。在拉丁美洲和加勒比地区的一个案例中，由于产权组织的全球工作和指导，一个成员国在知识产权局内颁布了一项性别政策。在产权组织内，编制了一本《世界性别人名词典》，传统知识司下有一个旗舰项目，其中包括土著女创业者培训和指导课程。该项目通过加强土著妇女利用知识产权权利的能力来支持她们。根据审查调查，57%的调查受访者将技术援助干预措施解决性别平衡问题的程度评估为</w:t>
      </w:r>
      <w:r>
        <w:rPr>
          <w:rFonts w:hAnsi="SimSun" w:cs="SimSun" w:hint="eastAsia"/>
        </w:rPr>
        <w:t>“非常高”和“高”</w:t>
      </w:r>
      <w:r w:rsidRPr="00E775A9">
        <w:rPr>
          <w:rFonts w:hAnsi="SimSun" w:cs="Arial" w:hint="eastAsia"/>
        </w:rPr>
        <w:t>（见图表4）。</w:t>
      </w:r>
    </w:p>
    <w:p w14:paraId="072CA867" w14:textId="267EE6E6" w:rsidR="00EA5678" w:rsidRPr="00E775A9" w:rsidRDefault="00215138" w:rsidP="00F012D1">
      <w:pPr>
        <w:keepNext/>
        <w:spacing w:afterLines="50" w:after="120" w:line="340" w:lineRule="atLeast"/>
        <w:jc w:val="center"/>
        <w:rPr>
          <w:rFonts w:hAnsi="SimSun" w:cs="Arial"/>
          <w:color w:val="2F5496" w:themeColor="accent1" w:themeShade="BF"/>
          <w:sz w:val="20"/>
          <w:szCs w:val="20"/>
        </w:rPr>
      </w:pPr>
      <w:r w:rsidRPr="00E775A9">
        <w:rPr>
          <w:rFonts w:hAnsi="SimSun" w:cs="Arial" w:hint="eastAsia"/>
          <w:color w:val="2F5496" w:themeColor="accent1" w:themeShade="BF"/>
          <w:sz w:val="20"/>
          <w:szCs w:val="20"/>
        </w:rPr>
        <w:t>图表</w:t>
      </w:r>
      <w:r w:rsidRPr="00E775A9">
        <w:rPr>
          <w:rFonts w:hAnsi="SimSun" w:cs="Arial" w:hint="eastAsia"/>
          <w:color w:val="2F5496" w:themeColor="accent1" w:themeShade="BF"/>
          <w:sz w:val="20"/>
          <w:szCs w:val="20"/>
        </w:rPr>
        <w:fldChar w:fldCharType="begin"/>
      </w:r>
      <w:r w:rsidRPr="00E775A9">
        <w:rPr>
          <w:rFonts w:hAnsi="SimSun" w:cs="Arial" w:hint="eastAsia"/>
          <w:color w:val="2F5496" w:themeColor="accent1" w:themeShade="BF"/>
          <w:sz w:val="20"/>
          <w:szCs w:val="20"/>
        </w:rPr>
        <w:instrText xml:space="preserve"> SEQ Graph \* ARABIC </w:instrText>
      </w:r>
      <w:r w:rsidRPr="00E775A9">
        <w:rPr>
          <w:rFonts w:hAnsi="SimSun" w:cs="Arial" w:hint="eastAsia"/>
          <w:color w:val="2F5496" w:themeColor="accent1" w:themeShade="BF"/>
          <w:sz w:val="20"/>
          <w:szCs w:val="20"/>
        </w:rPr>
        <w:fldChar w:fldCharType="separate"/>
      </w:r>
      <w:r w:rsidR="00AA5A99">
        <w:rPr>
          <w:rFonts w:hAnsi="SimSun" w:cs="Arial"/>
          <w:noProof/>
          <w:color w:val="2F5496" w:themeColor="accent1" w:themeShade="BF"/>
          <w:sz w:val="20"/>
          <w:szCs w:val="20"/>
        </w:rPr>
        <w:t>4</w:t>
      </w:r>
      <w:r w:rsidRPr="00E775A9">
        <w:rPr>
          <w:rFonts w:hAnsi="SimSun" w:cs="Arial" w:hint="eastAsia"/>
          <w:color w:val="2F5496" w:themeColor="accent1" w:themeShade="BF"/>
          <w:sz w:val="20"/>
          <w:szCs w:val="20"/>
        </w:rPr>
        <w:fldChar w:fldCharType="end"/>
      </w:r>
      <w:r w:rsidRPr="00E775A9">
        <w:rPr>
          <w:rFonts w:hAnsi="SimSun" w:cs="Arial" w:hint="eastAsia"/>
          <w:color w:val="2F5496" w:themeColor="accent1" w:themeShade="BF"/>
          <w:sz w:val="20"/>
          <w:szCs w:val="20"/>
        </w:rPr>
        <w:t>.解决性别平衡问题的技术援助干预措施</w:t>
      </w:r>
    </w:p>
    <w:p w14:paraId="19064B1B" w14:textId="6D850367" w:rsidR="00F012D1" w:rsidRDefault="00F012D1">
      <w:pPr>
        <w:spacing w:before="60" w:after="60" w:line="240" w:lineRule="auto"/>
        <w:ind w:left="432"/>
        <w:rPr>
          <w:rFonts w:hAnsi="SimSun" w:cs="Arial"/>
          <w:noProof/>
        </w:rPr>
      </w:pPr>
      <w:r w:rsidRPr="00F012D1">
        <w:rPr>
          <w:noProof/>
        </w:rPr>
        <w:drawing>
          <wp:inline distT="0" distB="0" distL="0" distR="0" wp14:anchorId="3878F797" wp14:editId="72276CC7">
            <wp:extent cx="5116195" cy="2722245"/>
            <wp:effectExtent l="0" t="0" r="8255" b="1905"/>
            <wp:docPr id="7646216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116195" cy="2722245"/>
                    </a:xfrm>
                    <a:prstGeom prst="rect">
                      <a:avLst/>
                    </a:prstGeom>
                    <a:noFill/>
                    <a:ln>
                      <a:noFill/>
                    </a:ln>
                  </pic:spPr>
                </pic:pic>
              </a:graphicData>
            </a:graphic>
          </wp:inline>
        </w:drawing>
      </w:r>
    </w:p>
    <w:p w14:paraId="57453C80" w14:textId="350EEF7C" w:rsidR="00EA5678" w:rsidRPr="00E775A9" w:rsidRDefault="00215138" w:rsidP="0061732F">
      <w:pPr>
        <w:spacing w:afterLines="50" w:after="120" w:line="240" w:lineRule="auto"/>
        <w:ind w:left="431"/>
        <w:rPr>
          <w:rFonts w:hAnsi="SimSun" w:cs="Arial"/>
          <w:sz w:val="24"/>
          <w:szCs w:val="24"/>
        </w:rPr>
      </w:pPr>
      <w:r w:rsidRPr="00E775A9">
        <w:rPr>
          <w:rFonts w:hAnsi="SimSun" w:cs="Arial" w:hint="eastAsia"/>
          <w:sz w:val="20"/>
          <w:szCs w:val="20"/>
        </w:rPr>
        <w:t>来源：审查调查</w:t>
      </w:r>
    </w:p>
    <w:p w14:paraId="1AFEF3E8" w14:textId="77777777" w:rsidR="00E93625" w:rsidRPr="00E775A9" w:rsidRDefault="00215138" w:rsidP="00C259B0">
      <w:pPr>
        <w:pStyle w:val="ListParagraph"/>
        <w:numPr>
          <w:ilvl w:val="0"/>
          <w:numId w:val="3"/>
        </w:numPr>
        <w:spacing w:after="120"/>
        <w:ind w:left="0" w:firstLine="0"/>
        <w:rPr>
          <w:rFonts w:hAnsi="SimSun" w:cs="Arial"/>
        </w:rPr>
      </w:pPr>
      <w:r>
        <w:rPr>
          <w:rFonts w:ascii="Arial" w:hAnsi="Arial" w:cs="Arial" w:hint="eastAsia"/>
          <w:b/>
          <w:noProof/>
          <w:color w:val="4472C4"/>
        </w:rPr>
        <mc:AlternateContent>
          <mc:Choice Requires="wps">
            <w:drawing>
              <wp:anchor distT="45720" distB="45720" distL="114300" distR="114300" simplePos="0" relativeHeight="251660288" behindDoc="1" locked="0" layoutInCell="1" allowOverlap="1" wp14:anchorId="509DFF9D" wp14:editId="5CBA5306">
                <wp:simplePos x="0" y="0"/>
                <wp:positionH relativeFrom="margin">
                  <wp:posOffset>3213702</wp:posOffset>
                </wp:positionH>
                <wp:positionV relativeFrom="paragraph">
                  <wp:posOffset>714580</wp:posOffset>
                </wp:positionV>
                <wp:extent cx="2726690" cy="1476375"/>
                <wp:effectExtent l="4445" t="5080" r="12065" b="42545"/>
                <wp:wrapTight wrapText="bothSides">
                  <wp:wrapPolygon edited="0">
                    <wp:start x="-35" y="-65"/>
                    <wp:lineTo x="-35" y="21489"/>
                    <wp:lineTo x="21494" y="21489"/>
                    <wp:lineTo x="21494" y="-65"/>
                    <wp:lineTo x="-35" y="-65"/>
                  </wp:wrapPolygon>
                </wp:wrapTight>
                <wp:docPr id="1552946786" name="Caixa de Texto 2" descr="“Since it is demand-driven, it is the Member State which identifies its needs based on its priority goals.  But I believe there should be more communication and dissemination on the Development Agenda to encourage more Member States to take advantage of Technical Assistance offered under such programs.”&#10;Member State, Review survey&#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6690" cy="1476375"/>
                        </a:xfrm>
                        <a:prstGeom prst="rect">
                          <a:avLst/>
                        </a:prstGeom>
                        <a:solidFill>
                          <a:srgbClr val="4472C4">
                            <a:lumMod val="50000"/>
                          </a:srgbClr>
                        </a:solidFill>
                        <a:ln w="9525">
                          <a:solidFill>
                            <a:srgbClr val="000000"/>
                          </a:solidFill>
                          <a:miter lim="800000"/>
                        </a:ln>
                      </wps:spPr>
                      <wps:txbx>
                        <w:txbxContent>
                          <w:p w14:paraId="3EACC994" w14:textId="0FADFBE3" w:rsidR="00EA5678" w:rsidRDefault="00F012D1" w:rsidP="00F012D1">
                            <w:pPr>
                              <w:spacing w:afterLines="50" w:after="120" w:line="340" w:lineRule="atLeast"/>
                              <w:jc w:val="center"/>
                            </w:pPr>
                            <w:r>
                              <w:rPr>
                                <w:rFonts w:hint="eastAsia"/>
                              </w:rPr>
                              <w:t>“</w:t>
                            </w:r>
                            <w:r w:rsidR="00215138">
                              <w:t>由于它是由需求驱动的，因此由成员国根据其优先目标确定其需求。但我认为，应该就发展议程进行更多的沟通和传播，以鼓励更多的成员国利用在此类计划下提供的技术援助。</w:t>
                            </w:r>
                            <w:r>
                              <w:rPr>
                                <w:rFonts w:hint="eastAsia"/>
                              </w:rPr>
                              <w:t>”</w:t>
                            </w:r>
                          </w:p>
                          <w:p w14:paraId="05BDFAED" w14:textId="77777777" w:rsidR="00EA5678" w:rsidRDefault="00215138" w:rsidP="00F012D1">
                            <w:pPr>
                              <w:spacing w:afterLines="50" w:after="120" w:line="340" w:lineRule="atLeast"/>
                              <w:jc w:val="center"/>
                            </w:pPr>
                            <w:r>
                              <w:t>成员国，审查调查</w:t>
                            </w:r>
                          </w:p>
                        </w:txbxContent>
                      </wps:txbx>
                      <wps:bodyPr rot="0" vert="horz" wrap="square" lIns="91440" tIns="45720" rIns="91440" bIns="45720" anchor="t" anchorCtr="0">
                        <a:noAutofit/>
                      </wps:bodyPr>
                    </wps:wsp>
                  </a:graphicData>
                </a:graphic>
              </wp:anchor>
            </w:drawing>
          </mc:Choice>
          <mc:Fallback>
            <w:pict>
              <v:shape w14:anchorId="509DFF9D" id="_x0000_s1034" type="#_x0000_t202" alt="“Since it is demand-driven, it is the Member State which identifies its needs based on its priority goals.  But I believe there should be more communication and dissemination on the Development Agenda to encourage more Member States to take advantage of Technical Assistance offered under such programs.”&#10;Member State, Review survey&#10;" style="position:absolute;left:0;text-align:left;margin-left:253.05pt;margin-top:56.25pt;width:214.7pt;height:116.25pt;z-index:-251656192;visibility:visible;mso-wrap-style:square;mso-wrap-distance-left:9pt;mso-wrap-distance-top:3.6pt;mso-wrap-distance-right:9pt;mso-wrap-distance-bottom:3.6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" fillcolor="#203864">
                <v:textbox>
                  <w:txbxContent>
                    <w:p w14:paraId="3EACC994" w14:textId="0FADFBE3" w:rsidR="00EA5678" w:rsidRDefault="00F012D1" w:rsidP="00F012D1">
                      <w:pPr>
                        <w:spacing w:afterLines="50" w:after="120" w:line="340" w:lineRule="atLeast"/>
                        <w:jc w:val="center"/>
                      </w:pPr>
                      <w:r>
                        <w:rPr>
                          <w:rFonts w:hint="eastAsia"/>
                        </w:rPr>
                        <w:t>“</w:t>
                      </w:r>
                      <w:r w:rsidR="00215138">
                        <w:t>由于它是由需求驱动的，因此由成员国根据其优先目标确定其需求。但我认为，应该就发展议程进行更多的沟通和传播，以鼓励更多的成员国利用在此类计划下提供的技术援助。</w:t>
                      </w:r>
                      <w:r>
                        <w:rPr>
                          <w:rFonts w:hint="eastAsia"/>
                        </w:rPr>
                        <w:t>”</w:t>
                      </w:r>
                    </w:p>
                    <w:p w14:paraId="05BDFAED" w14:textId="77777777" w:rsidR="00EA5678" w:rsidRDefault="00215138" w:rsidP="00F012D1">
                      <w:pPr>
                        <w:spacing w:afterLines="50" w:after="120" w:line="340" w:lineRule="atLeast"/>
                        <w:jc w:val="center"/>
                      </w:pPr>
                      <w:r>
                        <w:t>成员国，审查调查</w:t>
                      </w:r>
                    </w:p>
                  </w:txbxContent>
                </v:textbox>
                <w10:wrap type="tight" anchorx="margin"/>
              </v:shape>
            </w:pict>
          </mc:Fallback>
        </mc:AlternateContent>
      </w:r>
      <w:r w:rsidRPr="00E23D52">
        <w:rPr>
          <w:rFonts w:ascii="KaiTi" w:eastAsia="KaiTi" w:hAnsi="KaiTi" w:cs="Arial" w:hint="eastAsia"/>
          <w:iCs/>
        </w:rPr>
        <w:t>以一致和技术上合理的方式向成员国提供知识产权相关技术援助，但要将知识产权纳入成员国更广泛的政策制定场景中，使知识产权更加以发展为导向，仍然任重道远。</w:t>
      </w:r>
      <w:r w:rsidRPr="00E775A9">
        <w:rPr>
          <w:rFonts w:hAnsi="SimSun" w:cs="Arial" w:hint="eastAsia"/>
        </w:rPr>
        <w:t>知识产权可能非常复杂且技术性强，产权组织工作人员因其高素质和良好的服务而受到广泛赞誉。事实上，产权组织工作人员积累了来自不同国家的全球专业知识，其在本组织内有着长期参与工作的历史记录，这有助于积累经验。所提供的技术援助考虑了让妇女参与、支持中小企业（传统上是更脆弱的部门）和让其他利益攸关方参与的必要性。然而，缺失的环节不仅仅是立法援助/遵守各种议定书、安装系统和培训，还包括与发展建立概念联系和实际联系。关于技术援助实际参与到成员国更广泛的发展问题（除了起草国家知识产权政策和战略外）的证据有限。虽然产权组织正在朝着使知识产权更容易获得和让知识产权实地融入当地项目的方向发展，但在应对成员国更广泛的政策和发展挑战方面仍有工作要做。图表5显示，66.7%的成员国将技术援助支持中小企业的能力评估为</w:t>
      </w:r>
      <w:r>
        <w:rPr>
          <w:rFonts w:hAnsi="SimSun" w:cs="SimSun" w:hint="eastAsia"/>
        </w:rPr>
        <w:t>“非常高”和“高”</w:t>
      </w:r>
      <w:r w:rsidRPr="00E775A9">
        <w:rPr>
          <w:rFonts w:hAnsi="SimSun" w:cs="Arial" w:hint="eastAsia"/>
        </w:rPr>
        <w:t>，67.8%将技术援助有助于促进与发展目标一致的执法的程度评价为“非常高”和“高”，66%将在与知识产权以外的其他政策对话中实施技术援助的程度评估</w:t>
      </w:r>
      <w:r>
        <w:rPr>
          <w:rFonts w:hAnsi="SimSun" w:cs="SimSun" w:hint="eastAsia"/>
        </w:rPr>
        <w:t>为“非常高”和“高”。这些评价很高，但定性数据显示，知识产权与发展之间的联系仍在推进中。</w:t>
      </w:r>
    </w:p>
    <w:p w14:paraId="204C7FFC" w14:textId="5853A7FB" w:rsidR="00EA5678" w:rsidRPr="00E775A9" w:rsidRDefault="00215138" w:rsidP="0029237A">
      <w:pPr>
        <w:keepNext/>
        <w:spacing w:afterLines="50" w:after="120" w:line="340" w:lineRule="atLeast"/>
        <w:jc w:val="center"/>
        <w:rPr>
          <w:rFonts w:hAnsi="SimSun" w:cs="Arial"/>
          <w:color w:val="2F5496" w:themeColor="accent1" w:themeShade="BF"/>
          <w:sz w:val="20"/>
          <w:szCs w:val="20"/>
        </w:rPr>
      </w:pPr>
      <w:r w:rsidRPr="00E775A9">
        <w:rPr>
          <w:rFonts w:hAnsi="SimSun" w:cs="Arial" w:hint="eastAsia"/>
          <w:color w:val="2F5496" w:themeColor="accent1" w:themeShade="BF"/>
          <w:sz w:val="20"/>
          <w:szCs w:val="20"/>
        </w:rPr>
        <w:t>图表</w:t>
      </w:r>
      <w:r w:rsidRPr="00E775A9">
        <w:rPr>
          <w:rFonts w:hAnsi="SimSun" w:cs="Arial" w:hint="eastAsia"/>
          <w:color w:val="2F5496" w:themeColor="accent1" w:themeShade="BF"/>
          <w:sz w:val="20"/>
          <w:szCs w:val="20"/>
        </w:rPr>
        <w:fldChar w:fldCharType="begin"/>
      </w:r>
      <w:r w:rsidRPr="00E775A9">
        <w:rPr>
          <w:rFonts w:hAnsi="SimSun" w:cs="Arial" w:hint="eastAsia"/>
          <w:color w:val="2F5496" w:themeColor="accent1" w:themeShade="BF"/>
          <w:sz w:val="20"/>
          <w:szCs w:val="20"/>
        </w:rPr>
        <w:instrText xml:space="preserve"> SEQ Graph \* ARABIC </w:instrText>
      </w:r>
      <w:r w:rsidRPr="00E775A9">
        <w:rPr>
          <w:rFonts w:hAnsi="SimSun" w:cs="Arial" w:hint="eastAsia"/>
          <w:color w:val="2F5496" w:themeColor="accent1" w:themeShade="BF"/>
          <w:sz w:val="20"/>
          <w:szCs w:val="20"/>
        </w:rPr>
        <w:fldChar w:fldCharType="separate"/>
      </w:r>
      <w:r w:rsidR="00AA5A99">
        <w:rPr>
          <w:rFonts w:hAnsi="SimSun" w:cs="Arial"/>
          <w:noProof/>
          <w:color w:val="2F5496" w:themeColor="accent1" w:themeShade="BF"/>
          <w:sz w:val="20"/>
          <w:szCs w:val="20"/>
        </w:rPr>
        <w:t>5</w:t>
      </w:r>
      <w:r w:rsidRPr="00E775A9">
        <w:rPr>
          <w:rFonts w:hAnsi="SimSun" w:cs="Arial" w:hint="eastAsia"/>
          <w:color w:val="2F5496" w:themeColor="accent1" w:themeShade="BF"/>
          <w:sz w:val="20"/>
          <w:szCs w:val="20"/>
        </w:rPr>
        <w:fldChar w:fldCharType="end"/>
      </w:r>
      <w:r w:rsidRPr="00E775A9">
        <w:rPr>
          <w:rFonts w:hAnsi="SimSun" w:cs="Arial" w:hint="eastAsia"/>
          <w:color w:val="2F5496" w:themeColor="accent1" w:themeShade="BF"/>
          <w:sz w:val="20"/>
          <w:szCs w:val="20"/>
        </w:rPr>
        <w:t>.评估与其他政策、发展目标和中小企业有关的技术援助</w:t>
      </w:r>
    </w:p>
    <w:p w14:paraId="0293DD99" w14:textId="1B302B55" w:rsidR="0029237A" w:rsidRDefault="0029237A">
      <w:pPr>
        <w:spacing w:after="0" w:line="240" w:lineRule="auto"/>
        <w:ind w:left="284"/>
        <w:rPr>
          <w:rFonts w:hAnsi="SimSun" w:cs="Arial"/>
          <w:noProof/>
        </w:rPr>
      </w:pPr>
      <w:r w:rsidRPr="0029237A">
        <w:rPr>
          <w:noProof/>
        </w:rPr>
        <w:drawing>
          <wp:inline distT="0" distB="0" distL="0" distR="0" wp14:anchorId="5BF2DE7D" wp14:editId="124C7BA5">
            <wp:extent cx="5116195" cy="2722245"/>
            <wp:effectExtent l="0" t="0" r="8255" b="1905"/>
            <wp:docPr id="87331887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16195" cy="2722245"/>
                    </a:xfrm>
                    <a:prstGeom prst="rect">
                      <a:avLst/>
                    </a:prstGeom>
                    <a:noFill/>
                    <a:ln>
                      <a:noFill/>
                    </a:ln>
                  </pic:spPr>
                </pic:pic>
              </a:graphicData>
            </a:graphic>
          </wp:inline>
        </w:drawing>
      </w:r>
    </w:p>
    <w:p w14:paraId="31D699B9" w14:textId="11444190" w:rsidR="00EA5678" w:rsidRPr="00E775A9" w:rsidRDefault="00215138" w:rsidP="0061732F">
      <w:pPr>
        <w:spacing w:afterLines="50" w:after="120" w:line="240" w:lineRule="auto"/>
        <w:ind w:left="284"/>
        <w:rPr>
          <w:rFonts w:hAnsi="SimSun" w:cs="Arial"/>
          <w:sz w:val="24"/>
          <w:szCs w:val="24"/>
        </w:rPr>
      </w:pPr>
      <w:r w:rsidRPr="00E775A9">
        <w:rPr>
          <w:rFonts w:hAnsi="SimSun" w:cs="Arial" w:hint="eastAsia"/>
          <w:sz w:val="20"/>
          <w:szCs w:val="20"/>
        </w:rPr>
        <w:t>来源：审查调查</w:t>
      </w:r>
    </w:p>
    <w:p w14:paraId="10D42A5F" w14:textId="0BE309B7" w:rsidR="00EA5678" w:rsidRPr="00A23549" w:rsidRDefault="009B2972" w:rsidP="009B2972">
      <w:pPr>
        <w:pStyle w:val="Heading2"/>
        <w:spacing w:before="240" w:after="120"/>
        <w:rPr>
          <w:rFonts w:cstheme="majorBidi"/>
          <w:b w:val="0"/>
        </w:rPr>
      </w:pPr>
      <w:bookmarkStart w:id="297" w:name="_Toc181695799"/>
      <w:bookmarkEnd w:id="290"/>
      <w:r w:rsidRPr="00A23549">
        <w:rPr>
          <w:rFonts w:cstheme="majorBidi" w:hint="eastAsia"/>
        </w:rPr>
        <w:t>4.2</w:t>
      </w:r>
      <w:r w:rsidRPr="00A23549">
        <w:rPr>
          <w:rFonts w:cstheme="majorBidi"/>
        </w:rPr>
        <w:tab/>
      </w:r>
      <w:r w:rsidR="00215138" w:rsidRPr="00A23549">
        <w:rPr>
          <w:rFonts w:cstheme="majorBidi" w:hint="eastAsia"/>
        </w:rPr>
        <w:t>有效性</w:t>
      </w:r>
      <w:bookmarkEnd w:id="297"/>
    </w:p>
    <w:p w14:paraId="366A4206"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根据有效性标准，审查审议了以下内容：</w:t>
      </w:r>
    </w:p>
    <w:p w14:paraId="2573ACE9" w14:textId="77777777" w:rsidR="00EA5678" w:rsidRPr="00E775A9" w:rsidRDefault="00215138" w:rsidP="0029237A">
      <w:pPr>
        <w:numPr>
          <w:ilvl w:val="0"/>
          <w:numId w:val="29"/>
        </w:numPr>
        <w:spacing w:afterLines="50" w:after="120" w:line="340" w:lineRule="atLeast"/>
        <w:ind w:left="1134" w:hanging="567"/>
        <w:rPr>
          <w:rFonts w:hAnsi="SimSun" w:cs="Arial"/>
        </w:rPr>
      </w:pPr>
      <w:r w:rsidRPr="00E775A9">
        <w:rPr>
          <w:rFonts w:hAnsi="SimSun" w:cs="Arial" w:hint="eastAsia"/>
        </w:rPr>
        <w:t>考虑到产权组织的六个不同工作领域</w:t>
      </w:r>
      <w:r w:rsidRPr="00E775A9">
        <w:rPr>
          <w:rFonts w:hAnsi="SimSun" w:cs="Arial" w:hint="eastAsia"/>
          <w:color w:val="000000" w:themeColor="text1"/>
        </w:rPr>
        <w:t>（国家知识产权政策、技术和行政基础设施、能力建设、政策和立法援助、发展议程相关项目以及公私伙伴关系），产权组织的技术援助方法在多大程度上有效</w:t>
      </w:r>
      <w:r w:rsidRPr="00E775A9">
        <w:rPr>
          <w:rFonts w:hAnsi="SimSun" w:cs="Arial" w:hint="eastAsia"/>
        </w:rPr>
        <w:t>。</w:t>
      </w:r>
    </w:p>
    <w:p w14:paraId="61BD1A1E" w14:textId="77777777" w:rsidR="00EA5678" w:rsidRPr="00E775A9" w:rsidRDefault="00215138" w:rsidP="0029237A">
      <w:pPr>
        <w:numPr>
          <w:ilvl w:val="0"/>
          <w:numId w:val="29"/>
        </w:numPr>
        <w:spacing w:afterLines="50" w:after="120" w:line="340" w:lineRule="atLeast"/>
        <w:ind w:left="1134" w:hanging="567"/>
        <w:rPr>
          <w:rFonts w:hAnsi="SimSun" w:cs="Arial"/>
        </w:rPr>
      </w:pPr>
      <w:r w:rsidRPr="00E775A9">
        <w:rPr>
          <w:rFonts w:hAnsi="SimSun" w:cs="Arial" w:hint="eastAsia"/>
        </w:rPr>
        <w:t>产权组织的技术援助干预措施在多大程度上有助于改进和最大限度地向成员国转移知识、技能和能力，以提高各国行政管理、管理和使用知识产权的机构能力。</w:t>
      </w:r>
    </w:p>
    <w:p w14:paraId="2E9FE8EF" w14:textId="02D7973C" w:rsidR="00EA5678" w:rsidRPr="00E775A9" w:rsidRDefault="00215138" w:rsidP="0029237A">
      <w:pPr>
        <w:numPr>
          <w:ilvl w:val="0"/>
          <w:numId w:val="29"/>
        </w:numPr>
        <w:spacing w:afterLines="50" w:after="120" w:line="340" w:lineRule="atLeast"/>
        <w:ind w:left="1134" w:hanging="567"/>
        <w:rPr>
          <w:rFonts w:hAnsi="SimSun" w:cs="Arial"/>
        </w:rPr>
      </w:pPr>
      <w:r w:rsidRPr="00E775A9">
        <w:rPr>
          <w:rFonts w:hAnsi="SimSun" w:cs="Arial" w:hint="eastAsia"/>
        </w:rPr>
        <w:t>在加强知识产权制度和发展受益国能力方面最有效的技术援助支持的类型和领域。</w:t>
      </w:r>
    </w:p>
    <w:p w14:paraId="47B7F237" w14:textId="23D1848F" w:rsidR="00EA5678" w:rsidRPr="00E775A9" w:rsidRDefault="00215138" w:rsidP="0029237A">
      <w:pPr>
        <w:numPr>
          <w:ilvl w:val="0"/>
          <w:numId w:val="29"/>
        </w:numPr>
        <w:spacing w:afterLines="50" w:after="120" w:line="340" w:lineRule="atLeast"/>
        <w:ind w:left="1134" w:hanging="567"/>
        <w:rPr>
          <w:rFonts w:hAnsi="SimSun" w:cs="Arial"/>
        </w:rPr>
      </w:pPr>
      <w:r w:rsidRPr="00E775A9">
        <w:rPr>
          <w:rFonts w:hAnsi="SimSun" w:cs="Arial" w:hint="eastAsia"/>
        </w:rPr>
        <w:t>技术援助活动在多大程度上有助于实现产权组织2016-2021年和2022-2026年中期战略计划（MTSP）的预期成果。</w:t>
      </w:r>
    </w:p>
    <w:p w14:paraId="76D3F634" w14:textId="76780E5D" w:rsidR="00EA5678" w:rsidRPr="00E775A9" w:rsidRDefault="00215138" w:rsidP="0029237A">
      <w:pPr>
        <w:numPr>
          <w:ilvl w:val="0"/>
          <w:numId w:val="29"/>
        </w:numPr>
        <w:spacing w:afterLines="50" w:after="120" w:line="340" w:lineRule="atLeast"/>
        <w:ind w:left="1134" w:hanging="567"/>
        <w:rPr>
          <w:rFonts w:hAnsi="SimSun" w:cs="Arial"/>
        </w:rPr>
      </w:pPr>
      <w:r w:rsidRPr="00E775A9">
        <w:rPr>
          <w:rFonts w:hAnsi="SimSun" w:cs="Arial" w:hint="eastAsia"/>
        </w:rPr>
        <w:t>本组织在多大程度上能够响应成员国的请求，协助其实现可持续发展目标。</w:t>
      </w:r>
    </w:p>
    <w:p w14:paraId="3C991B02" w14:textId="14C649C8" w:rsidR="00EA5678" w:rsidRPr="00E775A9" w:rsidRDefault="0029237A" w:rsidP="00C259B0">
      <w:pPr>
        <w:pStyle w:val="ListParagraph"/>
        <w:numPr>
          <w:ilvl w:val="0"/>
          <w:numId w:val="3"/>
        </w:numPr>
        <w:spacing w:after="120"/>
        <w:ind w:left="0" w:firstLine="0"/>
        <w:rPr>
          <w:rFonts w:hAnsi="SimSun" w:cs="Arial"/>
          <w:color w:val="002060"/>
          <w:sz w:val="20"/>
          <w:szCs w:val="20"/>
        </w:rPr>
      </w:pPr>
      <w:r>
        <w:rPr>
          <w:rFonts w:ascii="Arial" w:hAnsi="Arial" w:cs="Arial" w:hint="eastAsia"/>
          <w:b/>
          <w:noProof/>
          <w:color w:val="4472C4"/>
        </w:rPr>
        <mc:AlternateContent>
          <mc:Choice Requires="wps">
            <w:drawing>
              <wp:anchor distT="45720" distB="45720" distL="114300" distR="114300" simplePos="0" relativeHeight="251676672" behindDoc="1" locked="0" layoutInCell="1" allowOverlap="1" wp14:anchorId="1F85BAB8" wp14:editId="44DA09AB">
                <wp:simplePos x="0" y="0"/>
                <wp:positionH relativeFrom="margin">
                  <wp:posOffset>-1905</wp:posOffset>
                </wp:positionH>
                <wp:positionV relativeFrom="page">
                  <wp:posOffset>8234680</wp:posOffset>
                </wp:positionV>
                <wp:extent cx="2646045" cy="1331595"/>
                <wp:effectExtent l="0" t="0" r="20955" b="20955"/>
                <wp:wrapTight wrapText="bothSides">
                  <wp:wrapPolygon edited="0">
                    <wp:start x="0" y="0"/>
                    <wp:lineTo x="0" y="21631"/>
                    <wp:lineTo x="21616" y="21631"/>
                    <wp:lineTo x="21616" y="0"/>
                    <wp:lineTo x="0" y="0"/>
                  </wp:wrapPolygon>
                </wp:wrapTight>
                <wp:docPr id="15184234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6045" cy="1331595"/>
                        </a:xfrm>
                        <a:prstGeom prst="rect">
                          <a:avLst/>
                        </a:prstGeom>
                        <a:solidFill>
                          <a:srgbClr val="4472C4">
                            <a:lumMod val="50000"/>
                          </a:srgbClr>
                        </a:solidFill>
                        <a:ln w="9525">
                          <a:solidFill>
                            <a:srgbClr val="000000"/>
                          </a:solidFill>
                          <a:miter lim="800000"/>
                        </a:ln>
                      </wps:spPr>
                      <wps:txbx>
                        <w:txbxContent>
                          <w:p w14:paraId="6D164360" w14:textId="77777777" w:rsidR="00EA5678" w:rsidRPr="0029237A" w:rsidRDefault="00215138" w:rsidP="0029237A">
                            <w:pPr>
                              <w:spacing w:afterLines="50" w:after="120" w:line="340" w:lineRule="atLeast"/>
                              <w:jc w:val="center"/>
                              <w:rPr>
                                <w:rFonts w:hAnsi="SimSun"/>
                              </w:rPr>
                            </w:pPr>
                            <w:r w:rsidRPr="0029237A">
                              <w:rPr>
                                <w:rFonts w:hAnsi="SimSun"/>
                              </w:rPr>
                              <w:t>“主要成就包括制定国家知识产权战略、能力建设、建立TISC、支持中小企业，以及促进性别平衡和提高知识产权认识的举措。”</w:t>
                            </w:r>
                          </w:p>
                          <w:p w14:paraId="0A23A2C7" w14:textId="5D526897" w:rsidR="00EA5678" w:rsidRDefault="00215138" w:rsidP="0029237A">
                            <w:pPr>
                              <w:spacing w:afterLines="50" w:after="120" w:line="340" w:lineRule="atLeast"/>
                              <w:jc w:val="center"/>
                            </w:pPr>
                            <w:r>
                              <w:t>成员国</w:t>
                            </w: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1F85BAB8" id="_x0000_s1035" type="#_x0000_t202" style="position:absolute;left:0;text-align:left;margin-left:-.15pt;margin-top:648.4pt;width:208.35pt;height:104.85pt;z-index:-251639808;visibility:visible;mso-wrap-style:square;mso-height-percent:0;mso-wrap-distance-left:9pt;mso-wrap-distance-top:3.6pt;mso-wrap-distance-right:9pt;mso-wrap-distance-bottom:3.6pt;mso-position-horizontal:absolute;mso-position-horizontal-relative:margin;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" fillcolor="#203864">
                <v:textbox>
                  <w:txbxContent>
                    <w:p w14:paraId="6D164360" w14:textId="77777777" w:rsidR="00EA5678" w:rsidRPr="0029237A" w:rsidRDefault="00215138" w:rsidP="0029237A">
                      <w:pPr>
                        <w:spacing w:afterLines="50" w:after="120" w:line="340" w:lineRule="atLeast"/>
                        <w:jc w:val="center"/>
                        <w:rPr>
                          <w:rFonts w:hAnsi="SimSun"/>
                        </w:rPr>
                      </w:pPr>
                      <w:r w:rsidRPr="0029237A">
                        <w:rPr>
                          <w:rFonts w:hAnsi="SimSun"/>
                        </w:rPr>
                        <w:t>“主要成就包括制定国家知识产权战略、能力建设、建立TISC、支持中小企业，以及促进性别平衡和提高知识产权认识的举措。”</w:t>
                      </w:r>
                    </w:p>
                    <w:p w14:paraId="0A23A2C7" w14:textId="5D526897" w:rsidR="00EA5678" w:rsidRDefault="00215138" w:rsidP="0029237A">
                      <w:pPr>
                        <w:spacing w:afterLines="50" w:after="120" w:line="340" w:lineRule="atLeast"/>
                        <w:jc w:val="center"/>
                      </w:pPr>
                      <w:r>
                        <w:t>成员国</w:t>
                      </w:r>
                    </w:p>
                  </w:txbxContent>
                </v:textbox>
                <w10:wrap type="tight" anchorx="margin" anchory="page"/>
              </v:shape>
            </w:pict>
          </mc:Fallback>
        </mc:AlternateContent>
      </w:r>
      <w:r>
        <w:rPr>
          <w:rFonts w:ascii="Arial" w:hAnsi="Arial" w:cs="Arial" w:hint="eastAsia"/>
          <w:i/>
          <w:iCs/>
          <w:noProof/>
        </w:rPr>
        <mc:AlternateContent>
          <mc:Choice Requires="wps">
            <w:drawing>
              <wp:anchor distT="45720" distB="45720" distL="114300" distR="114300" simplePos="0" relativeHeight="251672576" behindDoc="1" locked="0" layoutInCell="1" allowOverlap="1" wp14:anchorId="36A88E58" wp14:editId="569D17B3">
                <wp:simplePos x="0" y="0"/>
                <wp:positionH relativeFrom="margin">
                  <wp:posOffset>3576320</wp:posOffset>
                </wp:positionH>
                <wp:positionV relativeFrom="page">
                  <wp:posOffset>7124700</wp:posOffset>
                </wp:positionV>
                <wp:extent cx="2292350" cy="972185"/>
                <wp:effectExtent l="0" t="0" r="5080" b="0"/>
                <wp:wrapThrough wrapText="bothSides">
                  <wp:wrapPolygon edited="0">
                    <wp:start x="0" y="0"/>
                    <wp:lineTo x="0" y="21163"/>
                    <wp:lineTo x="21473" y="21163"/>
                    <wp:lineTo x="21473" y="0"/>
                    <wp:lineTo x="0" y="0"/>
                  </wp:wrapPolygon>
                </wp:wrapThrough>
                <wp:docPr id="140475977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2350" cy="972185"/>
                        </a:xfrm>
                        <a:prstGeom prst="rect">
                          <a:avLst/>
                        </a:prstGeom>
                        <a:solidFill>
                          <a:srgbClr val="FFC000">
                            <a:lumMod val="60000"/>
                            <a:lumOff val="40000"/>
                          </a:srgbClr>
                        </a:solidFill>
                        <a:ln w="9525">
                          <a:noFill/>
                          <a:miter lim="800000"/>
                        </a:ln>
                      </wps:spPr>
                      <wps:txbx>
                        <w:txbxContent>
                          <w:p w14:paraId="6DA3C694" w14:textId="77777777" w:rsidR="00EA5678" w:rsidRDefault="00215138" w:rsidP="0029237A">
                            <w:pPr>
                              <w:spacing w:afterLines="50" w:after="120" w:line="340" w:lineRule="atLeast"/>
                              <w:jc w:val="both"/>
                            </w:pPr>
                            <w:bookmarkStart w:id="298" w:name="_Hlk174544104"/>
                            <w:bookmarkStart w:id="299" w:name="_Hlk174544103"/>
                            <w:r>
                              <w:t>审查结果7：成员国认为，技术援助的一些最成功的领域是能力建设、通过IPAS建立基础设施、TISC和国家知识产权战略。</w:t>
                            </w:r>
                            <w:bookmarkEnd w:id="298"/>
                            <w:bookmarkEnd w:id="299"/>
                          </w:p>
                        </w:txbxContent>
                      </wps:txbx>
                      <wps:bodyPr rot="0" vert="horz" wrap="square" lIns="91440" tIns="45720" rIns="91440" bIns="45720" anchor="t" anchorCtr="0">
                        <a:noAutofit/>
                      </wps:bodyPr>
                    </wps:wsp>
                  </a:graphicData>
                </a:graphic>
                <wp14:sizeRelH relativeFrom="margin">
                  <wp14:pctWidth>40000</wp14:pctWidth>
                </wp14:sizeRelH>
                <wp14:sizeRelV relativeFrom="page">
                  <wp14:pctHeight>0</wp14:pctHeight>
                </wp14:sizeRelV>
              </wp:anchor>
            </w:drawing>
          </mc:Choice>
          <mc:Fallback>
            <w:pict>
              <v:shape w14:anchorId="36A88E58" id="_x0000_s1036" type="#_x0000_t202" style="position:absolute;left:0;text-align:left;margin-left:281.6pt;margin-top:561pt;width:180.5pt;height:76.55pt;z-index:-251643904;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page;mso-width-percent:40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" fillcolor="#ffd966" stroked="f">
                <v:textbox>
                  <w:txbxContent>
                    <w:p w14:paraId="6DA3C694" w14:textId="77777777" w:rsidR="00EA5678" w:rsidRDefault="00215138" w:rsidP="0029237A">
                      <w:pPr>
                        <w:spacing w:afterLines="50" w:after="120" w:line="340" w:lineRule="atLeast"/>
                        <w:jc w:val="both"/>
                      </w:pPr>
                      <w:bookmarkStart w:id="310" w:name="_Hlk174544104"/>
                      <w:bookmarkStart w:id="311" w:name="_Hlk174544103"/>
                      <w:r>
                        <w:t>审查结果7：成员国认为，技术援助的一些最成功的领域是能力建设、通过IPAS建立基础设施、TISC和国家知识产权战略。</w:t>
                      </w:r>
                      <w:bookmarkEnd w:id="310"/>
                      <w:bookmarkEnd w:id="311"/>
                    </w:p>
                  </w:txbxContent>
                </v:textbox>
                <w10:wrap type="through" anchorx="margin" anchory="page"/>
              </v:shape>
            </w:pict>
          </mc:Fallback>
        </mc:AlternateContent>
      </w:r>
      <w:r w:rsidR="00215138" w:rsidRPr="00E23D52">
        <w:rPr>
          <w:rFonts w:ascii="KaiTi" w:eastAsia="KaiTi" w:hAnsi="KaiTi" w:cs="Arial" w:hint="eastAsia"/>
          <w:iCs/>
        </w:rPr>
        <w:t>本节报告了产权组织在合作促进发展领域开展的技术援助取得的关键成果（参见文件</w:t>
      </w:r>
      <w:hyperlink r:id="rId26" w:history="1">
        <w:r w:rsidR="00215138" w:rsidRPr="00E23D52">
          <w:rPr>
            <w:rStyle w:val="Hyperlink"/>
            <w:rFonts w:ascii="KaiTi" w:eastAsia="KaiTi" w:hAnsi="KaiTi" w:cs="Arial" w:hint="eastAsia"/>
            <w:iCs/>
          </w:rPr>
          <w:t>CDIP/32/INC</w:t>
        </w:r>
      </w:hyperlink>
      <w:r w:rsidR="00215138" w:rsidRPr="00E23D52">
        <w:rPr>
          <w:rFonts w:ascii="KaiTi" w:eastAsia="KaiTi" w:hAnsi="KaiTi" w:cs="Arial" w:hint="eastAsia"/>
          <w:iCs/>
        </w:rPr>
        <w:t>中所载审查启动报告中的变革理论）。</w:t>
      </w:r>
      <w:r w:rsidR="00215138" w:rsidRPr="00E775A9">
        <w:rPr>
          <w:rFonts w:hAnsi="SimSun" w:cs="Arial" w:hint="eastAsia"/>
        </w:rPr>
        <w:t>本报告并非详尽无遗，因为在审查期间开展了数百项技术援助活动。总体而言，审查调查显示，成员国高度评价产权组织的技术援助成果。更具体地说，71.3%的受访者认为能力建设的成</w:t>
      </w:r>
      <w:r w:rsidR="00215138">
        <w:rPr>
          <w:rFonts w:hAnsi="SimSun" w:cs="SimSun" w:hint="eastAsia"/>
        </w:rPr>
        <w:t>果“非常高”和“高”</w:t>
      </w:r>
      <w:r w:rsidR="00215138" w:rsidRPr="00E775A9">
        <w:rPr>
          <w:rFonts w:hAnsi="SimSun" w:cs="Arial" w:hint="eastAsia"/>
        </w:rPr>
        <w:t>，而66.3%的利益攸关方认为技术和行政基础设施的成</w:t>
      </w:r>
      <w:r w:rsidR="00215138">
        <w:rPr>
          <w:rFonts w:hAnsi="SimSun" w:cs="SimSun" w:hint="eastAsia"/>
        </w:rPr>
        <w:t>果“非常高”或“高”</w:t>
      </w:r>
      <w:r w:rsidR="00215138" w:rsidRPr="00E775A9">
        <w:rPr>
          <w:rFonts w:hAnsi="SimSun" w:cs="Arial" w:hint="eastAsia"/>
        </w:rPr>
        <w:t>。与此同时，66.7%的利益攸关方对发展议程相关项目给予了</w:t>
      </w:r>
      <w:r w:rsidR="00215138">
        <w:rPr>
          <w:rFonts w:hAnsi="SimSun" w:cs="SimSun" w:hint="eastAsia"/>
        </w:rPr>
        <w:t>“非常高”和“高”度的</w:t>
      </w:r>
      <w:r w:rsidR="00215138" w:rsidRPr="00E775A9">
        <w:rPr>
          <w:rFonts w:hAnsi="SimSun" w:cs="Arial" w:hint="eastAsia"/>
        </w:rPr>
        <w:t>评价，63.6%的受访者对国家知识产权政策制定给予了</w:t>
      </w:r>
      <w:r w:rsidR="00215138">
        <w:rPr>
          <w:rFonts w:hAnsi="SimSun" w:cs="SimSun" w:hint="eastAsia"/>
        </w:rPr>
        <w:t>“非常高”和“高”度</w:t>
      </w:r>
      <w:r w:rsidR="00215138" w:rsidRPr="00E775A9">
        <w:rPr>
          <w:rFonts w:hAnsi="SimSun" w:cs="Arial" w:hint="eastAsia"/>
        </w:rPr>
        <w:t>的评价。63.8%的利益攸关方对政策和立法援助给予了</w:t>
      </w:r>
      <w:r w:rsidR="00215138">
        <w:rPr>
          <w:rFonts w:hAnsi="SimSun" w:cs="SimSun" w:hint="eastAsia"/>
        </w:rPr>
        <w:t>“高”度</w:t>
      </w:r>
      <w:r w:rsidR="00215138" w:rsidRPr="00E775A9">
        <w:rPr>
          <w:rFonts w:hAnsi="SimSun" w:cs="Arial" w:hint="eastAsia"/>
        </w:rPr>
        <w:t>评价，54.2%的受访者对公私伙伴关系给予了</w:t>
      </w:r>
      <w:r w:rsidR="00215138">
        <w:rPr>
          <w:rFonts w:hAnsi="SimSun" w:cs="SimSun" w:hint="eastAsia"/>
        </w:rPr>
        <w:t>“高”</w:t>
      </w:r>
      <w:r w:rsidR="00215138" w:rsidRPr="00E775A9">
        <w:rPr>
          <w:rFonts w:hAnsi="SimSun" w:cs="Arial" w:hint="eastAsia"/>
        </w:rPr>
        <w:t>度评价。这些数字反映了对技术援助的高度评价，因为许多成员国没有直接参与这些后来的举措。此外，根据访谈，能力建设、基础设施和国家知识产权战略被视为成员国指出的最具影响力的领域（见图表6）</w:t>
      </w:r>
      <w:r w:rsidR="00215138" w:rsidRPr="00E775A9">
        <w:rPr>
          <w:rFonts w:hAnsi="SimSun" w:cs="Arial" w:hint="eastAsia"/>
          <w:sz w:val="24"/>
          <w:szCs w:val="24"/>
        </w:rPr>
        <w:t>。</w:t>
      </w:r>
    </w:p>
    <w:p w14:paraId="58ADE7C7" w14:textId="00E56F57" w:rsidR="00EA5678" w:rsidRPr="00E775A9" w:rsidRDefault="00215138" w:rsidP="00FA22D5">
      <w:pPr>
        <w:spacing w:afterLines="50" w:after="120" w:line="340" w:lineRule="atLeast"/>
        <w:jc w:val="center"/>
        <w:rPr>
          <w:rFonts w:hAnsi="SimSun" w:cs="Arial"/>
          <w:color w:val="002060"/>
          <w:sz w:val="20"/>
          <w:szCs w:val="20"/>
        </w:rPr>
      </w:pPr>
      <w:r w:rsidRPr="00E775A9">
        <w:rPr>
          <w:rFonts w:hAnsi="SimSun" w:cs="Arial" w:hint="eastAsia"/>
          <w:color w:val="2F5496" w:themeColor="accent1" w:themeShade="BF"/>
          <w:sz w:val="20"/>
          <w:szCs w:val="20"/>
        </w:rPr>
        <w:t>图表</w:t>
      </w:r>
      <w:r w:rsidRPr="00E775A9">
        <w:rPr>
          <w:rFonts w:hAnsi="SimSun" w:cs="Arial" w:hint="eastAsia"/>
          <w:color w:val="2F5496" w:themeColor="accent1" w:themeShade="BF"/>
          <w:sz w:val="20"/>
          <w:szCs w:val="20"/>
        </w:rPr>
        <w:fldChar w:fldCharType="begin"/>
      </w:r>
      <w:r w:rsidRPr="00E775A9">
        <w:rPr>
          <w:rFonts w:hAnsi="SimSun" w:cs="Arial" w:hint="eastAsia"/>
          <w:color w:val="2F5496" w:themeColor="accent1" w:themeShade="BF"/>
          <w:sz w:val="20"/>
          <w:szCs w:val="20"/>
        </w:rPr>
        <w:instrText xml:space="preserve"> SEQ Graph \* ARABIC </w:instrText>
      </w:r>
      <w:r w:rsidRPr="00E775A9">
        <w:rPr>
          <w:rFonts w:hAnsi="SimSun" w:cs="Arial" w:hint="eastAsia"/>
          <w:color w:val="2F5496" w:themeColor="accent1" w:themeShade="BF"/>
          <w:sz w:val="20"/>
          <w:szCs w:val="20"/>
        </w:rPr>
        <w:fldChar w:fldCharType="separate"/>
      </w:r>
      <w:r w:rsidR="00AA5A99">
        <w:rPr>
          <w:rFonts w:hAnsi="SimSun" w:cs="Arial"/>
          <w:noProof/>
          <w:color w:val="2F5496" w:themeColor="accent1" w:themeShade="BF"/>
          <w:sz w:val="20"/>
          <w:szCs w:val="20"/>
        </w:rPr>
        <w:t>6</w:t>
      </w:r>
      <w:r w:rsidRPr="00E775A9">
        <w:rPr>
          <w:rFonts w:hAnsi="SimSun" w:cs="Arial" w:hint="eastAsia"/>
          <w:color w:val="2F5496" w:themeColor="accent1" w:themeShade="BF"/>
          <w:sz w:val="20"/>
          <w:szCs w:val="20"/>
        </w:rPr>
        <w:fldChar w:fldCharType="end"/>
      </w:r>
      <w:r w:rsidRPr="00E775A9">
        <w:rPr>
          <w:rFonts w:hAnsi="SimSun" w:cs="Arial" w:hint="eastAsia"/>
          <w:color w:val="2F5496" w:themeColor="accent1" w:themeShade="BF"/>
          <w:sz w:val="20"/>
          <w:szCs w:val="20"/>
        </w:rPr>
        <w:t>.技术援助成果评估</w:t>
      </w:r>
    </w:p>
    <w:p w14:paraId="22A1A525" w14:textId="204EA8D8" w:rsidR="00EA5678" w:rsidRPr="00E23D52" w:rsidRDefault="0029237A">
      <w:pPr>
        <w:pStyle w:val="Caption"/>
        <w:spacing w:before="120" w:after="0"/>
        <w:rPr>
          <w:rFonts w:ascii="KaiTi" w:eastAsia="KaiTi" w:hAnsi="KaiTi" w:cs="Arial"/>
          <w:iCs/>
          <w:sz w:val="24"/>
          <w:szCs w:val="24"/>
          <w:lang w:eastAsia="zh-CN"/>
        </w:rPr>
      </w:pPr>
      <w:r w:rsidRPr="0029237A">
        <w:rPr>
          <w:rFonts w:hint="eastAsia"/>
          <w:noProof/>
        </w:rPr>
        <w:drawing>
          <wp:inline distT="0" distB="0" distL="0" distR="0" wp14:anchorId="149739D6" wp14:editId="571472DE">
            <wp:extent cx="5939790" cy="3529330"/>
            <wp:effectExtent l="0" t="0" r="3810" b="0"/>
            <wp:docPr id="178292469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39790" cy="3529330"/>
                    </a:xfrm>
                    <a:prstGeom prst="rect">
                      <a:avLst/>
                    </a:prstGeom>
                    <a:noFill/>
                    <a:ln>
                      <a:noFill/>
                    </a:ln>
                  </pic:spPr>
                </pic:pic>
              </a:graphicData>
            </a:graphic>
          </wp:inline>
        </w:drawing>
      </w:r>
    </w:p>
    <w:p w14:paraId="2E494CD7" w14:textId="77777777" w:rsidR="00EA5678" w:rsidRPr="00E775A9" w:rsidRDefault="00215138" w:rsidP="00580125">
      <w:pPr>
        <w:spacing w:afterLines="50" w:after="120" w:line="240" w:lineRule="auto"/>
        <w:rPr>
          <w:rFonts w:hAnsi="SimSun" w:cs="Arial"/>
          <w:sz w:val="20"/>
          <w:szCs w:val="20"/>
        </w:rPr>
      </w:pPr>
      <w:r w:rsidRPr="00E775A9">
        <w:rPr>
          <w:rFonts w:hAnsi="SimSun" w:cs="Arial" w:hint="eastAsia"/>
          <w:sz w:val="20"/>
          <w:szCs w:val="20"/>
        </w:rPr>
        <w:t>来源：审查调查</w:t>
      </w:r>
    </w:p>
    <w:p w14:paraId="4D15AA1F" w14:textId="77777777" w:rsidR="00EA5678" w:rsidRPr="00E23D52" w:rsidRDefault="00215138" w:rsidP="00580125">
      <w:pPr>
        <w:keepNext/>
        <w:spacing w:afterLines="50" w:after="120" w:line="340" w:lineRule="atLeast"/>
        <w:rPr>
          <w:rFonts w:ascii="KaiTi" w:eastAsia="KaiTi" w:hAnsi="KaiTi" w:cs="Arial"/>
          <w:b/>
          <w:iCs/>
        </w:rPr>
      </w:pPr>
      <w:r w:rsidRPr="00E23D52">
        <w:rPr>
          <w:rFonts w:ascii="KaiTi" w:eastAsia="KaiTi" w:hAnsi="KaiTi" w:cs="Arial" w:hint="eastAsia"/>
          <w:b/>
          <w:iCs/>
        </w:rPr>
        <w:t>能力建设</w:t>
      </w:r>
    </w:p>
    <w:p w14:paraId="532C552E"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在审查期间（2017-2022年），WIPO学院提供了以下五个与能力建设相关的课程：</w:t>
      </w:r>
    </w:p>
    <w:p w14:paraId="66CCB175" w14:textId="77777777" w:rsidR="00EA5678" w:rsidRPr="00E775A9" w:rsidRDefault="00215138" w:rsidP="00580125">
      <w:pPr>
        <w:pStyle w:val="ListParagraph"/>
        <w:numPr>
          <w:ilvl w:val="0"/>
          <w:numId w:val="30"/>
        </w:numPr>
        <w:spacing w:after="120"/>
        <w:ind w:left="851" w:hanging="284"/>
        <w:contextualSpacing/>
        <w:rPr>
          <w:rFonts w:hAnsi="SimSun" w:cs="Arial"/>
        </w:rPr>
      </w:pPr>
      <w:r w:rsidRPr="00E775A9">
        <w:rPr>
          <w:rFonts w:hAnsi="SimSun" w:cs="Arial" w:hint="eastAsia"/>
        </w:rPr>
        <w:t>远程学习（DL）课程，包括一般课程和高级课程</w:t>
      </w:r>
    </w:p>
    <w:p w14:paraId="55C0B6FC" w14:textId="77777777" w:rsidR="00EA5678" w:rsidRPr="00E775A9" w:rsidRDefault="00215138" w:rsidP="00580125">
      <w:pPr>
        <w:pStyle w:val="ListParagraph"/>
        <w:numPr>
          <w:ilvl w:val="0"/>
          <w:numId w:val="30"/>
        </w:numPr>
        <w:spacing w:after="120"/>
        <w:ind w:left="851" w:hanging="284"/>
        <w:contextualSpacing/>
        <w:rPr>
          <w:rFonts w:hAnsi="SimSun" w:cs="Arial"/>
        </w:rPr>
      </w:pPr>
      <w:r w:rsidRPr="00E775A9">
        <w:rPr>
          <w:rFonts w:hAnsi="SimSun" w:cs="Arial" w:hint="eastAsia"/>
        </w:rPr>
        <w:t>知识产权培训机构（IPTI）</w:t>
      </w:r>
    </w:p>
    <w:p w14:paraId="5D38C773" w14:textId="51D0DA19" w:rsidR="00EA5678" w:rsidRPr="00E775A9" w:rsidRDefault="00215138" w:rsidP="00580125">
      <w:pPr>
        <w:pStyle w:val="ListParagraph"/>
        <w:numPr>
          <w:ilvl w:val="0"/>
          <w:numId w:val="30"/>
        </w:numPr>
        <w:spacing w:after="120"/>
        <w:ind w:left="851" w:hanging="284"/>
        <w:contextualSpacing/>
        <w:rPr>
          <w:rFonts w:hAnsi="SimSun" w:cs="Arial"/>
        </w:rPr>
      </w:pPr>
      <w:r w:rsidRPr="00E775A9">
        <w:rPr>
          <w:rFonts w:hAnsi="SimSun" w:cs="Arial" w:hint="eastAsia"/>
        </w:rPr>
        <w:t>联合硕士课程</w:t>
      </w:r>
    </w:p>
    <w:p w14:paraId="664861D0" w14:textId="77777777" w:rsidR="00EA5678" w:rsidRPr="00E775A9" w:rsidRDefault="00215138" w:rsidP="00580125">
      <w:pPr>
        <w:pStyle w:val="ListParagraph"/>
        <w:numPr>
          <w:ilvl w:val="0"/>
          <w:numId w:val="30"/>
        </w:numPr>
        <w:spacing w:after="120"/>
        <w:ind w:left="851" w:hanging="284"/>
        <w:contextualSpacing/>
        <w:rPr>
          <w:rFonts w:hAnsi="SimSun" w:cs="Arial"/>
        </w:rPr>
      </w:pPr>
      <w:r w:rsidRPr="00E775A9">
        <w:rPr>
          <w:rFonts w:hAnsi="SimSun" w:cs="Arial" w:hint="eastAsia"/>
        </w:rPr>
        <w:t>知识产权暑期学校</w:t>
      </w:r>
    </w:p>
    <w:p w14:paraId="01DD5D01" w14:textId="77777777" w:rsidR="00EA5678" w:rsidRPr="00E775A9" w:rsidRDefault="00215138" w:rsidP="00580125">
      <w:pPr>
        <w:pStyle w:val="ListParagraph"/>
        <w:numPr>
          <w:ilvl w:val="0"/>
          <w:numId w:val="30"/>
        </w:numPr>
        <w:spacing w:after="120"/>
        <w:ind w:left="851" w:hanging="284"/>
        <w:rPr>
          <w:rFonts w:hAnsi="SimSun" w:cs="Arial"/>
        </w:rPr>
      </w:pPr>
      <w:r w:rsidRPr="00E775A9">
        <w:rPr>
          <w:rFonts w:hAnsi="SimSun" w:cs="Arial" w:hint="eastAsia"/>
        </w:rPr>
        <w:t>专业发展课程</w:t>
      </w:r>
    </w:p>
    <w:p w14:paraId="2445AD2E" w14:textId="77777777" w:rsidR="00EA5678" w:rsidRPr="00E775A9" w:rsidRDefault="00215138" w:rsidP="00C259B0">
      <w:pPr>
        <w:pStyle w:val="ListParagraph"/>
        <w:numPr>
          <w:ilvl w:val="0"/>
          <w:numId w:val="3"/>
        </w:numPr>
        <w:spacing w:after="120"/>
        <w:ind w:left="0" w:firstLine="0"/>
        <w:rPr>
          <w:rFonts w:hAnsi="SimSun" w:cs="Arial"/>
          <w:color w:val="2F5496" w:themeColor="accent1" w:themeShade="BF"/>
          <w:sz w:val="20"/>
          <w:szCs w:val="20"/>
        </w:rPr>
      </w:pPr>
      <w:r w:rsidRPr="00E23D52">
        <w:rPr>
          <w:rFonts w:ascii="KaiTi" w:eastAsia="KaiTi" w:hAnsi="KaiTi" w:cs="Arial" w:hint="eastAsia"/>
          <w:iCs/>
        </w:rPr>
        <w:t>根据《WIPO学院报告（2021年）》，WIPO学院在2021年实现了第100万名参与者报名的重要里程碑。这比2018年的91,298名参与者相比，有了巨大的增长。</w:t>
      </w:r>
      <w:r w:rsidRPr="00E775A9">
        <w:rPr>
          <w:rFonts w:hAnsi="SimSun" w:cs="Arial" w:hint="eastAsia"/>
        </w:rPr>
        <w:t>2022年，这一数字增至120万。除了受COVID-19大流行负面影响的专业发展课程（图2）外，四个课程中有三个在审查期间表现出稳定增长。</w:t>
      </w:r>
      <w:bookmarkStart w:id="300" w:name="_Toc177474713"/>
    </w:p>
    <w:p w14:paraId="62A8B15F" w14:textId="2E05AFBA" w:rsidR="00EA5678" w:rsidRPr="00E775A9" w:rsidRDefault="00215138" w:rsidP="00A53F89">
      <w:pPr>
        <w:keepNext/>
        <w:spacing w:afterLines="50" w:after="120" w:line="340" w:lineRule="atLeast"/>
        <w:jc w:val="center"/>
        <w:rPr>
          <w:rFonts w:hAnsi="SimSun" w:cs="Arial"/>
          <w:color w:val="2F5496" w:themeColor="accent1" w:themeShade="BF"/>
          <w:sz w:val="20"/>
          <w:szCs w:val="20"/>
        </w:rPr>
      </w:pPr>
      <w:r w:rsidRPr="00E775A9">
        <w:rPr>
          <w:rFonts w:hAnsi="SimSun" w:cs="Arial" w:hint="eastAsia"/>
          <w:color w:val="2F5496" w:themeColor="accent1" w:themeShade="BF"/>
          <w:sz w:val="20"/>
          <w:szCs w:val="20"/>
        </w:rPr>
        <w:t>图</w:t>
      </w:r>
      <w:r w:rsidRPr="00E775A9">
        <w:rPr>
          <w:rFonts w:hAnsi="SimSun" w:cs="Arial" w:hint="eastAsia"/>
          <w:color w:val="2F5496" w:themeColor="accent1" w:themeShade="BF"/>
          <w:sz w:val="20"/>
          <w:szCs w:val="20"/>
        </w:rPr>
        <w:fldChar w:fldCharType="begin"/>
      </w:r>
      <w:r w:rsidRPr="00E775A9">
        <w:rPr>
          <w:rFonts w:hAnsi="SimSun" w:cs="Arial" w:hint="eastAsia"/>
          <w:color w:val="2F5496" w:themeColor="accent1" w:themeShade="BF"/>
          <w:sz w:val="20"/>
          <w:szCs w:val="20"/>
        </w:rPr>
        <w:instrText xml:space="preserve"> SEQ Figure \* ARABIC </w:instrText>
      </w:r>
      <w:r w:rsidRPr="00E775A9">
        <w:rPr>
          <w:rFonts w:hAnsi="SimSun" w:cs="Arial" w:hint="eastAsia"/>
          <w:color w:val="2F5496" w:themeColor="accent1" w:themeShade="BF"/>
          <w:sz w:val="20"/>
          <w:szCs w:val="20"/>
        </w:rPr>
        <w:fldChar w:fldCharType="separate"/>
      </w:r>
      <w:r w:rsidR="00AA5A99">
        <w:rPr>
          <w:rFonts w:hAnsi="SimSun" w:cs="Arial"/>
          <w:noProof/>
          <w:color w:val="2F5496" w:themeColor="accent1" w:themeShade="BF"/>
          <w:sz w:val="20"/>
          <w:szCs w:val="20"/>
        </w:rPr>
        <w:t>2</w:t>
      </w:r>
      <w:r w:rsidRPr="00E775A9">
        <w:rPr>
          <w:rFonts w:hAnsi="SimSun" w:cs="Arial" w:hint="eastAsia"/>
          <w:color w:val="2F5496" w:themeColor="accent1" w:themeShade="BF"/>
          <w:sz w:val="20"/>
          <w:szCs w:val="20"/>
        </w:rPr>
        <w:fldChar w:fldCharType="end"/>
      </w:r>
      <w:r w:rsidRPr="00E775A9">
        <w:rPr>
          <w:rFonts w:hAnsi="SimSun" w:cs="Arial" w:hint="eastAsia"/>
          <w:color w:val="2F5496" w:themeColor="accent1" w:themeShade="BF"/>
          <w:sz w:val="20"/>
          <w:szCs w:val="20"/>
        </w:rPr>
        <w:t>.2017-2022年能力建设课程参与者增长</w:t>
      </w:r>
      <w:bookmarkEnd w:id="300"/>
    </w:p>
    <w:p w14:paraId="4823D631" w14:textId="77777777" w:rsidR="00A53F89" w:rsidRDefault="00215138" w:rsidP="00580125">
      <w:pPr>
        <w:tabs>
          <w:tab w:val="left" w:pos="1134"/>
        </w:tabs>
        <w:spacing w:after="0" w:line="240" w:lineRule="auto"/>
        <w:ind w:left="91"/>
        <w:rPr>
          <w:rFonts w:hAnsi="SimSun" w:cs="Arial"/>
          <w:sz w:val="20"/>
          <w:szCs w:val="20"/>
        </w:rPr>
      </w:pPr>
      <w:r w:rsidRPr="00E775A9">
        <w:rPr>
          <w:rFonts w:hAnsi="SimSun" w:cs="Arial" w:hint="eastAsia"/>
          <w:noProof/>
          <w:kern w:val="2"/>
          <w14:ligatures w14:val="standardContextual"/>
        </w:rPr>
        <w:drawing>
          <wp:inline distT="0" distB="0" distL="0" distR="0" wp14:anchorId="3ADC52F0" wp14:editId="31669E79">
            <wp:extent cx="5751830" cy="3164840"/>
            <wp:effectExtent l="0" t="0" r="1270" b="0"/>
            <wp:docPr id="1496208356" name="Graphic 1" descr="Figure 2. Growth of participants of capacity building programs during 2017-2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6208356" name="Graphic 1" descr="Figure 2. Growth of participants of capacity building programs during 2017-2022"/>
                    <pic:cNvPicPr>
                      <a:picLocks noChangeAspect="1"/>
                    </pic:cNvPicPr>
                  </pic:nvPicPr>
                  <pic:blipFill>
                    <a:blip r:embed="rId28">
                      <a:extLst>
                        <a:ext uri="{96DAC541-7B7A-43D3-8B79-37D633B846F1}">
                          <asvg:svgBlip xmlns:asvg="http://schemas.microsoft.com/office/drawing/2016/SVG/main" r:embed="rId29"/>
                        </a:ext>
                      </a:extLst>
                    </a:blip>
                    <a:stretch>
                      <a:fillRect/>
                    </a:stretch>
                  </pic:blipFill>
                  <pic:spPr>
                    <a:xfrm>
                      <a:off x="0" y="0"/>
                      <a:ext cx="5769300" cy="3174683"/>
                    </a:xfrm>
                    <a:prstGeom prst="rect">
                      <a:avLst/>
                    </a:prstGeom>
                  </pic:spPr>
                </pic:pic>
              </a:graphicData>
            </a:graphic>
          </wp:inline>
        </w:drawing>
      </w:r>
    </w:p>
    <w:p w14:paraId="7CA96200" w14:textId="142770EC" w:rsidR="00EA5678" w:rsidRPr="00E775A9" w:rsidRDefault="00215138" w:rsidP="00580125">
      <w:pPr>
        <w:spacing w:afterLines="50" w:after="120" w:line="340" w:lineRule="atLeast"/>
        <w:ind w:left="227"/>
        <w:rPr>
          <w:rFonts w:hAnsi="SimSun" w:cs="Arial"/>
          <w:kern w:val="2"/>
          <w:sz w:val="24"/>
          <w:szCs w:val="24"/>
          <w14:ligatures w14:val="standardContextual"/>
        </w:rPr>
      </w:pPr>
      <w:r w:rsidRPr="00E775A9">
        <w:rPr>
          <w:rFonts w:hAnsi="SimSun" w:cs="Arial" w:hint="eastAsia"/>
          <w:sz w:val="20"/>
          <w:szCs w:val="20"/>
        </w:rPr>
        <w:t>来源：《WIPO学院报告（2016-2022年）》</w:t>
      </w:r>
    </w:p>
    <w:p w14:paraId="092187B3" w14:textId="28B6922D"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审查还将能力建设课程在改进和最大限度地转移成员国的知识、技能和能力，</w:t>
      </w:r>
      <w:r w:rsidRPr="00E775A9">
        <w:rPr>
          <w:rFonts w:hAnsi="SimSun" w:cs="Arial" w:hint="eastAsia"/>
        </w:rPr>
        <w:t>以提高各国行政管理、管理和使用知识产权的机构能力方面的贡献评价为非常有效。例如，这可以通过以下内容得到证明：</w:t>
      </w:r>
    </w:p>
    <w:p w14:paraId="665F8E81" w14:textId="7F128F87" w:rsidR="00EA5678" w:rsidRPr="00E775A9" w:rsidRDefault="00580125" w:rsidP="00F61A1D">
      <w:pPr>
        <w:numPr>
          <w:ilvl w:val="1"/>
          <w:numId w:val="31"/>
        </w:numPr>
        <w:spacing w:afterLines="50" w:after="120" w:line="340" w:lineRule="atLeast"/>
        <w:ind w:left="425" w:hanging="425"/>
        <w:jc w:val="both"/>
        <w:rPr>
          <w:rFonts w:hAnsi="SimSun" w:cs="Arial"/>
          <w:kern w:val="2"/>
          <w14:ligatures w14:val="standardContextual"/>
        </w:rPr>
      </w:pPr>
      <w:r>
        <w:rPr>
          <w:rFonts w:ascii="Arial" w:hAnsi="Arial" w:cs="Arial" w:hint="eastAsia"/>
          <w:i/>
          <w:iCs/>
          <w:noProof/>
          <w:kern w:val="2"/>
          <w14:ligatures w14:val="standardContextual"/>
        </w:rPr>
        <mc:AlternateContent>
          <mc:Choice Requires="wps">
            <w:drawing>
              <wp:anchor distT="45720" distB="45720" distL="114300" distR="114300" simplePos="0" relativeHeight="251670528" behindDoc="0" locked="0" layoutInCell="1" allowOverlap="1" wp14:anchorId="48DA6744" wp14:editId="61671879">
                <wp:simplePos x="0" y="0"/>
                <wp:positionH relativeFrom="column">
                  <wp:posOffset>2999740</wp:posOffset>
                </wp:positionH>
                <wp:positionV relativeFrom="page">
                  <wp:posOffset>5401314</wp:posOffset>
                </wp:positionV>
                <wp:extent cx="2921000" cy="2161540"/>
                <wp:effectExtent l="0" t="0" r="12700" b="10160"/>
                <wp:wrapSquare wrapText="bothSides"/>
                <wp:docPr id="343403849" name="Text Box 2" descr="Figure 2. Growth of participants of capacity building programs during 2017-20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21000" cy="2161540"/>
                        </a:xfrm>
                        <a:prstGeom prst="rect">
                          <a:avLst/>
                        </a:prstGeom>
                        <a:solidFill>
                          <a:srgbClr val="FFFFFF"/>
                        </a:solidFill>
                        <a:ln w="9525">
                          <a:solidFill>
                            <a:srgbClr val="000000"/>
                          </a:solidFill>
                          <a:miter lim="800000"/>
                        </a:ln>
                      </wps:spPr>
                      <wps:txbx>
                        <w:txbxContent>
                          <w:p w14:paraId="6677A157" w14:textId="77777777" w:rsidR="00EA5678" w:rsidRPr="00FC573E" w:rsidRDefault="00215138" w:rsidP="00FC573E">
                            <w:pPr>
                              <w:spacing w:afterLines="50" w:after="120" w:line="340" w:lineRule="atLeast"/>
                              <w:jc w:val="center"/>
                              <w:rPr>
                                <w:rFonts w:hAnsi="SimSun"/>
                              </w:rPr>
                            </w:pPr>
                            <w:r w:rsidRPr="00FC573E">
                              <w:rPr>
                                <w:rFonts w:hAnsi="SimSun"/>
                              </w:rPr>
                              <w:t>IPTI课程的有效性得到以下成就的证明：</w:t>
                            </w:r>
                          </w:p>
                          <w:p w14:paraId="1675817E" w14:textId="3D834EFC" w:rsidR="00EA5678" w:rsidRPr="00A23549" w:rsidRDefault="00215138" w:rsidP="00580125">
                            <w:pPr>
                              <w:numPr>
                                <w:ilvl w:val="0"/>
                                <w:numId w:val="32"/>
                              </w:numPr>
                              <w:spacing w:afterLines="50" w:after="120" w:line="340" w:lineRule="atLeast"/>
                              <w:ind w:left="284" w:hanging="284"/>
                              <w:contextualSpacing/>
                              <w:jc w:val="both"/>
                              <w:rPr>
                                <w:rFonts w:hAnsi="SimSun" w:cstheme="minorHAnsi"/>
                                <w:color w:val="156082"/>
                              </w:rPr>
                            </w:pPr>
                            <w:r w:rsidRPr="00A23549">
                              <w:rPr>
                                <w:rFonts w:hAnsi="SimSun" w:cstheme="minorHAnsi"/>
                                <w:color w:val="156082"/>
                              </w:rPr>
                              <w:t>建立了十九（19）个IPTI。</w:t>
                            </w:r>
                          </w:p>
                          <w:p w14:paraId="34F56E0E" w14:textId="77777777" w:rsidR="00EA5678" w:rsidRPr="00A23549" w:rsidRDefault="00215138" w:rsidP="00580125">
                            <w:pPr>
                              <w:numPr>
                                <w:ilvl w:val="0"/>
                                <w:numId w:val="32"/>
                              </w:numPr>
                              <w:spacing w:afterLines="50" w:after="120" w:line="340" w:lineRule="atLeast"/>
                              <w:ind w:left="284" w:hanging="284"/>
                              <w:contextualSpacing/>
                              <w:jc w:val="both"/>
                              <w:rPr>
                                <w:rFonts w:hAnsi="SimSun" w:cstheme="minorHAnsi"/>
                                <w:color w:val="156082"/>
                              </w:rPr>
                            </w:pPr>
                            <w:r w:rsidRPr="00A23549">
                              <w:rPr>
                                <w:rFonts w:hAnsi="SimSun" w:cstheme="minorHAnsi"/>
                                <w:color w:val="156082"/>
                              </w:rPr>
                              <w:t>开发了120个培训师培训模块。</w:t>
                            </w:r>
                          </w:p>
                          <w:p w14:paraId="468BDA2A" w14:textId="77777777" w:rsidR="00EA5678" w:rsidRPr="00A23549" w:rsidRDefault="00215138" w:rsidP="00580125">
                            <w:pPr>
                              <w:numPr>
                                <w:ilvl w:val="0"/>
                                <w:numId w:val="32"/>
                              </w:numPr>
                              <w:spacing w:afterLines="50" w:after="120" w:line="340" w:lineRule="atLeast"/>
                              <w:ind w:left="284" w:hanging="284"/>
                              <w:contextualSpacing/>
                              <w:jc w:val="both"/>
                              <w:rPr>
                                <w:rFonts w:hAnsi="SimSun" w:cstheme="minorHAnsi"/>
                                <w:color w:val="156082"/>
                              </w:rPr>
                            </w:pPr>
                            <w:r w:rsidRPr="00A23549">
                              <w:rPr>
                                <w:rFonts w:hAnsi="SimSun" w:cstheme="minorHAnsi"/>
                                <w:color w:val="156082"/>
                              </w:rPr>
                              <w:t>1,000多名学员培训师接受了培训，其中53%是妇女，47%是男士。</w:t>
                            </w:r>
                          </w:p>
                          <w:p w14:paraId="7E3D573E" w14:textId="77777777" w:rsidR="00EA5678" w:rsidRPr="00A23549" w:rsidRDefault="00215138" w:rsidP="00FC573E">
                            <w:pPr>
                              <w:numPr>
                                <w:ilvl w:val="0"/>
                                <w:numId w:val="32"/>
                              </w:numPr>
                              <w:spacing w:afterLines="50" w:after="120" w:line="340" w:lineRule="atLeast"/>
                              <w:ind w:left="284" w:hanging="284"/>
                              <w:contextualSpacing/>
                              <w:jc w:val="both"/>
                              <w:rPr>
                                <w:rFonts w:hAnsi="SimSun" w:cstheme="minorHAnsi"/>
                                <w:color w:val="156082"/>
                              </w:rPr>
                            </w:pPr>
                            <w:r w:rsidRPr="00A23549">
                              <w:rPr>
                                <w:rFonts w:hAnsi="SimSun" w:cstheme="minorHAnsi"/>
                                <w:color w:val="156082"/>
                              </w:rPr>
                              <w:t>提供了约9,000次与知识产权相关的培训和技能建设活动。</w:t>
                            </w:r>
                          </w:p>
                          <w:p w14:paraId="1248EB80" w14:textId="7179E320" w:rsidR="00EA5678" w:rsidRPr="00A23549" w:rsidRDefault="00215138" w:rsidP="00FC573E">
                            <w:pPr>
                              <w:numPr>
                                <w:ilvl w:val="0"/>
                                <w:numId w:val="32"/>
                              </w:numPr>
                              <w:spacing w:afterLines="50" w:after="120" w:line="340" w:lineRule="atLeast"/>
                              <w:ind w:left="284" w:hanging="284"/>
                              <w:jc w:val="both"/>
                              <w:rPr>
                                <w:rFonts w:hAnsi="SimSun" w:cstheme="minorHAnsi"/>
                                <w:color w:val="156082"/>
                              </w:rPr>
                            </w:pPr>
                            <w:r w:rsidRPr="00A23549">
                              <w:rPr>
                                <w:rFonts w:hAnsi="SimSun" w:cstheme="minorHAnsi"/>
                                <w:color w:val="156082"/>
                              </w:rPr>
                              <w:t>在19个已建立的</w:t>
                            </w:r>
                            <w:r w:rsidRPr="00A23549">
                              <w:rPr>
                                <w:rFonts w:hAnsi="SimSun" w:cstheme="minorHAnsi" w:hint="eastAsia"/>
                                <w:color w:val="156082"/>
                              </w:rPr>
                              <w:t>知识产权培训机构</w:t>
                            </w:r>
                            <w:r w:rsidRPr="00A23549">
                              <w:rPr>
                                <w:rFonts w:hAnsi="SimSun" w:cstheme="minorHAnsi"/>
                                <w:color w:val="156082"/>
                              </w:rPr>
                              <w:t>中培训了53</w:t>
                            </w:r>
                            <w:r w:rsidRPr="00A23549">
                              <w:rPr>
                                <w:rFonts w:hAnsi="SimSun" w:cstheme="minorHAnsi" w:hint="eastAsia"/>
                                <w:color w:val="156082"/>
                              </w:rPr>
                              <w:t>,</w:t>
                            </w:r>
                            <w:r w:rsidRPr="00A23549">
                              <w:rPr>
                                <w:rFonts w:hAnsi="SimSun" w:cstheme="minorHAnsi"/>
                                <w:color w:val="156082"/>
                              </w:rPr>
                              <w:t>000多名受益者。</w:t>
                            </w:r>
                          </w:p>
                        </w:txbxContent>
                      </wps:txbx>
                      <wps:bodyPr rot="0" vertOverflow="clip" horzOverflow="clip" vert="horz" wrap="square" lIns="91440" tIns="45720" rIns="91440" bIns="45720" anchor="t" anchorCtr="0">
                        <a:noAutofit/>
                      </wps:bodyPr>
                    </wps:wsp>
                  </a:graphicData>
                </a:graphic>
                <wp14:sizeRelV relativeFrom="margin">
                  <wp14:pctHeight>0</wp14:pctHeight>
                </wp14:sizeRelV>
              </wp:anchor>
            </w:drawing>
          </mc:Choice>
          <mc:Fallback>
            <w:pict>
              <v:shape w14:anchorId="48DA6744" id="Text Box 2" o:spid="_x0000_s1037" type="#_x0000_t202" alt="Figure 2. Growth of participants of capacity building programs during 2017-2022" style="position:absolute;left:0;text-align:left;margin-left:236.2pt;margin-top:425.3pt;width:230pt;height:170.2pt;z-index:251670528;visibility:visible;mso-wrap-style:square;mso-height-percent:0;mso-wrap-distance-left:9pt;mso-wrap-distance-top:3.6pt;mso-wrap-distance-right:9pt;mso-wrap-distance-bottom:3.6pt;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">
                <v:textbox>
                  <w:txbxContent>
                    <w:p w14:paraId="6677A157" w14:textId="77777777" w:rsidR="00EA5678" w:rsidRPr="00FC573E" w:rsidRDefault="00215138" w:rsidP="00FC573E">
                      <w:pPr>
                        <w:spacing w:afterLines="50" w:after="120" w:line="340" w:lineRule="atLeast"/>
                        <w:jc w:val="center"/>
                        <w:rPr>
                          <w:rFonts w:hAnsi="SimSun"/>
                        </w:rPr>
                      </w:pPr>
                      <w:r w:rsidRPr="00FC573E">
                        <w:rPr>
                          <w:rFonts w:hAnsi="SimSun"/>
                        </w:rPr>
                        <w:t>IPTI课程的有效性得到以下成就的证明：</w:t>
                      </w:r>
                    </w:p>
                    <w:p w14:paraId="1675817E" w14:textId="3D834EFC" w:rsidR="00EA5678" w:rsidRPr="00A23549" w:rsidRDefault="00215138" w:rsidP="00580125">
                      <w:pPr>
                        <w:numPr>
                          <w:ilvl w:val="0"/>
                          <w:numId w:val="32"/>
                        </w:numPr>
                        <w:spacing w:afterLines="50" w:after="120" w:line="340" w:lineRule="atLeast"/>
                        <w:ind w:left="284" w:hanging="284"/>
                        <w:contextualSpacing/>
                        <w:jc w:val="both"/>
                        <w:rPr>
                          <w:rFonts w:hAnsi="SimSun" w:cstheme="minorHAnsi"/>
                          <w:color w:val="156082"/>
                        </w:rPr>
                      </w:pPr>
                      <w:r w:rsidRPr="00A23549">
                        <w:rPr>
                          <w:rFonts w:hAnsi="SimSun" w:cstheme="minorHAnsi"/>
                          <w:color w:val="156082"/>
                        </w:rPr>
                        <w:t>建立了十九（19）</w:t>
                      </w:r>
                      <w:proofErr w:type="gramStart"/>
                      <w:r w:rsidRPr="00A23549">
                        <w:rPr>
                          <w:rFonts w:hAnsi="SimSun" w:cstheme="minorHAnsi"/>
                          <w:color w:val="156082"/>
                        </w:rPr>
                        <w:t>个</w:t>
                      </w:r>
                      <w:proofErr w:type="gramEnd"/>
                      <w:r w:rsidRPr="00A23549">
                        <w:rPr>
                          <w:rFonts w:hAnsi="SimSun" w:cstheme="minorHAnsi"/>
                          <w:color w:val="156082"/>
                        </w:rPr>
                        <w:t>IPTI。</w:t>
                      </w:r>
                    </w:p>
                    <w:p w14:paraId="34F56E0E" w14:textId="77777777" w:rsidR="00EA5678" w:rsidRPr="00A23549" w:rsidRDefault="00215138" w:rsidP="00580125">
                      <w:pPr>
                        <w:numPr>
                          <w:ilvl w:val="0"/>
                          <w:numId w:val="32"/>
                        </w:numPr>
                        <w:spacing w:afterLines="50" w:after="120" w:line="340" w:lineRule="atLeast"/>
                        <w:ind w:left="284" w:hanging="284"/>
                        <w:contextualSpacing/>
                        <w:jc w:val="both"/>
                        <w:rPr>
                          <w:rFonts w:hAnsi="SimSun" w:cstheme="minorHAnsi"/>
                          <w:color w:val="156082"/>
                        </w:rPr>
                      </w:pPr>
                      <w:r w:rsidRPr="00A23549">
                        <w:rPr>
                          <w:rFonts w:hAnsi="SimSun" w:cstheme="minorHAnsi"/>
                          <w:color w:val="156082"/>
                        </w:rPr>
                        <w:t>开发了120个培训</w:t>
                      </w:r>
                      <w:proofErr w:type="gramStart"/>
                      <w:r w:rsidRPr="00A23549">
                        <w:rPr>
                          <w:rFonts w:hAnsi="SimSun" w:cstheme="minorHAnsi"/>
                          <w:color w:val="156082"/>
                        </w:rPr>
                        <w:t>师培训</w:t>
                      </w:r>
                      <w:proofErr w:type="gramEnd"/>
                      <w:r w:rsidRPr="00A23549">
                        <w:rPr>
                          <w:rFonts w:hAnsi="SimSun" w:cstheme="minorHAnsi"/>
                          <w:color w:val="156082"/>
                        </w:rPr>
                        <w:t>模块。</w:t>
                      </w:r>
                    </w:p>
                    <w:p w14:paraId="468BDA2A" w14:textId="77777777" w:rsidR="00EA5678" w:rsidRPr="00A23549" w:rsidRDefault="00215138" w:rsidP="00580125">
                      <w:pPr>
                        <w:numPr>
                          <w:ilvl w:val="0"/>
                          <w:numId w:val="32"/>
                        </w:numPr>
                        <w:spacing w:afterLines="50" w:after="120" w:line="340" w:lineRule="atLeast"/>
                        <w:ind w:left="284" w:hanging="284"/>
                        <w:contextualSpacing/>
                        <w:jc w:val="both"/>
                        <w:rPr>
                          <w:rFonts w:hAnsi="SimSun" w:cstheme="minorHAnsi"/>
                          <w:color w:val="156082"/>
                        </w:rPr>
                      </w:pPr>
                      <w:r w:rsidRPr="00A23549">
                        <w:rPr>
                          <w:rFonts w:hAnsi="SimSun" w:cstheme="minorHAnsi"/>
                          <w:color w:val="156082"/>
                        </w:rPr>
                        <w:t>1,000多名学员培训</w:t>
                      </w:r>
                      <w:proofErr w:type="gramStart"/>
                      <w:r w:rsidRPr="00A23549">
                        <w:rPr>
                          <w:rFonts w:hAnsi="SimSun" w:cstheme="minorHAnsi"/>
                          <w:color w:val="156082"/>
                        </w:rPr>
                        <w:t>师接受</w:t>
                      </w:r>
                      <w:proofErr w:type="gramEnd"/>
                      <w:r w:rsidRPr="00A23549">
                        <w:rPr>
                          <w:rFonts w:hAnsi="SimSun" w:cstheme="minorHAnsi"/>
                          <w:color w:val="156082"/>
                        </w:rPr>
                        <w:t>了培训，其中53%是妇女，47%是男士。</w:t>
                      </w:r>
                    </w:p>
                    <w:p w14:paraId="7E3D573E" w14:textId="77777777" w:rsidR="00EA5678" w:rsidRPr="00A23549" w:rsidRDefault="00215138" w:rsidP="00FC573E">
                      <w:pPr>
                        <w:numPr>
                          <w:ilvl w:val="0"/>
                          <w:numId w:val="32"/>
                        </w:numPr>
                        <w:spacing w:afterLines="50" w:after="120" w:line="340" w:lineRule="atLeast"/>
                        <w:ind w:left="284" w:hanging="284"/>
                        <w:contextualSpacing/>
                        <w:jc w:val="both"/>
                        <w:rPr>
                          <w:rFonts w:hAnsi="SimSun" w:cstheme="minorHAnsi"/>
                          <w:color w:val="156082"/>
                        </w:rPr>
                      </w:pPr>
                      <w:r w:rsidRPr="00A23549">
                        <w:rPr>
                          <w:rFonts w:hAnsi="SimSun" w:cstheme="minorHAnsi"/>
                          <w:color w:val="156082"/>
                        </w:rPr>
                        <w:t>提供了约9,000次与知识产权相关的培训和技能建设活动。</w:t>
                      </w:r>
                    </w:p>
                    <w:p w14:paraId="1248EB80" w14:textId="7179E320" w:rsidR="00EA5678" w:rsidRPr="00A23549" w:rsidRDefault="00215138" w:rsidP="00FC573E">
                      <w:pPr>
                        <w:numPr>
                          <w:ilvl w:val="0"/>
                          <w:numId w:val="32"/>
                        </w:numPr>
                        <w:spacing w:afterLines="50" w:after="120" w:line="340" w:lineRule="atLeast"/>
                        <w:ind w:left="284" w:hanging="284"/>
                        <w:jc w:val="both"/>
                        <w:rPr>
                          <w:rFonts w:hAnsi="SimSun" w:cstheme="minorHAnsi"/>
                          <w:color w:val="156082"/>
                        </w:rPr>
                      </w:pPr>
                      <w:r w:rsidRPr="00A23549">
                        <w:rPr>
                          <w:rFonts w:hAnsi="SimSun" w:cstheme="minorHAnsi"/>
                          <w:color w:val="156082"/>
                        </w:rPr>
                        <w:t>在19个已建立的</w:t>
                      </w:r>
                      <w:r w:rsidRPr="00A23549">
                        <w:rPr>
                          <w:rFonts w:hAnsi="SimSun" w:cstheme="minorHAnsi" w:hint="eastAsia"/>
                          <w:color w:val="156082"/>
                        </w:rPr>
                        <w:t>知识产权培训机构</w:t>
                      </w:r>
                      <w:r w:rsidRPr="00A23549">
                        <w:rPr>
                          <w:rFonts w:hAnsi="SimSun" w:cstheme="minorHAnsi"/>
                          <w:color w:val="156082"/>
                        </w:rPr>
                        <w:t>中培训了53</w:t>
                      </w:r>
                      <w:r w:rsidRPr="00A23549">
                        <w:rPr>
                          <w:rFonts w:hAnsi="SimSun" w:cstheme="minorHAnsi" w:hint="eastAsia"/>
                          <w:color w:val="156082"/>
                        </w:rPr>
                        <w:t>,</w:t>
                      </w:r>
                      <w:r w:rsidRPr="00A23549">
                        <w:rPr>
                          <w:rFonts w:hAnsi="SimSun" w:cstheme="minorHAnsi"/>
                          <w:color w:val="156082"/>
                        </w:rPr>
                        <w:t>000多名受益者。</w:t>
                      </w:r>
                    </w:p>
                  </w:txbxContent>
                </v:textbox>
                <w10:wrap type="square" anchory="page"/>
              </v:shape>
            </w:pict>
          </mc:Fallback>
        </mc:AlternateContent>
      </w:r>
      <w:r w:rsidR="00215138" w:rsidRPr="00E23D52">
        <w:rPr>
          <w:rFonts w:ascii="KaiTi" w:eastAsia="KaiTi" w:hAnsi="KaiTi" w:cs="Arial" w:hint="eastAsia"/>
          <w:b/>
          <w:iCs/>
          <w:kern w:val="24"/>
          <w14:ligatures w14:val="standardContextual"/>
        </w:rPr>
        <w:t>知识产权培训机构（IPTI）：</w:t>
      </w:r>
      <w:r w:rsidR="00215138" w:rsidRPr="00E775A9">
        <w:rPr>
          <w:rFonts w:hAnsi="SimSun" w:cs="Arial" w:hint="eastAsia"/>
          <w:kern w:val="24"/>
          <w14:ligatures w14:val="standardContextual"/>
        </w:rPr>
        <w:t>通过IPTI课程，至少建立了五个新的IPTI。</w:t>
      </w:r>
      <w:r w:rsidR="00215138" w:rsidRPr="00E23D52">
        <w:rPr>
          <w:rFonts w:ascii="KaiTi" w:eastAsia="KaiTi" w:hAnsi="KaiTi" w:cs="Arial" w:hint="eastAsia"/>
          <w:iCs/>
          <w:kern w:val="24"/>
          <w14:ligatures w14:val="standardContextual"/>
        </w:rPr>
        <w:t>对知识产权培训师进行了教学方法和知识产权相关课程的培训。这些培训师反过来又培训了其他人。更重要的是，接触到了更广泛的利益攸关方。例如，在2020-2021年，在163,000名受益者中，大多数私营部门，占42%，其次是学术界，占31%，公共部门占27%（《2021年WIPO学院报告》）。</w:t>
      </w:r>
    </w:p>
    <w:p w14:paraId="7AEAD8B4" w14:textId="7D525345" w:rsidR="00EA5678" w:rsidRPr="00E775A9" w:rsidRDefault="00215138" w:rsidP="00FC573E">
      <w:pPr>
        <w:numPr>
          <w:ilvl w:val="1"/>
          <w:numId w:val="31"/>
        </w:numPr>
        <w:spacing w:afterLines="50" w:after="120" w:line="340" w:lineRule="atLeast"/>
        <w:ind w:left="425" w:hanging="425"/>
        <w:jc w:val="both"/>
        <w:rPr>
          <w:rFonts w:hAnsi="SimSun" w:cs="Arial"/>
          <w:kern w:val="2"/>
          <w14:ligatures w14:val="standardContextual"/>
        </w:rPr>
      </w:pPr>
      <w:r w:rsidRPr="00E23D52">
        <w:rPr>
          <w:rFonts w:ascii="KaiTi" w:eastAsia="KaiTi" w:hAnsi="KaiTi" w:cs="Arial" w:hint="eastAsia"/>
          <w:b/>
          <w:iCs/>
          <w:kern w:val="24"/>
          <w14:ligatures w14:val="standardContextual"/>
        </w:rPr>
        <w:t>联合硕士课程</w:t>
      </w:r>
      <w:r w:rsidRPr="00E775A9">
        <w:rPr>
          <w:rFonts w:hAnsi="SimSun" w:cs="Arial" w:hint="eastAsia"/>
          <w:kern w:val="24"/>
          <w14:ligatures w14:val="standardContextual"/>
        </w:rPr>
        <w:t>：</w:t>
      </w:r>
      <w:r w:rsidRPr="00E775A9">
        <w:rPr>
          <w:rFonts w:hAnsi="SimSun" w:cs="Arial" w:hint="eastAsia"/>
          <w:kern w:val="2"/>
          <w14:ligatures w14:val="standardContextual"/>
        </w:rPr>
        <w:t>WIPO学院在17个不同国家的18所高校开设了联合硕士学位课程。</w:t>
      </w:r>
      <w:r w:rsidRPr="00E775A9">
        <w:rPr>
          <w:rFonts w:hAnsi="SimSun" w:cs="Arial" w:hint="eastAsia"/>
          <w:kern w:val="24"/>
          <w14:ligatures w14:val="standardContextual"/>
        </w:rPr>
        <w:t>这些课程为提高发展中国家提供知识产权培训课程的机构能力做出了重大贡献。2017-2022年期间，来自发展中国家的1,171名学生参加了联合硕士课程。例如，在2020/2021年受益于该课程的448名学生</w:t>
      </w:r>
      <w:r w:rsidRPr="00E775A9">
        <w:rPr>
          <w:rFonts w:hAnsi="SimSun" w:cs="Arial" w:hint="eastAsia"/>
          <w:color w:val="000000" w:themeColor="text1"/>
          <w:kern w:val="24"/>
          <w14:ligatures w14:val="standardContextual"/>
        </w:rPr>
        <w:t>中，41%来自非洲，</w:t>
      </w:r>
      <w:r w:rsidRPr="00E775A9">
        <w:rPr>
          <w:rFonts w:hAnsi="SimSun" w:cs="Arial" w:hint="eastAsia"/>
          <w:color w:val="404040"/>
          <w:kern w:val="24"/>
          <w14:ligatures w14:val="standardContextual"/>
        </w:rPr>
        <w:t>24%</w:t>
      </w:r>
      <w:r w:rsidRPr="00E775A9">
        <w:rPr>
          <w:rFonts w:hAnsi="SimSun" w:cs="Arial" w:hint="eastAsia"/>
          <w:kern w:val="24"/>
          <w14:ligatures w14:val="standardContextual"/>
        </w:rPr>
        <w:t>来自亚洲和太平洋地区，12%来自拉丁美洲和加勒比地区以及欧洲和亚洲的某些国家。来自阿拉伯地区的学生占3%。</w:t>
      </w:r>
    </w:p>
    <w:p w14:paraId="1E887C89" w14:textId="5A517CB2" w:rsidR="00EA5678" w:rsidRPr="00E775A9" w:rsidRDefault="00215138" w:rsidP="00FC573E">
      <w:pPr>
        <w:numPr>
          <w:ilvl w:val="1"/>
          <w:numId w:val="31"/>
        </w:numPr>
        <w:spacing w:afterLines="50" w:after="120" w:line="340" w:lineRule="atLeast"/>
        <w:ind w:left="425" w:hanging="425"/>
        <w:jc w:val="both"/>
        <w:rPr>
          <w:rFonts w:hAnsi="SimSun" w:cs="Arial"/>
          <w:kern w:val="2"/>
          <w14:ligatures w14:val="standardContextual"/>
        </w:rPr>
      </w:pPr>
      <w:r w:rsidRPr="00E23D52">
        <w:rPr>
          <w:rFonts w:ascii="KaiTi" w:eastAsia="KaiTi" w:hAnsi="KaiTi" w:cs="Arial" w:hint="eastAsia"/>
          <w:b/>
          <w:iCs/>
          <w:kern w:val="24"/>
          <w14:ligatures w14:val="standardContextual"/>
        </w:rPr>
        <w:t>专业发展课程</w:t>
      </w:r>
      <w:r w:rsidRPr="00E775A9">
        <w:rPr>
          <w:rFonts w:hAnsi="SimSun" w:cs="Arial" w:hint="eastAsia"/>
          <w:kern w:val="2"/>
          <w14:ligatures w14:val="standardContextual"/>
        </w:rPr>
        <w:t>：2017-2022年期间，约有1,866人受益于专业发展课程。值得注意的是，课程内容逐渐加强了对适用于每个参与者国家和区域背景的实用知识产权技能的重视。</w:t>
      </w:r>
    </w:p>
    <w:p w14:paraId="751E5315"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kern w:val="2"/>
          <w14:ligatures w14:val="standardContextual"/>
        </w:rPr>
        <w:t>尽管通过能力建设取得了这些良好成就，但受访的利益攸关方表示，仍有若干领域值得关注，以便今后加以改进。这些领域包括：（a）加强受益成员国中更广泛的利益攸关方对能力建设活动的自主权；（b）加强与其他成员国、学院等组织的合作，以实施联合培训和同行学习；（c）制定一项计划，加强对产权</w:t>
      </w:r>
      <w:r w:rsidRPr="00E775A9">
        <w:rPr>
          <w:rFonts w:hAnsi="SimSun" w:cs="Arial" w:hint="eastAsia"/>
        </w:rPr>
        <w:t>组织和成员国实施的联合能力建设项目的监测和审查；（d）记录和宣传将所获知识应用于实践的成功案例；以及（e）</w:t>
      </w:r>
      <w:r w:rsidRPr="00E775A9">
        <w:rPr>
          <w:rFonts w:hAnsi="SimSun" w:cs="Arial" w:hint="eastAsia"/>
          <w:kern w:val="2"/>
          <w14:ligatures w14:val="standardContextual"/>
        </w:rPr>
        <w:t>在能力建设活动的在线和实体交付之间取得平衡。</w:t>
      </w:r>
    </w:p>
    <w:p w14:paraId="27663920" w14:textId="14C642E6" w:rsidR="00EA5678" w:rsidRPr="00E23D52" w:rsidRDefault="00215138" w:rsidP="00FC573E">
      <w:pPr>
        <w:keepNext/>
        <w:spacing w:afterLines="50" w:after="120" w:line="340" w:lineRule="atLeast"/>
        <w:rPr>
          <w:rFonts w:ascii="KaiTi" w:eastAsia="KaiTi" w:hAnsi="KaiTi" w:cs="Arial"/>
          <w:b/>
          <w:iCs/>
        </w:rPr>
      </w:pPr>
      <w:r w:rsidRPr="00E23D52">
        <w:rPr>
          <w:rFonts w:ascii="KaiTi" w:eastAsia="KaiTi" w:hAnsi="KaiTi" w:cs="Arial" w:hint="eastAsia"/>
          <w:b/>
          <w:iCs/>
        </w:rPr>
        <w:t>技术和行政基础设施</w:t>
      </w:r>
    </w:p>
    <w:p w14:paraId="17AA5B11" w14:textId="66D0769D" w:rsidR="00EA5678" w:rsidRPr="00E775A9" w:rsidRDefault="00631262" w:rsidP="00C259B0">
      <w:pPr>
        <w:pStyle w:val="ListParagraph"/>
        <w:numPr>
          <w:ilvl w:val="0"/>
          <w:numId w:val="3"/>
        </w:numPr>
        <w:spacing w:after="120"/>
        <w:ind w:left="0" w:firstLine="0"/>
        <w:rPr>
          <w:rFonts w:hAnsi="SimSun" w:cs="Arial"/>
        </w:rPr>
      </w:pPr>
      <w:r>
        <w:rPr>
          <w:rFonts w:ascii="Arial" w:hAnsi="Arial" w:cs="Arial" w:hint="eastAsia"/>
          <w:b/>
          <w:noProof/>
          <w:color w:val="4472C4"/>
        </w:rPr>
        <mc:AlternateContent>
          <mc:Choice Requires="wps">
            <w:drawing>
              <wp:anchor distT="45720" distB="45720" distL="114300" distR="114300" simplePos="0" relativeHeight="251677696" behindDoc="1" locked="0" layoutInCell="1" allowOverlap="1" wp14:anchorId="28C72411" wp14:editId="0B2789C1">
                <wp:simplePos x="0" y="0"/>
                <wp:positionH relativeFrom="margin">
                  <wp:posOffset>3164840</wp:posOffset>
                </wp:positionH>
                <wp:positionV relativeFrom="page">
                  <wp:posOffset>2147948</wp:posOffset>
                </wp:positionV>
                <wp:extent cx="2834640" cy="1229360"/>
                <wp:effectExtent l="4445" t="4445" r="5715" b="48895"/>
                <wp:wrapTight wrapText="bothSides">
                  <wp:wrapPolygon edited="0">
                    <wp:start x="-34" y="-78"/>
                    <wp:lineTo x="-34" y="21567"/>
                    <wp:lineTo x="21547" y="21567"/>
                    <wp:lineTo x="21547" y="-78"/>
                    <wp:lineTo x="-34" y="-78"/>
                  </wp:wrapPolygon>
                </wp:wrapTight>
                <wp:docPr id="1931720276" name="Caixa de Texto 2" descr="“I can speak at a technological level, the support obtained was so efficient that thanks to the implementation of the main tools offered by WIPO, the IP Office has developed the capacity to grow exponentially.”&#10;Member State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34640" cy="1229360"/>
                        </a:xfrm>
                        <a:prstGeom prst="rect">
                          <a:avLst/>
                        </a:prstGeom>
                        <a:solidFill>
                          <a:srgbClr val="4472C4">
                            <a:lumMod val="50000"/>
                          </a:srgbClr>
                        </a:solidFill>
                        <a:ln w="9525">
                          <a:solidFill>
                            <a:srgbClr val="000000"/>
                          </a:solidFill>
                          <a:miter lim="800000"/>
                        </a:ln>
                      </wps:spPr>
                      <wps:txbx>
                        <w:txbxContent>
                          <w:p w14:paraId="359F177F" w14:textId="77777777" w:rsidR="00EA5678" w:rsidRPr="00D83FB0" w:rsidRDefault="00215138" w:rsidP="00D83FB0">
                            <w:pPr>
                              <w:spacing w:afterLines="50" w:after="120" w:line="340" w:lineRule="atLeast"/>
                              <w:jc w:val="center"/>
                              <w:rPr>
                                <w:rFonts w:hAnsi="SimSun"/>
                              </w:rPr>
                            </w:pPr>
                            <w:r w:rsidRPr="00D83FB0">
                              <w:rPr>
                                <w:rFonts w:hAnsi="SimSun"/>
                              </w:rPr>
                              <w:t>“可以说，在技术层面上，所获得的支持非常高效，由于产权组织提供的主要工具的实施，知识产权局已经发展了成倍增长的能力。”</w:t>
                            </w:r>
                          </w:p>
                          <w:p w14:paraId="335527D9" w14:textId="6C0B2AB3" w:rsidR="00EA5678" w:rsidRPr="00D83FB0" w:rsidRDefault="00215138" w:rsidP="00D83FB0">
                            <w:pPr>
                              <w:spacing w:afterLines="50" w:after="120" w:line="340" w:lineRule="atLeast"/>
                              <w:jc w:val="center"/>
                              <w:rPr>
                                <w:rFonts w:hAnsi="SimSun"/>
                              </w:rPr>
                            </w:pPr>
                            <w:r w:rsidRPr="00D83FB0">
                              <w:rPr>
                                <w:rFonts w:hAnsi="SimSun"/>
                              </w:rPr>
                              <w:t>成员国</w:t>
                            </w:r>
                          </w:p>
                        </w:txbxContent>
                      </wps:txbx>
                      <wps:bodyPr rot="0" vert="horz" wrap="square" lIns="91440" tIns="45720" rIns="91440" bIns="45720" anchor="t" anchorCtr="0">
                        <a:noAutofit/>
                      </wps:bodyPr>
                    </wps:wsp>
                  </a:graphicData>
                </a:graphic>
              </wp:anchor>
            </w:drawing>
          </mc:Choice>
          <mc:Fallback>
            <w:pict>
              <v:shape w14:anchorId="28C72411" id="_x0000_s1038" type="#_x0000_t202" alt="“I can speak at a technological level, the support obtained was so efficient that thanks to the implementation of the main tools offered by WIPO, the IP Office has developed the capacity to grow exponentially.”&#10;Member State &#10;" style="position:absolute;left:0;text-align:left;margin-left:249.2pt;margin-top:169.15pt;width:223.2pt;height:96.8pt;z-index:-251638784;visibility:visible;mso-wrap-style:square;mso-wrap-distance-left:9pt;mso-wrap-distance-top:3.6pt;mso-wrap-distance-right:9pt;mso-wrap-distance-bottom:3.6pt;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" fillcolor="#203864">
                <v:textbox>
                  <w:txbxContent>
                    <w:p w14:paraId="359F177F" w14:textId="77777777" w:rsidR="00EA5678" w:rsidRPr="00D83FB0" w:rsidRDefault="00215138" w:rsidP="00D83FB0">
                      <w:pPr>
                        <w:spacing w:afterLines="50" w:after="120" w:line="340" w:lineRule="atLeast"/>
                        <w:jc w:val="center"/>
                        <w:rPr>
                          <w:rFonts w:hAnsi="SimSun"/>
                        </w:rPr>
                      </w:pPr>
                      <w:r w:rsidRPr="00D83FB0">
                        <w:rPr>
                          <w:rFonts w:hAnsi="SimSun"/>
                        </w:rPr>
                        <w:t>“可以说，在技术层面上，所获得的支持</w:t>
                      </w:r>
                      <w:proofErr w:type="gramStart"/>
                      <w:r w:rsidRPr="00D83FB0">
                        <w:rPr>
                          <w:rFonts w:hAnsi="SimSun"/>
                        </w:rPr>
                        <w:t>非常</w:t>
                      </w:r>
                      <w:proofErr w:type="gramEnd"/>
                      <w:r w:rsidRPr="00D83FB0">
                        <w:rPr>
                          <w:rFonts w:hAnsi="SimSun"/>
                        </w:rPr>
                        <w:t>高效，由于产权组织提供的主要工具的实施，知识产权局已经发展了成倍增长的能力。”</w:t>
                      </w:r>
                    </w:p>
                    <w:p w14:paraId="335527D9" w14:textId="6C0B2AB3" w:rsidR="00EA5678" w:rsidRPr="00D83FB0" w:rsidRDefault="00215138" w:rsidP="00D83FB0">
                      <w:pPr>
                        <w:spacing w:afterLines="50" w:after="120" w:line="340" w:lineRule="atLeast"/>
                        <w:jc w:val="center"/>
                        <w:rPr>
                          <w:rFonts w:hAnsi="SimSun"/>
                        </w:rPr>
                      </w:pPr>
                      <w:r w:rsidRPr="00D83FB0">
                        <w:rPr>
                          <w:rFonts w:hAnsi="SimSun"/>
                        </w:rPr>
                        <w:t>成员国</w:t>
                      </w:r>
                    </w:p>
                  </w:txbxContent>
                </v:textbox>
                <w10:wrap type="tight" anchorx="margin" anchory="page"/>
              </v:shape>
            </w:pict>
          </mc:Fallback>
        </mc:AlternateContent>
      </w:r>
      <w:r w:rsidR="00215138" w:rsidRPr="00E23D52">
        <w:rPr>
          <w:rFonts w:ascii="KaiTi" w:eastAsia="KaiTi" w:hAnsi="KaiTi" w:cs="Arial" w:hint="eastAsia"/>
          <w:iCs/>
        </w:rPr>
        <w:t>可以肯定地说，技术渗透到产权组织工作的所有领域。</w:t>
      </w:r>
      <w:r w:rsidR="00215138" w:rsidRPr="00E775A9">
        <w:rPr>
          <w:rFonts w:hAnsi="SimSun" w:cs="Arial" w:hint="eastAsia"/>
        </w:rPr>
        <w:t>产权组织的课程，如国家知识产权政策、技术和行政基础设施、能力建设以及公私伙伴关系，都利用技术来实现其目标。国际注册体系（PCT、马德里、海牙）、全球数据库（Patentscope、全球品牌数据库）、协作平台（WIPO Green、无障碍图书联盟、Re:Search）和培训课程（IPTIS、联合硕士课程）都依赖于产权组织的技术基础设施，使成员国内使用者和知识产权局受益。</w:t>
      </w:r>
    </w:p>
    <w:p w14:paraId="7D7457DD" w14:textId="66635101" w:rsidR="00EA5678" w:rsidRPr="00E775A9" w:rsidRDefault="00631262" w:rsidP="00C259B0">
      <w:pPr>
        <w:pStyle w:val="ListParagraph"/>
        <w:numPr>
          <w:ilvl w:val="0"/>
          <w:numId w:val="3"/>
        </w:numPr>
        <w:spacing w:after="120"/>
        <w:ind w:left="0" w:firstLine="0"/>
        <w:rPr>
          <w:rFonts w:hAnsi="SimSun" w:cs="Arial"/>
        </w:rPr>
      </w:pPr>
      <w:r>
        <w:rPr>
          <w:rFonts w:ascii="Arial" w:hAnsi="Arial" w:cs="Arial" w:hint="eastAsia"/>
          <w:noProof/>
        </w:rPr>
        <mc:AlternateContent>
          <mc:Choice Requires="wps">
            <w:drawing>
              <wp:anchor distT="45720" distB="45720" distL="114300" distR="114300" simplePos="0" relativeHeight="251688960" behindDoc="0" locked="0" layoutInCell="1" allowOverlap="1" wp14:anchorId="1B5A63ED" wp14:editId="283BD021">
                <wp:simplePos x="0" y="0"/>
                <wp:positionH relativeFrom="column">
                  <wp:posOffset>2771775</wp:posOffset>
                </wp:positionH>
                <wp:positionV relativeFrom="page">
                  <wp:posOffset>4185009</wp:posOffset>
                </wp:positionV>
                <wp:extent cx="3154680" cy="1221740"/>
                <wp:effectExtent l="0" t="0" r="26670" b="16510"/>
                <wp:wrapSquare wrapText="bothSides"/>
                <wp:docPr id="1682874449" name="Caixa de Texto 2" descr="“The WIPO IP Office Suite is a group of software applications that IP Offices can use to support the processing of applications for IP rights by establishing an e-registry, controlling workflow processes and business rules, and providing online services to local and international users.  The overall objective is to deliver operational efficiencies and improve quality of servic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4680" cy="1221740"/>
                        </a:xfrm>
                        <a:prstGeom prst="rect">
                          <a:avLst/>
                        </a:prstGeom>
                        <a:solidFill>
                          <a:srgbClr val="FFFFFF"/>
                        </a:solidFill>
                        <a:ln w="9525">
                          <a:solidFill>
                            <a:srgbClr val="000000"/>
                          </a:solidFill>
                          <a:miter lim="800000"/>
                        </a:ln>
                      </wps:spPr>
                      <wps:txbx>
                        <w:txbxContent>
                          <w:p w14:paraId="78BB59FE" w14:textId="77777777" w:rsidR="00EA5678" w:rsidRPr="00D83FB0" w:rsidRDefault="00215138" w:rsidP="00D83FB0">
                            <w:pPr>
                              <w:spacing w:afterLines="50" w:after="120" w:line="340" w:lineRule="atLeast"/>
                              <w:jc w:val="center"/>
                              <w:rPr>
                                <w:rFonts w:hAnsi="SimSun"/>
                              </w:rPr>
                            </w:pPr>
                            <w:r w:rsidRPr="00D83FB0">
                              <w:rPr>
                                <w:rFonts w:hAnsi="SimSun"/>
                              </w:rPr>
                              <w:t>“产权组织知识产权局套件是一组软件应用程序，知识产权局可以使用其建立电子登记册、控制工作流程和业务规则以及向当地和国际使用者提供在线服务，从而支持对知识产权申请的处理。总体目标是提高业务效率和服务质量。”</w:t>
                            </w: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1B5A63ED" id="_x0000_s1039" type="#_x0000_t202" alt="“The WIPO IP Office Suite is a group of software applications that IP Offices can use to support the processing of applications for IP rights by establishing an e-registry, controlling workflow processes and business rules, and providing online services to local and international users.  The overall objective is to deliver operational efficiencies and improve quality of service.”" style="position:absolute;left:0;text-align:left;margin-left:218.25pt;margin-top:329.55pt;width:248.4pt;height:96.2pt;z-index:251688960;visibility:visible;mso-wrap-style:square;mso-height-percent:0;mso-wrap-distance-left:9pt;mso-wrap-distance-top:3.6pt;mso-wrap-distance-right:9pt;mso-wrap-distance-bottom:3.6pt;mso-position-horizontal:absolute;mso-position-horizontal-relative:text;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">
                <v:textbox>
                  <w:txbxContent>
                    <w:p w14:paraId="78BB59FE" w14:textId="77777777" w:rsidR="00EA5678" w:rsidRPr="00D83FB0" w:rsidRDefault="00215138" w:rsidP="00D83FB0">
                      <w:pPr>
                        <w:spacing w:afterLines="50" w:after="120" w:line="340" w:lineRule="atLeast"/>
                        <w:jc w:val="center"/>
                        <w:rPr>
                          <w:rFonts w:hAnsi="SimSun"/>
                        </w:rPr>
                      </w:pPr>
                      <w:r w:rsidRPr="00D83FB0">
                        <w:rPr>
                          <w:rFonts w:hAnsi="SimSun"/>
                        </w:rPr>
                        <w:t>“产权组织知识产权局套件是一组软件应用程序，知识产权局可以使用其建立电子登记册、控制工作流程和业务规则以及向当地和国际使用者提供在线服务，从而支持对知识产权申请的处理。总体目标是提高业务效率和服务质量。”</w:t>
                      </w:r>
                    </w:p>
                  </w:txbxContent>
                </v:textbox>
                <w10:wrap type="square" anchory="page"/>
              </v:shape>
            </w:pict>
          </mc:Fallback>
        </mc:AlternateContent>
      </w:r>
      <w:r w:rsidR="00215138" w:rsidRPr="00E23D52">
        <w:rPr>
          <w:rFonts w:ascii="KaiTi" w:eastAsia="KaiTi" w:hAnsi="KaiTi" w:cs="Arial" w:hint="eastAsia"/>
          <w:iCs/>
        </w:rPr>
        <w:t>产权组织的技术整合在知识产权局课程商业解决方案中最为明显，特别是与知识产权管理系统（IPAS）平台的整合</w:t>
      </w:r>
      <w:r w:rsidR="00215138" w:rsidRPr="00E775A9">
        <w:rPr>
          <w:rFonts w:hAnsi="SimSun" w:cs="Arial" w:hint="eastAsia"/>
        </w:rPr>
        <w:t>。它是产权组织知识产权局套件的核心，其多重效应和影响是巨大的。</w:t>
      </w:r>
    </w:p>
    <w:p w14:paraId="735BBE6E" w14:textId="77777777" w:rsidR="00EA5678" w:rsidRPr="00E775A9" w:rsidRDefault="00215138" w:rsidP="00C259B0">
      <w:pPr>
        <w:pStyle w:val="ListParagraph"/>
        <w:numPr>
          <w:ilvl w:val="0"/>
          <w:numId w:val="3"/>
        </w:numPr>
        <w:spacing w:after="120"/>
        <w:ind w:left="0" w:firstLine="0"/>
        <w:rPr>
          <w:rFonts w:hAnsi="SimSun" w:cs="Arial"/>
        </w:rPr>
      </w:pPr>
      <w:r>
        <w:rPr>
          <w:rFonts w:ascii="Arial" w:hAnsi="Arial" w:cs="Arial" w:hint="eastAsia"/>
          <w:b/>
          <w:i/>
          <w:iCs/>
          <w:noProof/>
          <w:color w:val="4472C4"/>
        </w:rPr>
        <mc:AlternateContent>
          <mc:Choice Requires="wps">
            <w:drawing>
              <wp:anchor distT="45720" distB="45720" distL="114300" distR="114300" simplePos="0" relativeHeight="251671552" behindDoc="1" locked="0" layoutInCell="1" allowOverlap="1" wp14:anchorId="37218097" wp14:editId="51E2CF97">
                <wp:simplePos x="0" y="0"/>
                <wp:positionH relativeFrom="margin">
                  <wp:posOffset>999</wp:posOffset>
                </wp:positionH>
                <wp:positionV relativeFrom="page">
                  <wp:posOffset>6088835</wp:posOffset>
                </wp:positionV>
                <wp:extent cx="3162300" cy="1263015"/>
                <wp:effectExtent l="0" t="0" r="19050" b="13335"/>
                <wp:wrapTight wrapText="bothSides">
                  <wp:wrapPolygon edited="0">
                    <wp:start x="0" y="0"/>
                    <wp:lineTo x="0" y="21502"/>
                    <wp:lineTo x="21600" y="21502"/>
                    <wp:lineTo x="21600" y="0"/>
                    <wp:lineTo x="0" y="0"/>
                  </wp:wrapPolygon>
                </wp:wrapTight>
                <wp:docPr id="26679437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62300" cy="1263015"/>
                        </a:xfrm>
                        <a:prstGeom prst="rect">
                          <a:avLst/>
                        </a:prstGeom>
                        <a:solidFill>
                          <a:srgbClr val="4472C4">
                            <a:lumMod val="50000"/>
                          </a:srgbClr>
                        </a:solidFill>
                        <a:ln w="9525">
                          <a:solidFill>
                            <a:srgbClr val="000000"/>
                          </a:solidFill>
                          <a:miter lim="800000"/>
                        </a:ln>
                      </wps:spPr>
                      <wps:txbx>
                        <w:txbxContent>
                          <w:p w14:paraId="13866EE5" w14:textId="77777777" w:rsidR="00EA5678" w:rsidRPr="00D83FB0" w:rsidRDefault="00215138" w:rsidP="00D83FB0">
                            <w:pPr>
                              <w:spacing w:afterLines="50" w:after="120" w:line="340" w:lineRule="atLeast"/>
                              <w:jc w:val="center"/>
                              <w:rPr>
                                <w:rFonts w:hAnsi="SimSun"/>
                              </w:rPr>
                            </w:pPr>
                            <w:r w:rsidRPr="00D83FB0">
                              <w:rPr>
                                <w:rFonts w:hAnsi="SimSun"/>
                              </w:rPr>
                              <w:t>“IPAS是为我们的审查员提供的最具影响力的举措和培训之一。自2022年以来，我一直在参加产权组织的许多培训。培训为我们提供了能力和技能。我认为这些培训是最有影响力的。”</w:t>
                            </w:r>
                          </w:p>
                          <w:p w14:paraId="27590C94" w14:textId="77777777" w:rsidR="00EA5678" w:rsidRPr="00D83FB0" w:rsidRDefault="00215138" w:rsidP="00D83FB0">
                            <w:pPr>
                              <w:spacing w:afterLines="50" w:after="120" w:line="340" w:lineRule="atLeast"/>
                              <w:jc w:val="center"/>
                              <w:rPr>
                                <w:rFonts w:hAnsi="SimSun"/>
                              </w:rPr>
                            </w:pPr>
                            <w:r w:rsidRPr="00D83FB0">
                              <w:rPr>
                                <w:rFonts w:hAnsi="SimSun"/>
                              </w:rPr>
                              <w:t>成员国，审查调查</w:t>
                            </w: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37218097" id="_x0000_s1040" type="#_x0000_t202" style="position:absolute;left:0;text-align:left;margin-left:.1pt;margin-top:479.45pt;width:249pt;height:99.45pt;z-index:-251644928;visibility:visible;mso-wrap-style:square;mso-height-percent:0;mso-wrap-distance-left:9pt;mso-wrap-distance-top:3.6pt;mso-wrap-distance-right:9pt;mso-wrap-distance-bottom:3.6pt;mso-position-horizontal:absolute;mso-position-horizontal-relative:margin;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" fillcolor="#203864">
                <v:textbox>
                  <w:txbxContent>
                    <w:p w14:paraId="13866EE5" w14:textId="77777777" w:rsidR="00EA5678" w:rsidRPr="00D83FB0" w:rsidRDefault="00215138" w:rsidP="00D83FB0">
                      <w:pPr>
                        <w:spacing w:afterLines="50" w:after="120" w:line="340" w:lineRule="atLeast"/>
                        <w:jc w:val="center"/>
                        <w:rPr>
                          <w:rFonts w:hAnsi="SimSun"/>
                        </w:rPr>
                      </w:pPr>
                      <w:r w:rsidRPr="00D83FB0">
                        <w:rPr>
                          <w:rFonts w:hAnsi="SimSun"/>
                        </w:rPr>
                        <w:t>“IPAS是为我们的审查员提供的最具影响力的举措和培训之一。自2022年以来，我一直在参加产权组织的许多培训。培训为我们提供了能力和技能。我认为这些培训是最有影响力的。”</w:t>
                      </w:r>
                    </w:p>
                    <w:p w14:paraId="27590C94" w14:textId="77777777" w:rsidR="00EA5678" w:rsidRPr="00D83FB0" w:rsidRDefault="00215138" w:rsidP="00D83FB0">
                      <w:pPr>
                        <w:spacing w:afterLines="50" w:after="120" w:line="340" w:lineRule="atLeast"/>
                        <w:jc w:val="center"/>
                        <w:rPr>
                          <w:rFonts w:hAnsi="SimSun"/>
                        </w:rPr>
                      </w:pPr>
                      <w:r w:rsidRPr="00D83FB0">
                        <w:rPr>
                          <w:rFonts w:hAnsi="SimSun"/>
                        </w:rPr>
                        <w:t>成员国，审查调查</w:t>
                      </w:r>
                    </w:p>
                  </w:txbxContent>
                </v:textbox>
                <w10:wrap type="tight" anchorx="margin" anchory="page"/>
              </v:shape>
            </w:pict>
          </mc:Fallback>
        </mc:AlternateContent>
      </w:r>
      <w:r w:rsidRPr="00E23D52">
        <w:rPr>
          <w:rFonts w:ascii="KaiTi" w:eastAsia="KaiTi" w:hAnsi="KaiTi" w:cs="Arial" w:hint="eastAsia"/>
          <w:iCs/>
        </w:rPr>
        <w:t>审查将产权组织在审查期间（2017-2022年）在提供技术和行政基础设施、提高受益国能力方面发挥的作用评价为“非常有效”。</w:t>
      </w:r>
      <w:r w:rsidRPr="00E775A9">
        <w:rPr>
          <w:rFonts w:hAnsi="SimSun" w:cs="Arial" w:hint="eastAsia"/>
        </w:rPr>
        <w:t>截至2022年，产权组织知识产权局系统</w:t>
      </w:r>
      <w:r w:rsidRPr="00E775A9">
        <w:rPr>
          <w:rFonts w:hAnsi="SimSun" w:cs="Arial" w:hint="eastAsia"/>
          <w:vertAlign w:val="superscript"/>
        </w:rPr>
        <w:footnoteReference w:id="4"/>
      </w:r>
      <w:r w:rsidRPr="00E775A9">
        <w:rPr>
          <w:rFonts w:hAnsi="SimSun" w:cs="Arial" w:hint="eastAsia"/>
        </w:rPr>
        <w:t>的使用稳步增长，截至该年年底，已有91个知识产权局采用了产权组织的知识产权局商业软件解决方案套件。平均服务水平（ASL）也有所提高，ASL是衡量一个知识产权局从基本服务交付到高级服务交付的成熟度的综合指数。2022年的平均服务水平为3.6，高于2021年底的3.5。</w:t>
      </w:r>
      <w:r w:rsidRPr="00E775A9">
        <w:rPr>
          <w:rFonts w:hAnsi="SimSun" w:cs="Arial" w:hint="eastAsia"/>
          <w:vertAlign w:val="superscript"/>
        </w:rPr>
        <w:footnoteReference w:id="5"/>
      </w:r>
    </w:p>
    <w:p w14:paraId="35EA6400" w14:textId="47135498" w:rsidR="00EA5678" w:rsidRPr="00E775A9" w:rsidRDefault="00215138" w:rsidP="00D83FB0">
      <w:pPr>
        <w:keepNext/>
        <w:spacing w:afterLines="50" w:after="120" w:line="340" w:lineRule="atLeast"/>
        <w:jc w:val="center"/>
        <w:rPr>
          <w:rFonts w:hAnsi="SimSun" w:cs="Arial"/>
          <w:color w:val="2F5496" w:themeColor="accent1" w:themeShade="BF"/>
          <w:sz w:val="20"/>
          <w:szCs w:val="20"/>
        </w:rPr>
      </w:pPr>
      <w:bookmarkStart w:id="301" w:name="_Toc177474714"/>
      <w:r w:rsidRPr="00E775A9">
        <w:rPr>
          <w:rFonts w:hAnsi="SimSun" w:cs="Arial" w:hint="eastAsia"/>
          <w:color w:val="2F5496" w:themeColor="accent1" w:themeShade="BF"/>
          <w:sz w:val="20"/>
          <w:szCs w:val="20"/>
        </w:rPr>
        <w:t>图</w:t>
      </w:r>
      <w:r w:rsidRPr="00E775A9">
        <w:rPr>
          <w:rFonts w:hAnsi="SimSun" w:cs="Arial" w:hint="eastAsia"/>
          <w:color w:val="2F5496" w:themeColor="accent1" w:themeShade="BF"/>
          <w:sz w:val="20"/>
          <w:szCs w:val="20"/>
        </w:rPr>
        <w:fldChar w:fldCharType="begin"/>
      </w:r>
      <w:r w:rsidRPr="00E775A9">
        <w:rPr>
          <w:rFonts w:hAnsi="SimSun" w:cs="Arial" w:hint="eastAsia"/>
          <w:color w:val="2F5496" w:themeColor="accent1" w:themeShade="BF"/>
          <w:sz w:val="20"/>
          <w:szCs w:val="20"/>
        </w:rPr>
        <w:instrText xml:space="preserve"> SEQ Figure \* ARABIC </w:instrText>
      </w:r>
      <w:r w:rsidRPr="00E775A9">
        <w:rPr>
          <w:rFonts w:hAnsi="SimSun" w:cs="Arial" w:hint="eastAsia"/>
          <w:color w:val="2F5496" w:themeColor="accent1" w:themeShade="BF"/>
          <w:sz w:val="20"/>
          <w:szCs w:val="20"/>
        </w:rPr>
        <w:fldChar w:fldCharType="separate"/>
      </w:r>
      <w:r w:rsidR="00AA5A99">
        <w:rPr>
          <w:rFonts w:hAnsi="SimSun" w:cs="Arial"/>
          <w:noProof/>
          <w:color w:val="2F5496" w:themeColor="accent1" w:themeShade="BF"/>
          <w:sz w:val="20"/>
          <w:szCs w:val="20"/>
        </w:rPr>
        <w:t>3</w:t>
      </w:r>
      <w:r w:rsidRPr="00E775A9">
        <w:rPr>
          <w:rFonts w:hAnsi="SimSun" w:cs="Arial" w:hint="eastAsia"/>
          <w:color w:val="2F5496" w:themeColor="accent1" w:themeShade="BF"/>
          <w:sz w:val="20"/>
          <w:szCs w:val="20"/>
        </w:rPr>
        <w:fldChar w:fldCharType="end"/>
      </w:r>
      <w:r w:rsidRPr="00E775A9">
        <w:rPr>
          <w:rFonts w:hAnsi="SimSun" w:cs="Arial" w:hint="eastAsia"/>
          <w:color w:val="2F5496" w:themeColor="accent1" w:themeShade="BF"/>
          <w:sz w:val="20"/>
          <w:szCs w:val="20"/>
        </w:rPr>
        <w:t>.WIPO IPAS应用套件——按区域分列的使用情况</w:t>
      </w:r>
      <w:bookmarkEnd w:id="301"/>
    </w:p>
    <w:p w14:paraId="7C0B310F" w14:textId="77777777" w:rsidR="00EA5678" w:rsidRPr="00E775A9" w:rsidRDefault="00215138" w:rsidP="00631262">
      <w:pPr>
        <w:pStyle w:val="ListParagraph"/>
        <w:spacing w:afterLines="0" w:after="0" w:line="240" w:lineRule="auto"/>
        <w:ind w:left="425"/>
        <w:jc w:val="center"/>
        <w:rPr>
          <w:rFonts w:hAnsi="SimSun" w:cs="Arial"/>
          <w:sz w:val="20"/>
          <w:szCs w:val="20"/>
        </w:rPr>
      </w:pPr>
      <w:r w:rsidRPr="00E775A9">
        <w:rPr>
          <w:rFonts w:hAnsi="SimSun" w:cs="Arial" w:hint="eastAsia"/>
          <w:noProof/>
          <w:sz w:val="24"/>
          <w:szCs w:val="24"/>
        </w:rPr>
        <w:drawing>
          <wp:inline distT="0" distB="0" distL="0" distR="0" wp14:anchorId="3FBAD2EC" wp14:editId="7D3A86D1">
            <wp:extent cx="4472940" cy="2729230"/>
            <wp:effectExtent l="0" t="0" r="3810" b="0"/>
            <wp:docPr id="1035233583" name="Imagen 4" descr="Figure 3. WIPO IPAS Suite of Applications – Usage by Reg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5233583" name="Imagen 4" descr="Figure 3. WIPO IPAS Suite of Applications – Usage by Region"/>
                    <pic:cNvPicPr>
                      <a:picLocks noChangeAspect="1"/>
                    </pic:cNvPicPr>
                  </pic:nvPicPr>
                  <pic:blipFill>
                    <a:blip r:embed="rId30">
                      <a:extLst>
                        <a:ext uri="{28A0092B-C50C-407E-A947-70E740481C1C}">
                          <a14:useLocalDpi xmlns:a14="http://schemas.microsoft.com/office/drawing/2010/main" val="0"/>
                        </a:ext>
                      </a:extLst>
                    </a:blip>
                    <a:srcRect t="8178"/>
                    <a:stretch>
                      <a:fillRect/>
                    </a:stretch>
                  </pic:blipFill>
                  <pic:spPr>
                    <a:xfrm>
                      <a:off x="0" y="0"/>
                      <a:ext cx="4542970" cy="2772559"/>
                    </a:xfrm>
                    <a:prstGeom prst="rect">
                      <a:avLst/>
                    </a:prstGeom>
                    <a:ln>
                      <a:noFill/>
                    </a:ln>
                  </pic:spPr>
                </pic:pic>
              </a:graphicData>
            </a:graphic>
          </wp:inline>
        </w:drawing>
      </w:r>
    </w:p>
    <w:p w14:paraId="5465FD37" w14:textId="34A911C5" w:rsidR="00EA5678" w:rsidRPr="00E775A9" w:rsidRDefault="00215138" w:rsidP="00D83FB0">
      <w:pPr>
        <w:pStyle w:val="ListParagraph"/>
        <w:spacing w:after="120" w:line="240" w:lineRule="auto"/>
        <w:ind w:left="1418"/>
        <w:jc w:val="left"/>
        <w:rPr>
          <w:rFonts w:hAnsi="SimSun" w:cs="Arial"/>
          <w:sz w:val="20"/>
          <w:szCs w:val="20"/>
        </w:rPr>
      </w:pPr>
      <w:r w:rsidRPr="00E775A9">
        <w:rPr>
          <w:rFonts w:hAnsi="SimSun" w:cs="Arial" w:hint="eastAsia"/>
          <w:sz w:val="20"/>
          <w:szCs w:val="20"/>
        </w:rPr>
        <w:t>来源：产权组织</w:t>
      </w:r>
      <w:hyperlink r:id="rId31" w:history="1">
        <w:r w:rsidRPr="00E775A9">
          <w:rPr>
            <w:rStyle w:val="Hyperlink"/>
            <w:rFonts w:hAnsi="SimSun" w:cs="Arial" w:hint="eastAsia"/>
            <w:sz w:val="20"/>
            <w:szCs w:val="20"/>
          </w:rPr>
          <w:t>https://www.wipo.int/global_ip/en/activities/ip_office_business_solutions/</w:t>
        </w:r>
      </w:hyperlink>
    </w:p>
    <w:p w14:paraId="67B00F0E"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最后，多年来，IPAS表现出了敏捷性和灵活性，能够适应新的交付形式，并保持高度的相关性和影响力。然而，需要用最新技术更新IPAS援助，并进一步扩大能力建设举措。</w:t>
      </w:r>
    </w:p>
    <w:p w14:paraId="683E7163"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对IPAS本身以及平台的新功能和更新版本（例如，从IPAS 3过渡到IPAS 4）有持续的需求。为了满足日益增长的需求，应优先考虑这些工作，重点放在能够产生最大影响的投资上。</w:t>
      </w:r>
    </w:p>
    <w:p w14:paraId="3E90D2FC" w14:textId="6CC3B216"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已努力鼓励国家为该系统提供部分资金，这对于长期维持资源至关重要。最初，该系统在40个国家实施，10年来，这一数字翻了一番，服务范围大幅扩大，特别是通过与信托基金的合作。</w:t>
      </w:r>
    </w:p>
    <w:p w14:paraId="54FAD63A" w14:textId="2A93DA7A"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然而，尽管该课程取得了非常积极的成果，团队的生产力也很高，但该课程可以通过增加人员获益。</w:t>
      </w:r>
    </w:p>
    <w:p w14:paraId="35F95041"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远程交付供服务也是一个挑战。尽管一些远程服务已经提供，但这种方法仍然停滞不前。需要创新的解决方案，如多媒体培训模块，以加强远程服务交付。</w:t>
      </w:r>
    </w:p>
    <w:tbl>
      <w:tblPr>
        <w:tblStyle w:val="TableGrid"/>
        <w:tblW w:w="9016" w:type="dxa"/>
        <w:tblLayout w:type="fixed"/>
        <w:tblLook w:val="04A0" w:firstRow="1" w:lastRow="0" w:firstColumn="1" w:lastColumn="0" w:noHBand="0" w:noVBand="1"/>
      </w:tblPr>
      <w:tblGrid>
        <w:gridCol w:w="9016"/>
      </w:tblGrid>
      <w:tr w:rsidR="00EA5678" w14:paraId="17BB97FB" w14:textId="77777777">
        <w:tc>
          <w:tcPr>
            <w:tcW w:w="9016" w:type="dxa"/>
          </w:tcPr>
          <w:p w14:paraId="388897A5" w14:textId="77777777" w:rsidR="00EA5678" w:rsidRPr="00E775A9" w:rsidRDefault="00215138" w:rsidP="00BE13A2">
            <w:pPr>
              <w:spacing w:afterLines="50" w:after="120" w:line="340" w:lineRule="atLeast"/>
              <w:jc w:val="both"/>
              <w:rPr>
                <w:rFonts w:hAnsi="SimSun" w:cs="Arial"/>
              </w:rPr>
            </w:pPr>
            <w:r w:rsidRPr="00E775A9">
              <w:rPr>
                <w:rFonts w:hAnsi="SimSun" w:cs="Arial" w:hint="eastAsia"/>
              </w:rPr>
              <w:t>为了满足日益增长的需求，正在考虑在信托基金下获得一些成员国的支持。例如，拉丁美洲的一个成员国报告称，使用信托基金聘请顾问，年度预算为50,000美元，专门用于支持他们的服务。产权组织在技术和行政基础设施方面的合作有效性体现在以下举措：</w:t>
            </w:r>
          </w:p>
          <w:p w14:paraId="6B2E5A19" w14:textId="053134B2" w:rsidR="00EA5678" w:rsidRPr="00E775A9" w:rsidRDefault="00215138" w:rsidP="00BE13A2">
            <w:pPr>
              <w:numPr>
                <w:ilvl w:val="0"/>
                <w:numId w:val="32"/>
              </w:numPr>
              <w:overflowPunct w:val="0"/>
              <w:spacing w:afterLines="50" w:after="120" w:line="340" w:lineRule="atLeast"/>
              <w:ind w:left="357" w:hanging="357"/>
              <w:contextualSpacing/>
              <w:jc w:val="both"/>
              <w:rPr>
                <w:rFonts w:hAnsi="SimSun" w:cs="Arial"/>
                <w:color w:val="657C9C" w:themeColor="text2" w:themeTint="BF"/>
              </w:rPr>
            </w:pPr>
            <w:r w:rsidRPr="00E775A9">
              <w:rPr>
                <w:rFonts w:hAnsi="SimSun" w:cs="Arial" w:hint="eastAsia"/>
                <w:color w:val="657C9C" w:themeColor="text2" w:themeTint="BF"/>
              </w:rPr>
              <w:t>开发和实施产权组织IPAS应用程序套件，该套件已被全球越来越多的知识产权局采用。</w:t>
            </w:r>
          </w:p>
          <w:p w14:paraId="6C436405" w14:textId="77777777" w:rsidR="00EA5678" w:rsidRPr="00E775A9" w:rsidRDefault="00215138" w:rsidP="00BE13A2">
            <w:pPr>
              <w:numPr>
                <w:ilvl w:val="0"/>
                <w:numId w:val="32"/>
              </w:numPr>
              <w:overflowPunct w:val="0"/>
              <w:spacing w:afterLines="50" w:after="120" w:line="340" w:lineRule="atLeast"/>
              <w:ind w:left="357" w:hanging="357"/>
              <w:contextualSpacing/>
              <w:jc w:val="both"/>
              <w:rPr>
                <w:rFonts w:hAnsi="SimSun" w:cs="Arial"/>
                <w:color w:val="657C9C" w:themeColor="text2" w:themeTint="BF"/>
              </w:rPr>
            </w:pPr>
            <w:r w:rsidRPr="00E775A9">
              <w:rPr>
                <w:rFonts w:hAnsi="SimSun" w:cs="Arial" w:hint="eastAsia"/>
                <w:color w:val="657C9C" w:themeColor="text2" w:themeTint="BF"/>
              </w:rPr>
              <w:t>若干国家的专利收集数字化。</w:t>
            </w:r>
          </w:p>
          <w:p w14:paraId="7061063B" w14:textId="77777777" w:rsidR="00EA5678" w:rsidRPr="00E775A9" w:rsidRDefault="00215138" w:rsidP="00BE13A2">
            <w:pPr>
              <w:numPr>
                <w:ilvl w:val="0"/>
                <w:numId w:val="32"/>
              </w:numPr>
              <w:overflowPunct w:val="0"/>
              <w:spacing w:afterLines="50" w:after="120" w:line="340" w:lineRule="atLeast"/>
              <w:ind w:left="357" w:hanging="357"/>
              <w:contextualSpacing/>
              <w:jc w:val="both"/>
              <w:rPr>
                <w:rFonts w:hAnsi="SimSun" w:cs="Arial"/>
                <w:color w:val="657C9C" w:themeColor="text2" w:themeTint="BF"/>
              </w:rPr>
            </w:pPr>
            <w:r w:rsidRPr="00E775A9">
              <w:rPr>
                <w:rFonts w:hAnsi="SimSun" w:cs="Arial" w:hint="eastAsia"/>
                <w:color w:val="657C9C" w:themeColor="text2" w:themeTint="BF"/>
              </w:rPr>
              <w:t>通过PATENTSCOPE、全球品牌数据库和全球外观设计数据库等平台促进获取知识产权信息。</w:t>
            </w:r>
          </w:p>
          <w:p w14:paraId="5538ED5C" w14:textId="77777777" w:rsidR="00EA5678" w:rsidRPr="00E775A9" w:rsidRDefault="00215138" w:rsidP="00BE13A2">
            <w:pPr>
              <w:numPr>
                <w:ilvl w:val="0"/>
                <w:numId w:val="32"/>
              </w:numPr>
              <w:overflowPunct w:val="0"/>
              <w:spacing w:afterLines="50" w:after="120" w:line="340" w:lineRule="atLeast"/>
              <w:ind w:left="357" w:hanging="357"/>
              <w:contextualSpacing/>
              <w:jc w:val="both"/>
              <w:rPr>
                <w:rFonts w:hAnsi="SimSun" w:cs="Arial"/>
                <w:color w:val="657C9C" w:themeColor="text2" w:themeTint="BF"/>
              </w:rPr>
            </w:pPr>
            <w:r w:rsidRPr="00E775A9">
              <w:rPr>
                <w:rFonts w:hAnsi="SimSun" w:cs="Arial" w:hint="eastAsia"/>
                <w:color w:val="657C9C" w:themeColor="text2" w:themeTint="BF"/>
              </w:rPr>
              <w:t>在许多国家建立技术与创新支持中心（TISC）。</w:t>
            </w:r>
          </w:p>
          <w:p w14:paraId="03F6B9DE" w14:textId="77777777" w:rsidR="00EA5678" w:rsidRPr="00E775A9" w:rsidRDefault="00215138" w:rsidP="00BE13A2">
            <w:pPr>
              <w:numPr>
                <w:ilvl w:val="0"/>
                <w:numId w:val="32"/>
              </w:numPr>
              <w:overflowPunct w:val="0"/>
              <w:spacing w:afterLines="50" w:after="120" w:line="340" w:lineRule="atLeast"/>
              <w:ind w:left="357" w:hanging="357"/>
              <w:contextualSpacing/>
              <w:jc w:val="both"/>
              <w:rPr>
                <w:rFonts w:hAnsi="SimSun" w:cs="Arial"/>
                <w:color w:val="657C9C" w:themeColor="text2" w:themeTint="BF"/>
              </w:rPr>
            </w:pPr>
            <w:r w:rsidRPr="00E775A9">
              <w:rPr>
                <w:rFonts w:hAnsi="SimSun" w:cs="Arial" w:hint="eastAsia"/>
                <w:color w:val="657C9C" w:themeColor="text2" w:themeTint="BF"/>
              </w:rPr>
              <w:t>为知识产权专业人员和政策制定者提供能力建设课程、研讨会和奖学金。</w:t>
            </w:r>
          </w:p>
          <w:p w14:paraId="2B452C27" w14:textId="77777777" w:rsidR="00EA5678" w:rsidRDefault="00215138" w:rsidP="00BE13A2">
            <w:pPr>
              <w:numPr>
                <w:ilvl w:val="0"/>
                <w:numId w:val="32"/>
              </w:numPr>
              <w:overflowPunct w:val="0"/>
              <w:spacing w:afterLines="50" w:after="120" w:line="340" w:lineRule="atLeast"/>
              <w:ind w:left="357" w:hanging="357"/>
              <w:jc w:val="both"/>
              <w:rPr>
                <w:rFonts w:ascii="Arial" w:hAnsi="Arial" w:cs="Arial"/>
                <w:color w:val="657C9C" w:themeColor="text2" w:themeTint="BF"/>
              </w:rPr>
            </w:pPr>
            <w:r w:rsidRPr="00E775A9">
              <w:rPr>
                <w:rFonts w:hAnsi="SimSun" w:cs="Arial" w:hint="eastAsia"/>
                <w:color w:val="657C9C" w:themeColor="text2" w:themeTint="BF"/>
              </w:rPr>
              <w:t>通过WIPO CASE、WIPO Connect以及制定国际分类和标准等举措促进国际合作。</w:t>
            </w:r>
          </w:p>
        </w:tc>
      </w:tr>
    </w:tbl>
    <w:p w14:paraId="12C23A6C" w14:textId="4BBF30E2" w:rsidR="00EA5678" w:rsidRPr="00E23D52" w:rsidRDefault="00215138" w:rsidP="00FC573E">
      <w:pPr>
        <w:keepNext/>
        <w:spacing w:afterLines="50" w:after="120" w:line="340" w:lineRule="atLeast"/>
        <w:rPr>
          <w:rFonts w:ascii="KaiTi" w:eastAsia="KaiTi" w:hAnsi="KaiTi" w:cs="Arial"/>
          <w:b/>
          <w:iCs/>
        </w:rPr>
      </w:pPr>
      <w:r w:rsidRPr="00E23D52">
        <w:rPr>
          <w:rFonts w:ascii="KaiTi" w:eastAsia="KaiTi" w:hAnsi="KaiTi" w:cs="Arial" w:hint="eastAsia"/>
          <w:b/>
          <w:iCs/>
        </w:rPr>
        <w:t>发展议程相关项目</w:t>
      </w:r>
    </w:p>
    <w:p w14:paraId="40480A97" w14:textId="77777777" w:rsidR="00EA5678" w:rsidRPr="00E775A9" w:rsidRDefault="00215138" w:rsidP="00C259B0">
      <w:pPr>
        <w:pStyle w:val="ListParagraph"/>
        <w:numPr>
          <w:ilvl w:val="0"/>
          <w:numId w:val="3"/>
        </w:numPr>
        <w:spacing w:after="120"/>
        <w:ind w:left="0" w:firstLine="0"/>
        <w:rPr>
          <w:rFonts w:hAnsi="SimSun" w:cs="Arial"/>
        </w:rPr>
      </w:pPr>
      <w:r>
        <w:rPr>
          <w:rFonts w:ascii="Arial" w:hAnsi="Arial" w:cs="Arial" w:hint="eastAsia"/>
          <w:i/>
          <w:iCs/>
          <w:noProof/>
          <w:sz w:val="24"/>
          <w:szCs w:val="24"/>
        </w:rPr>
        <mc:AlternateContent>
          <mc:Choice Requires="wps">
            <w:drawing>
              <wp:anchor distT="45720" distB="45720" distL="114300" distR="114300" simplePos="0" relativeHeight="251673600" behindDoc="0" locked="0" layoutInCell="1" allowOverlap="1" wp14:anchorId="4952ED05" wp14:editId="7DA4492A">
                <wp:simplePos x="0" y="0"/>
                <wp:positionH relativeFrom="margin">
                  <wp:posOffset>3057470</wp:posOffset>
                </wp:positionH>
                <wp:positionV relativeFrom="page">
                  <wp:posOffset>1184705</wp:posOffset>
                </wp:positionV>
                <wp:extent cx="2985770" cy="969010"/>
                <wp:effectExtent l="0" t="0" r="11430" b="8890"/>
                <wp:wrapSquare wrapText="bothSides"/>
                <wp:docPr id="1951118073" name="Caixa de Texto 2" descr="Finding 8:  Development Agenda projects have a wide thematic and geographical reach and can deliver planned outputs.  However, there are questions around sustainability of these initiatives and their capacity to effectively engage beneficiary countries at the country level. "/>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5770" cy="969010"/>
                        </a:xfrm>
                        <a:prstGeom prst="rect">
                          <a:avLst/>
                        </a:prstGeom>
                        <a:solidFill>
                          <a:srgbClr val="FFC000">
                            <a:lumMod val="60000"/>
                            <a:lumOff val="40000"/>
                          </a:srgbClr>
                        </a:solidFill>
                        <a:ln w="9525">
                          <a:noFill/>
                          <a:miter lim="800000"/>
                        </a:ln>
                      </wps:spPr>
                      <wps:txbx>
                        <w:txbxContent>
                          <w:p w14:paraId="3C137801" w14:textId="0371FA69" w:rsidR="00EA5678" w:rsidRDefault="00215138" w:rsidP="00631262">
                            <w:pPr>
                              <w:spacing w:afterLines="50" w:after="120" w:line="340" w:lineRule="atLeast"/>
                              <w:jc w:val="both"/>
                            </w:pPr>
                            <w:bookmarkStart w:id="302" w:name="_Hlk174544120"/>
                            <w:bookmarkStart w:id="303" w:name="_Hlk174544121"/>
                            <w:r>
                              <w:t>审查结果8：发展议程项目的主题和地域范围广泛，可以交付计划的产出。然而，这些举措的可持续性及其在国家层面与受益国有效接触的能力存在问题。</w:t>
                            </w:r>
                            <w:bookmarkEnd w:id="302"/>
                            <w:bookmarkEnd w:id="303"/>
                          </w:p>
                        </w:txbxContent>
                      </wps:txbx>
                      <wps:bodyPr rot="0" vert="horz" wrap="square" lIns="91440" tIns="45720" rIns="91440" bIns="45720" anchor="t" anchorCtr="0">
                        <a:noAutofit/>
                      </wps:bodyPr>
                    </wps:wsp>
                  </a:graphicData>
                </a:graphic>
              </wp:anchor>
            </w:drawing>
          </mc:Choice>
          <mc:Fallback>
            <w:pict>
              <v:shape w14:anchorId="4952ED05" id="_x0000_s1041" type="#_x0000_t202" alt="Finding 8:  Development Agenda projects have a wide thematic and geographical reach and can deliver planned outputs.  However, there are questions around sustainability of these initiatives and their capacity to effectively engage beneficiary countries at the country level. " style="position:absolute;left:0;text-align:left;margin-left:240.75pt;margin-top:93.3pt;width:235.1pt;height:76.3pt;z-index:251673600;visibility:visible;mso-wrap-style:square;mso-wrap-distance-left:9pt;mso-wrap-distance-top:3.6pt;mso-wrap-distance-right:9pt;mso-wrap-distance-bottom:3.6pt;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" fillcolor="#ffd966" stroked="f">
                <v:textbox>
                  <w:txbxContent>
                    <w:p w14:paraId="3C137801" w14:textId="0371FA69" w:rsidR="00EA5678" w:rsidRDefault="00215138" w:rsidP="00631262">
                      <w:pPr>
                        <w:spacing w:afterLines="50" w:after="120" w:line="340" w:lineRule="atLeast"/>
                        <w:jc w:val="both"/>
                      </w:pPr>
                      <w:bookmarkStart w:id="316" w:name="_Hlk174544120"/>
                      <w:bookmarkStart w:id="317" w:name="_Hlk174544121"/>
                      <w:r>
                        <w:t>审查结果8：发展议程项目的主题和地域范围广泛，可以交付计划的产出。然而，这些举措的可持续性及其在国家层面与受益</w:t>
                      </w:r>
                      <w:proofErr w:type="gramStart"/>
                      <w:r>
                        <w:t>国有效</w:t>
                      </w:r>
                      <w:proofErr w:type="gramEnd"/>
                      <w:r>
                        <w:t>接触的能力存在问题。</w:t>
                      </w:r>
                      <w:bookmarkEnd w:id="316"/>
                      <w:bookmarkEnd w:id="317"/>
                    </w:p>
                  </w:txbxContent>
                </v:textbox>
                <w10:wrap type="square" anchorx="margin" anchory="page"/>
              </v:shape>
            </w:pict>
          </mc:Fallback>
        </mc:AlternateContent>
      </w:r>
      <w:r w:rsidRPr="00E23D52">
        <w:rPr>
          <w:rFonts w:ascii="KaiTi" w:eastAsia="KaiTi" w:hAnsi="KaiTi" w:cs="Arial" w:hint="eastAsia"/>
          <w:iCs/>
        </w:rPr>
        <w:t>《发展议程项目和产出目录》中确定了2017年至2022年间完成的10个发展议程项目</w:t>
      </w:r>
      <w:r w:rsidRPr="00E775A9">
        <w:rPr>
          <w:rFonts w:hAnsi="SimSun" w:cs="Arial" w:hint="eastAsia"/>
        </w:rPr>
        <w:t>。分析中增加了一个额外的项目，因为它于2019年1月开始，并于2023年7月完成，主要在审查时间范围（2017-2022年）内实施。总体而言，针对发展议程项目确定了三个主要干预领域：</w:t>
      </w:r>
    </w:p>
    <w:p w14:paraId="26CB1607" w14:textId="77777777" w:rsidR="00EA5678" w:rsidRPr="00E775A9" w:rsidRDefault="00215138" w:rsidP="00BE13A2">
      <w:pPr>
        <w:pStyle w:val="ListParagraph"/>
        <w:numPr>
          <w:ilvl w:val="0"/>
          <w:numId w:val="33"/>
        </w:numPr>
        <w:spacing w:after="120"/>
        <w:ind w:left="1134" w:hanging="567"/>
        <w:rPr>
          <w:rFonts w:hAnsi="SimSun" w:cs="Arial"/>
        </w:rPr>
      </w:pPr>
      <w:r w:rsidRPr="00E775A9">
        <w:rPr>
          <w:rFonts w:hAnsi="SimSun" w:cs="Arial" w:hint="eastAsia"/>
        </w:rPr>
        <w:t>通过能力建设和提高认知支持具体部门或群体（创意产业、软件、旅游业、评判员）；</w:t>
      </w:r>
    </w:p>
    <w:p w14:paraId="5818D5D8" w14:textId="77777777" w:rsidR="00EA5678" w:rsidRPr="00E775A9" w:rsidRDefault="00215138" w:rsidP="00BE13A2">
      <w:pPr>
        <w:pStyle w:val="ListParagraph"/>
        <w:numPr>
          <w:ilvl w:val="0"/>
          <w:numId w:val="33"/>
        </w:numPr>
        <w:spacing w:after="120"/>
        <w:ind w:left="1134" w:hanging="567"/>
        <w:rPr>
          <w:rFonts w:hAnsi="SimSun" w:cs="Arial"/>
        </w:rPr>
      </w:pPr>
      <w:r w:rsidRPr="00E775A9">
        <w:rPr>
          <w:rFonts w:hAnsi="SimSun" w:cs="Arial" w:hint="eastAsia"/>
        </w:rPr>
        <w:t>加强知识产权局；</w:t>
      </w:r>
    </w:p>
    <w:p w14:paraId="4BD0AE5D" w14:textId="00C32BFE" w:rsidR="00EA5678" w:rsidRPr="00E775A9" w:rsidRDefault="00215138" w:rsidP="00BE13A2">
      <w:pPr>
        <w:pStyle w:val="ListParagraph"/>
        <w:numPr>
          <w:ilvl w:val="0"/>
          <w:numId w:val="33"/>
        </w:numPr>
        <w:spacing w:after="120"/>
        <w:ind w:left="1134" w:hanging="567"/>
        <w:rPr>
          <w:rFonts w:hAnsi="SimSun" w:cs="Arial"/>
        </w:rPr>
      </w:pPr>
      <w:r w:rsidRPr="00E775A9">
        <w:rPr>
          <w:rFonts w:hAnsi="SimSun" w:cs="Arial" w:hint="eastAsia"/>
        </w:rPr>
        <w:t>孤立的主题/干预类型（就如何最好地利用知识产权、支持具体群体（妇女）、加强发展议程项目和公有领域等其他主题进行研究）。</w:t>
      </w:r>
    </w:p>
    <w:p w14:paraId="1FBDF908" w14:textId="5A7B533D" w:rsidR="00EA5678" w:rsidRPr="00E775A9" w:rsidRDefault="00215138" w:rsidP="00BE13A2">
      <w:pPr>
        <w:spacing w:afterLines="50" w:after="120" w:line="340" w:lineRule="atLeast"/>
        <w:rPr>
          <w:rFonts w:hAnsi="SimSun" w:cs="Arial"/>
        </w:rPr>
      </w:pPr>
      <w:r w:rsidRPr="00E775A9">
        <w:rPr>
          <w:rFonts w:hAnsi="SimSun" w:cs="Arial" w:hint="eastAsia"/>
        </w:rPr>
        <w:t>这表明，在审议期间内实施和完成的发展议程项目的范围非常多样化。</w:t>
      </w:r>
    </w:p>
    <w:p w14:paraId="56077A2D" w14:textId="48352C31"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总体而言，这些项目的平均持续时间为40个月（3.3年），这是一个合理的时限，可以取得成果并确保一定程度的可持续性</w:t>
      </w:r>
      <w:r w:rsidRPr="00E775A9">
        <w:rPr>
          <w:rFonts w:hAnsi="SimSun" w:cs="Arial" w:hint="eastAsia"/>
        </w:rPr>
        <w:t>。值得注意的是，约27%的被审议项目是先前举措（第二阶段项目）的延续。这表明，随着时间的推移，项目与相关发展议程项目在组织（例如TISC）内被纳入主流的历史是一致的。从历史上来看，CDIP是发展议程试点项目的孵化器，可以帮助激发和触发产权组织内外的其他举措。</w:t>
      </w:r>
    </w:p>
    <w:p w14:paraId="77E6FB1E" w14:textId="7C5DAA39"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这些项目的平均预算为583,808</w:t>
      </w:r>
      <w:r w:rsidR="00862432">
        <w:rPr>
          <w:rFonts w:hAnsi="SimSun" w:cs="Arial" w:hint="eastAsia"/>
        </w:rPr>
        <w:t>瑞郎</w:t>
      </w:r>
      <w:r w:rsidRPr="00E775A9">
        <w:rPr>
          <w:rFonts w:hAnsi="SimSun" w:cs="Arial" w:hint="eastAsia"/>
        </w:rPr>
        <w:t>（包括工作人员和非工作人员费用），这意味着每年平均支出</w:t>
      </w:r>
      <w:r w:rsidRPr="00E23D52">
        <w:rPr>
          <w:rFonts w:ascii="KaiTi" w:eastAsia="KaiTi" w:hAnsi="KaiTi" w:cs="Arial" w:hint="eastAsia"/>
        </w:rPr>
        <w:t>194,330</w:t>
      </w:r>
      <w:r w:rsidR="00862432">
        <w:rPr>
          <w:rFonts w:hAnsi="SimSun" w:cs="Arial" w:hint="eastAsia"/>
        </w:rPr>
        <w:t>瑞郎</w:t>
      </w:r>
      <w:r w:rsidRPr="00E23D52">
        <w:rPr>
          <w:rFonts w:ascii="KaiTi" w:eastAsia="KaiTi" w:hAnsi="KaiTi" w:cs="Arial" w:hint="eastAsia"/>
          <w:iCs/>
        </w:rPr>
        <w:t>，每个国家每年平均支出38,866</w:t>
      </w:r>
      <w:r w:rsidR="00862432">
        <w:rPr>
          <w:rFonts w:hAnsi="SimSun" w:cs="Arial" w:hint="eastAsia"/>
        </w:rPr>
        <w:t>瑞郎</w:t>
      </w:r>
      <w:r w:rsidRPr="00E775A9">
        <w:rPr>
          <w:rFonts w:hAnsi="SimSun" w:cs="Arial" w:hint="eastAsia"/>
        </w:rPr>
        <w:t>（鉴于每个项目平均有5个国家）。在审议的11个项目中，有34个国家参与其中（12个非洲国家，其次是10个拉丁美洲国家和加勒比国家、7个东盟国家、3个阿拉伯国家和2个转型国家）。在这些国家中，有三个国家最积极地参与了三个项目（智利、肯尼亚和菲律宾）。这表明，就区域和成员国而言，发展议程项目具有很强的包容性。</w:t>
      </w:r>
    </w:p>
    <w:p w14:paraId="733CA7E1" w14:textId="77777777"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就成就而言，审查摘要显示：总体而言，项目能够交付产出（培训、手册、研究）；</w:t>
      </w:r>
      <w:r w:rsidRPr="00E775A9">
        <w:rPr>
          <w:rFonts w:hAnsi="SimSun" w:cs="Arial" w:hint="eastAsia"/>
        </w:rPr>
        <w:t>公开信息方面取得了良好进展；可持续性的一个案例特别成功：评判员培训，该培训被纳入知识产权学院的主流。与此同时，确定的主要挑战是举措完成后能否继续开展工作，因为在大多数情况下可持续性一直不确定；对利用政策研究和在不同项目领域继续开展工作的影响有限（和可用数据有限）。根据CDIP的决定，将提供更多关于影响的数据。现在每年都对已完成的发展议程项目进行影响评估。</w:t>
      </w:r>
    </w:p>
    <w:p w14:paraId="790157D9" w14:textId="3AED41B9"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从被纳入本组织主流的意义上讲，过去的发展议程项目非常有效。</w:t>
      </w:r>
      <w:r w:rsidRPr="00E775A9">
        <w:rPr>
          <w:rFonts w:hAnsi="SimSun" w:cs="Arial" w:hint="eastAsia"/>
        </w:rPr>
        <w:t>在访谈中，一些成员国报告称，关于新的发展议程项目的请求或参与已通过项目的请求是由其常驻日内瓦代表团直接发出的。他们发现，在国家层面进行有机对话将有利于项目设计及其在参与国的进一步实施。这意味着，如果发展议程项目在设计和谈判时更加慎重，并牢记这些经验教训，那么它们就可以提高成果的可持续性。</w:t>
      </w:r>
    </w:p>
    <w:p w14:paraId="43941C70" w14:textId="77777777" w:rsidR="00EA5678" w:rsidRPr="00E23D52" w:rsidRDefault="00215138" w:rsidP="00FC573E">
      <w:pPr>
        <w:keepNext/>
        <w:spacing w:afterLines="50" w:after="120" w:line="340" w:lineRule="atLeast"/>
        <w:rPr>
          <w:rFonts w:ascii="KaiTi" w:eastAsia="KaiTi" w:hAnsi="KaiTi" w:cs="Arial"/>
          <w:b/>
          <w:iCs/>
        </w:rPr>
      </w:pPr>
      <w:r w:rsidRPr="00E23D52">
        <w:rPr>
          <w:rFonts w:ascii="KaiTi" w:eastAsia="KaiTi" w:hAnsi="KaiTi" w:cs="Arial" w:hint="eastAsia"/>
          <w:b/>
          <w:iCs/>
        </w:rPr>
        <w:t>国家知识产权政策</w:t>
      </w:r>
    </w:p>
    <w:p w14:paraId="2413D13A" w14:textId="77777777"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产权组织对制定国家知识产权政策的指导受到成员国的高度评价。国家知识产权战略有一套完善的方法，可以对关键利益攸关方进行初步评估和与其互动。</w:t>
      </w:r>
      <w:r w:rsidRPr="00E775A9">
        <w:rPr>
          <w:rFonts w:hAnsi="SimSun" w:cs="Arial" w:hint="eastAsia"/>
        </w:rPr>
        <w:t>产权组织历来支持国家知识产权战略，但当发展议程呼吁就这一主题开展系统工作和提供指导时，这些战略得到了进一步的推动。产权组织于2012年分三部分发布了《国家知识产权战略制定方法》，并于2016年稍作更新和修订后重新发布。2019/2020年，该《方法》得到了全面审查和更新。这样做是为了更灵活地进一步适应不同国家的不同发展需求（产权组织，2020年）。</w:t>
      </w:r>
    </w:p>
    <w:p w14:paraId="274E5E10" w14:textId="3AFF1B97"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产权组织有支持97个成员国（包括最不发达国家）制定国家知识产权战略（2022年绩效报告），占产权组织所有成员国的一半。</w:t>
      </w:r>
      <w:r w:rsidRPr="00E775A9">
        <w:rPr>
          <w:rFonts w:hAnsi="SimSun" w:cs="Arial" w:hint="eastAsia"/>
        </w:rPr>
        <w:t>根据产权组织的绩效报告，在审查期间（2017-2022年），20个成员国通过了国家知识产权战略。虽然绩效报告不包括成员国的名称，但至少下列国家在审议期间得到了产权组织的支持，以制定国家知识产权战略：</w:t>
      </w:r>
      <w:r w:rsidRPr="00E775A9">
        <w:rPr>
          <w:rFonts w:hAnsi="SimSun" w:cs="Arial" w:hint="eastAsia"/>
          <w:vertAlign w:val="superscript"/>
        </w:rPr>
        <w:footnoteReference w:id="6"/>
      </w:r>
      <w:r w:rsidRPr="00E775A9">
        <w:rPr>
          <w:rFonts w:hAnsi="SimSun" w:cs="Arial" w:hint="eastAsia"/>
        </w:rPr>
        <w:t>阿尔巴尼亚、格鲁吉亚、拉脱维亚、斯洛伐克、纽埃、老挝人民民主共和国、越南、埃塞俄比亚、墨西哥和尼日利亚（2017-2022年绩效报告）。表4显示了审查期间国家知识产权战略的变化，从72个增至92个，实施知识产权战略的国家数量从2019年的87个增至2021年的97个。</w:t>
      </w:r>
    </w:p>
    <w:p w14:paraId="047B43F0" w14:textId="35106042" w:rsidR="00EA5678" w:rsidRPr="00E775A9" w:rsidRDefault="00215138" w:rsidP="00FA22D5">
      <w:pPr>
        <w:spacing w:afterLines="50" w:after="120" w:line="340" w:lineRule="atLeast"/>
        <w:jc w:val="center"/>
        <w:rPr>
          <w:rFonts w:hAnsi="SimSun" w:cs="Arial"/>
          <w:color w:val="2F5496" w:themeColor="accent1" w:themeShade="BF"/>
          <w:sz w:val="20"/>
          <w:szCs w:val="20"/>
        </w:rPr>
      </w:pPr>
      <w:bookmarkStart w:id="304" w:name="_Toc177325680"/>
      <w:r w:rsidRPr="00E775A9">
        <w:rPr>
          <w:rFonts w:hAnsi="SimSun" w:cs="Arial" w:hint="eastAsia"/>
          <w:color w:val="2F5496" w:themeColor="accent1" w:themeShade="BF"/>
          <w:sz w:val="20"/>
          <w:szCs w:val="20"/>
        </w:rPr>
        <w:t>表</w:t>
      </w:r>
      <w:r w:rsidRPr="00E775A9">
        <w:rPr>
          <w:rFonts w:hAnsi="SimSun" w:cs="Arial" w:hint="eastAsia"/>
          <w:color w:val="2F5496" w:themeColor="accent1" w:themeShade="BF"/>
          <w:sz w:val="20"/>
          <w:szCs w:val="20"/>
        </w:rPr>
        <w:fldChar w:fldCharType="begin"/>
      </w:r>
      <w:r w:rsidRPr="00E775A9">
        <w:rPr>
          <w:rFonts w:hAnsi="SimSun" w:cs="Arial" w:hint="eastAsia"/>
          <w:color w:val="2F5496" w:themeColor="accent1" w:themeShade="BF"/>
          <w:sz w:val="20"/>
          <w:szCs w:val="20"/>
        </w:rPr>
        <w:instrText xml:space="preserve"> SEQ Table \* ARABIC </w:instrText>
      </w:r>
      <w:r w:rsidRPr="00E775A9">
        <w:rPr>
          <w:rFonts w:hAnsi="SimSun" w:cs="Arial" w:hint="eastAsia"/>
          <w:color w:val="2F5496" w:themeColor="accent1" w:themeShade="BF"/>
          <w:sz w:val="20"/>
          <w:szCs w:val="20"/>
        </w:rPr>
        <w:fldChar w:fldCharType="separate"/>
      </w:r>
      <w:r w:rsidR="00AA5A99">
        <w:rPr>
          <w:rFonts w:hAnsi="SimSun" w:cs="Arial"/>
          <w:noProof/>
          <w:color w:val="2F5496" w:themeColor="accent1" w:themeShade="BF"/>
          <w:sz w:val="20"/>
          <w:szCs w:val="20"/>
        </w:rPr>
        <w:t>4</w:t>
      </w:r>
      <w:r w:rsidRPr="00E775A9">
        <w:rPr>
          <w:rFonts w:hAnsi="SimSun" w:cs="Arial" w:hint="eastAsia"/>
          <w:color w:val="2F5496" w:themeColor="accent1" w:themeShade="BF"/>
          <w:sz w:val="20"/>
          <w:szCs w:val="20"/>
        </w:rPr>
        <w:fldChar w:fldCharType="end"/>
      </w:r>
      <w:r w:rsidRPr="00E775A9">
        <w:rPr>
          <w:rFonts w:hAnsi="SimSun" w:cs="Arial" w:hint="eastAsia"/>
          <w:color w:val="2F5496" w:themeColor="accent1" w:themeShade="BF"/>
          <w:sz w:val="20"/>
          <w:szCs w:val="20"/>
        </w:rPr>
        <w:t>.2017至2022年国家知识产权战略变化</w:t>
      </w:r>
      <w:bookmarkEnd w:id="304"/>
    </w:p>
    <w:tbl>
      <w:tblPr>
        <w:tblStyle w:val="GridTable5Dark-Accent11"/>
        <w:tblW w:w="8931" w:type="dxa"/>
        <w:jc w:val="center"/>
        <w:tblLayout w:type="fixed"/>
        <w:tblLook w:val="04A0" w:firstRow="1" w:lastRow="0" w:firstColumn="1" w:lastColumn="0" w:noHBand="0" w:noVBand="1"/>
      </w:tblPr>
      <w:tblGrid>
        <w:gridCol w:w="3397"/>
        <w:gridCol w:w="922"/>
        <w:gridCol w:w="922"/>
        <w:gridCol w:w="923"/>
        <w:gridCol w:w="922"/>
        <w:gridCol w:w="922"/>
        <w:gridCol w:w="923"/>
      </w:tblGrid>
      <w:tr w:rsidR="00EA5678" w:rsidRPr="00E775A9" w14:paraId="1A2DA96E" w14:textId="77777777" w:rsidTr="004436B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397" w:type="dxa"/>
          </w:tcPr>
          <w:p w14:paraId="07EA038A" w14:textId="77777777" w:rsidR="00EA5678" w:rsidRPr="00E775A9" w:rsidRDefault="00215138" w:rsidP="00BE13A2">
            <w:pPr>
              <w:spacing w:line="340" w:lineRule="atLeast"/>
              <w:rPr>
                <w:rFonts w:hAnsi="SimSun" w:cs="Arial"/>
                <w:b w:val="0"/>
                <w:bCs w:val="0"/>
              </w:rPr>
            </w:pPr>
            <w:r w:rsidRPr="00E775A9">
              <w:rPr>
                <w:rFonts w:hAnsi="SimSun" w:cs="Arial" w:hint="eastAsia"/>
              </w:rPr>
              <w:t>指标</w:t>
            </w:r>
          </w:p>
        </w:tc>
        <w:tc>
          <w:tcPr>
            <w:tcW w:w="922" w:type="dxa"/>
          </w:tcPr>
          <w:p w14:paraId="37968533" w14:textId="77777777" w:rsidR="00EA5678" w:rsidRPr="00E775A9" w:rsidRDefault="00215138" w:rsidP="00BE13A2">
            <w:pPr>
              <w:spacing w:line="340" w:lineRule="atLeast"/>
              <w:cnfStyle w:val="100000000000" w:firstRow="1" w:lastRow="0" w:firstColumn="0" w:lastColumn="0" w:oddVBand="0" w:evenVBand="0" w:oddHBand="0" w:evenHBand="0" w:firstRowFirstColumn="0" w:firstRowLastColumn="0" w:lastRowFirstColumn="0" w:lastRowLastColumn="0"/>
              <w:rPr>
                <w:rFonts w:hAnsi="SimSun" w:cs="Arial"/>
                <w:b w:val="0"/>
                <w:bCs w:val="0"/>
              </w:rPr>
            </w:pPr>
            <w:r w:rsidRPr="00E775A9">
              <w:rPr>
                <w:rFonts w:hAnsi="SimSun" w:cs="Arial" w:hint="eastAsia"/>
              </w:rPr>
              <w:t>2017</w:t>
            </w:r>
          </w:p>
        </w:tc>
        <w:tc>
          <w:tcPr>
            <w:tcW w:w="922" w:type="dxa"/>
          </w:tcPr>
          <w:p w14:paraId="2480B49E" w14:textId="77777777" w:rsidR="00EA5678" w:rsidRPr="00E775A9" w:rsidRDefault="00215138" w:rsidP="00BE13A2">
            <w:pPr>
              <w:spacing w:line="340" w:lineRule="atLeast"/>
              <w:cnfStyle w:val="100000000000" w:firstRow="1" w:lastRow="0" w:firstColumn="0" w:lastColumn="0" w:oddVBand="0" w:evenVBand="0" w:oddHBand="0" w:evenHBand="0" w:firstRowFirstColumn="0" w:firstRowLastColumn="0" w:lastRowFirstColumn="0" w:lastRowLastColumn="0"/>
              <w:rPr>
                <w:rFonts w:hAnsi="SimSun" w:cs="Arial"/>
                <w:b w:val="0"/>
                <w:bCs w:val="0"/>
              </w:rPr>
            </w:pPr>
            <w:r w:rsidRPr="00E775A9">
              <w:rPr>
                <w:rFonts w:hAnsi="SimSun" w:cs="Arial" w:hint="eastAsia"/>
              </w:rPr>
              <w:t>2018</w:t>
            </w:r>
          </w:p>
        </w:tc>
        <w:tc>
          <w:tcPr>
            <w:tcW w:w="923" w:type="dxa"/>
          </w:tcPr>
          <w:p w14:paraId="789DE8FD" w14:textId="77777777" w:rsidR="00EA5678" w:rsidRPr="00E775A9" w:rsidRDefault="00215138" w:rsidP="00BE13A2">
            <w:pPr>
              <w:spacing w:line="340" w:lineRule="atLeast"/>
              <w:cnfStyle w:val="100000000000" w:firstRow="1" w:lastRow="0" w:firstColumn="0" w:lastColumn="0" w:oddVBand="0" w:evenVBand="0" w:oddHBand="0" w:evenHBand="0" w:firstRowFirstColumn="0" w:firstRowLastColumn="0" w:lastRowFirstColumn="0" w:lastRowLastColumn="0"/>
              <w:rPr>
                <w:rFonts w:hAnsi="SimSun" w:cs="Arial"/>
                <w:b w:val="0"/>
                <w:bCs w:val="0"/>
              </w:rPr>
            </w:pPr>
            <w:r w:rsidRPr="00E775A9">
              <w:rPr>
                <w:rFonts w:hAnsi="SimSun" w:cs="Arial" w:hint="eastAsia"/>
              </w:rPr>
              <w:t>2019</w:t>
            </w:r>
          </w:p>
        </w:tc>
        <w:tc>
          <w:tcPr>
            <w:tcW w:w="922" w:type="dxa"/>
          </w:tcPr>
          <w:p w14:paraId="5D0018B6" w14:textId="77777777" w:rsidR="00EA5678" w:rsidRPr="00E775A9" w:rsidRDefault="00215138" w:rsidP="00BE13A2">
            <w:pPr>
              <w:spacing w:line="340" w:lineRule="atLeast"/>
              <w:cnfStyle w:val="100000000000" w:firstRow="1" w:lastRow="0" w:firstColumn="0" w:lastColumn="0" w:oddVBand="0" w:evenVBand="0" w:oddHBand="0" w:evenHBand="0" w:firstRowFirstColumn="0" w:firstRowLastColumn="0" w:lastRowFirstColumn="0" w:lastRowLastColumn="0"/>
              <w:rPr>
                <w:rFonts w:hAnsi="SimSun" w:cs="Arial"/>
                <w:b w:val="0"/>
                <w:bCs w:val="0"/>
              </w:rPr>
            </w:pPr>
            <w:r w:rsidRPr="00E775A9">
              <w:rPr>
                <w:rFonts w:hAnsi="SimSun" w:cs="Arial" w:hint="eastAsia"/>
              </w:rPr>
              <w:t>2020</w:t>
            </w:r>
          </w:p>
        </w:tc>
        <w:tc>
          <w:tcPr>
            <w:tcW w:w="922" w:type="dxa"/>
          </w:tcPr>
          <w:p w14:paraId="67C0E00C" w14:textId="77777777" w:rsidR="00EA5678" w:rsidRPr="00E775A9" w:rsidRDefault="00215138" w:rsidP="00BE13A2">
            <w:pPr>
              <w:spacing w:line="340" w:lineRule="atLeast"/>
              <w:cnfStyle w:val="100000000000" w:firstRow="1" w:lastRow="0" w:firstColumn="0" w:lastColumn="0" w:oddVBand="0" w:evenVBand="0" w:oddHBand="0" w:evenHBand="0" w:firstRowFirstColumn="0" w:firstRowLastColumn="0" w:lastRowFirstColumn="0" w:lastRowLastColumn="0"/>
              <w:rPr>
                <w:rFonts w:hAnsi="SimSun" w:cs="Arial"/>
                <w:b w:val="0"/>
                <w:bCs w:val="0"/>
              </w:rPr>
            </w:pPr>
            <w:r w:rsidRPr="00E775A9">
              <w:rPr>
                <w:rFonts w:hAnsi="SimSun" w:cs="Arial" w:hint="eastAsia"/>
              </w:rPr>
              <w:t>2021</w:t>
            </w:r>
          </w:p>
        </w:tc>
        <w:tc>
          <w:tcPr>
            <w:tcW w:w="923" w:type="dxa"/>
          </w:tcPr>
          <w:p w14:paraId="6D6015B5" w14:textId="77777777" w:rsidR="00EA5678" w:rsidRPr="00E775A9" w:rsidRDefault="00215138" w:rsidP="00BE13A2">
            <w:pPr>
              <w:spacing w:line="340" w:lineRule="atLeast"/>
              <w:cnfStyle w:val="100000000000" w:firstRow="1" w:lastRow="0" w:firstColumn="0" w:lastColumn="0" w:oddVBand="0" w:evenVBand="0" w:oddHBand="0" w:evenHBand="0" w:firstRowFirstColumn="0" w:firstRowLastColumn="0" w:lastRowFirstColumn="0" w:lastRowLastColumn="0"/>
              <w:rPr>
                <w:rFonts w:hAnsi="SimSun" w:cs="Arial"/>
                <w:b w:val="0"/>
                <w:bCs w:val="0"/>
              </w:rPr>
            </w:pPr>
            <w:r w:rsidRPr="00E775A9">
              <w:rPr>
                <w:rFonts w:hAnsi="SimSun" w:cs="Arial" w:hint="eastAsia"/>
              </w:rPr>
              <w:t>2022</w:t>
            </w:r>
          </w:p>
        </w:tc>
      </w:tr>
      <w:tr w:rsidR="00EA5678" w:rsidRPr="00E775A9" w14:paraId="10FFF030" w14:textId="77777777" w:rsidTr="004436B0">
        <w:trPr>
          <w:jc w:val="center"/>
        </w:trPr>
        <w:tc>
          <w:tcPr>
            <w:cnfStyle w:val="001000000000" w:firstRow="0" w:lastRow="0" w:firstColumn="1" w:lastColumn="0" w:oddVBand="0" w:evenVBand="0" w:oddHBand="0" w:evenHBand="0" w:firstRowFirstColumn="0" w:firstRowLastColumn="0" w:lastRowFirstColumn="0" w:lastRowLastColumn="0"/>
            <w:tcW w:w="3397" w:type="dxa"/>
          </w:tcPr>
          <w:p w14:paraId="64C9B15B" w14:textId="77777777" w:rsidR="00EA5678" w:rsidRPr="00E775A9" w:rsidRDefault="00215138" w:rsidP="00BE13A2">
            <w:pPr>
              <w:spacing w:line="340" w:lineRule="atLeast"/>
              <w:rPr>
                <w:rFonts w:hAnsi="SimSun" w:cs="Arial"/>
                <w:b w:val="0"/>
                <w:bCs w:val="0"/>
              </w:rPr>
            </w:pPr>
            <w:r w:rsidRPr="00E775A9">
              <w:rPr>
                <w:rFonts w:hAnsi="SimSun" w:cs="Arial" w:hint="eastAsia"/>
              </w:rPr>
              <w:t>采纳知识产权战略的国家数量</w:t>
            </w:r>
          </w:p>
        </w:tc>
        <w:tc>
          <w:tcPr>
            <w:tcW w:w="922" w:type="dxa"/>
            <w:shd w:val="clear" w:color="auto" w:fill="B4C6E7" w:themeFill="accent1" w:themeFillTint="66"/>
          </w:tcPr>
          <w:p w14:paraId="28A5EC71" w14:textId="77777777" w:rsidR="00EA5678" w:rsidRPr="00E775A9" w:rsidRDefault="00215138" w:rsidP="00BE13A2">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72</w:t>
            </w:r>
          </w:p>
        </w:tc>
        <w:tc>
          <w:tcPr>
            <w:tcW w:w="922" w:type="dxa"/>
            <w:shd w:val="clear" w:color="auto" w:fill="B4C6E7" w:themeFill="accent1" w:themeFillTint="66"/>
          </w:tcPr>
          <w:p w14:paraId="006C729D" w14:textId="77777777" w:rsidR="00EA5678" w:rsidRPr="00E775A9" w:rsidRDefault="00215138" w:rsidP="00BE13A2">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78</w:t>
            </w:r>
          </w:p>
        </w:tc>
        <w:tc>
          <w:tcPr>
            <w:tcW w:w="923" w:type="dxa"/>
            <w:shd w:val="clear" w:color="auto" w:fill="B4C6E7" w:themeFill="accent1" w:themeFillTint="66"/>
          </w:tcPr>
          <w:p w14:paraId="5B75900E" w14:textId="77777777" w:rsidR="00EA5678" w:rsidRPr="00E775A9" w:rsidRDefault="00215138" w:rsidP="00BE13A2">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80</w:t>
            </w:r>
          </w:p>
        </w:tc>
        <w:tc>
          <w:tcPr>
            <w:tcW w:w="922" w:type="dxa"/>
            <w:shd w:val="clear" w:color="auto" w:fill="B4C6E7" w:themeFill="accent1" w:themeFillTint="66"/>
          </w:tcPr>
          <w:p w14:paraId="48244A92" w14:textId="77777777" w:rsidR="00EA5678" w:rsidRPr="00E775A9" w:rsidRDefault="00215138" w:rsidP="00BE13A2">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87</w:t>
            </w:r>
          </w:p>
        </w:tc>
        <w:tc>
          <w:tcPr>
            <w:tcW w:w="922" w:type="dxa"/>
            <w:shd w:val="clear" w:color="auto" w:fill="B4C6E7" w:themeFill="accent1" w:themeFillTint="66"/>
          </w:tcPr>
          <w:p w14:paraId="334D8E0B" w14:textId="77777777" w:rsidR="00EA5678" w:rsidRPr="00E775A9" w:rsidRDefault="00215138" w:rsidP="00BE13A2">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89</w:t>
            </w:r>
          </w:p>
        </w:tc>
        <w:tc>
          <w:tcPr>
            <w:tcW w:w="923" w:type="dxa"/>
            <w:shd w:val="clear" w:color="auto" w:fill="B4C6E7" w:themeFill="accent1" w:themeFillTint="66"/>
          </w:tcPr>
          <w:p w14:paraId="414F0F04" w14:textId="77777777" w:rsidR="00EA5678" w:rsidRPr="00E775A9" w:rsidRDefault="00215138" w:rsidP="00BE13A2">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92*</w:t>
            </w:r>
          </w:p>
        </w:tc>
      </w:tr>
      <w:tr w:rsidR="00EA5678" w:rsidRPr="00E775A9" w14:paraId="3E463EC7" w14:textId="77777777" w:rsidTr="004436B0">
        <w:trPr>
          <w:jc w:val="center"/>
        </w:trPr>
        <w:tc>
          <w:tcPr>
            <w:cnfStyle w:val="001000000000" w:firstRow="0" w:lastRow="0" w:firstColumn="1" w:lastColumn="0" w:oddVBand="0" w:evenVBand="0" w:oddHBand="0" w:evenHBand="0" w:firstRowFirstColumn="0" w:firstRowLastColumn="0" w:lastRowFirstColumn="0" w:lastRowLastColumn="0"/>
            <w:tcW w:w="3397" w:type="dxa"/>
          </w:tcPr>
          <w:p w14:paraId="45AE0BD9" w14:textId="77777777" w:rsidR="00EA5678" w:rsidRPr="00E775A9" w:rsidRDefault="00215138" w:rsidP="00BE13A2">
            <w:pPr>
              <w:spacing w:line="340" w:lineRule="atLeast"/>
              <w:rPr>
                <w:rFonts w:hAnsi="SimSun" w:cs="Arial"/>
                <w:b w:val="0"/>
                <w:bCs w:val="0"/>
              </w:rPr>
            </w:pPr>
            <w:r w:rsidRPr="00E775A9">
              <w:rPr>
                <w:rFonts w:hAnsi="SimSun" w:cs="Arial" w:hint="eastAsia"/>
              </w:rPr>
              <w:t>实施知识产权战略的国家数量</w:t>
            </w:r>
          </w:p>
        </w:tc>
        <w:tc>
          <w:tcPr>
            <w:tcW w:w="922" w:type="dxa"/>
          </w:tcPr>
          <w:p w14:paraId="41095654" w14:textId="77777777" w:rsidR="00EA5678" w:rsidRPr="00E775A9" w:rsidRDefault="00215138" w:rsidP="00BE13A2">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不适用</w:t>
            </w:r>
          </w:p>
        </w:tc>
        <w:tc>
          <w:tcPr>
            <w:tcW w:w="922" w:type="dxa"/>
          </w:tcPr>
          <w:p w14:paraId="1E41ADD5" w14:textId="77777777" w:rsidR="00EA5678" w:rsidRPr="00E775A9" w:rsidRDefault="00215138" w:rsidP="00BE13A2">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不适用</w:t>
            </w:r>
          </w:p>
        </w:tc>
        <w:tc>
          <w:tcPr>
            <w:tcW w:w="923" w:type="dxa"/>
          </w:tcPr>
          <w:p w14:paraId="58B68BA2" w14:textId="77777777" w:rsidR="00EA5678" w:rsidRPr="00E775A9" w:rsidRDefault="00215138" w:rsidP="00BE13A2">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87</w:t>
            </w:r>
          </w:p>
        </w:tc>
        <w:tc>
          <w:tcPr>
            <w:tcW w:w="922" w:type="dxa"/>
          </w:tcPr>
          <w:p w14:paraId="6E17BC16" w14:textId="77777777" w:rsidR="00EA5678" w:rsidRPr="00E775A9" w:rsidRDefault="00215138" w:rsidP="00BE13A2">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91</w:t>
            </w:r>
          </w:p>
        </w:tc>
        <w:tc>
          <w:tcPr>
            <w:tcW w:w="922" w:type="dxa"/>
          </w:tcPr>
          <w:p w14:paraId="1F9789F6" w14:textId="77777777" w:rsidR="00EA5678" w:rsidRPr="00E775A9" w:rsidRDefault="00215138" w:rsidP="00BE13A2">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97</w:t>
            </w:r>
          </w:p>
        </w:tc>
        <w:tc>
          <w:tcPr>
            <w:tcW w:w="923" w:type="dxa"/>
          </w:tcPr>
          <w:p w14:paraId="1394607C" w14:textId="77777777" w:rsidR="00EA5678" w:rsidRPr="00E775A9" w:rsidRDefault="00215138" w:rsidP="00BE13A2">
            <w:pPr>
              <w:spacing w:line="340" w:lineRule="atLeast"/>
              <w:cnfStyle w:val="000000000000" w:firstRow="0" w:lastRow="0" w:firstColumn="0" w:lastColumn="0" w:oddVBand="0" w:evenVBand="0" w:oddHBand="0" w:evenHBand="0" w:firstRowFirstColumn="0" w:firstRowLastColumn="0" w:lastRowFirstColumn="0" w:lastRowLastColumn="0"/>
              <w:rPr>
                <w:rFonts w:hAnsi="SimSun" w:cs="Arial"/>
              </w:rPr>
            </w:pPr>
            <w:r w:rsidRPr="00E775A9">
              <w:rPr>
                <w:rFonts w:hAnsi="SimSun" w:cs="Arial" w:hint="eastAsia"/>
              </w:rPr>
              <w:t>不适用</w:t>
            </w:r>
          </w:p>
        </w:tc>
      </w:tr>
    </w:tbl>
    <w:p w14:paraId="27E327F2" w14:textId="4B5DF4FB" w:rsidR="00EA5678" w:rsidRPr="00E775A9" w:rsidRDefault="00215138" w:rsidP="004436B0">
      <w:pPr>
        <w:spacing w:afterLines="50" w:after="120" w:line="240" w:lineRule="auto"/>
        <w:ind w:firstLine="284"/>
        <w:rPr>
          <w:rFonts w:hAnsi="SimSun" w:cs="Arial"/>
          <w:sz w:val="20"/>
          <w:szCs w:val="20"/>
        </w:rPr>
      </w:pPr>
      <w:r w:rsidRPr="00E775A9">
        <w:rPr>
          <w:rFonts w:hAnsi="SimSun" w:cs="Arial" w:hint="eastAsia"/>
          <w:sz w:val="20"/>
          <w:szCs w:val="20"/>
        </w:rPr>
        <w:t>来源：2016-2022年产权组织绩效报告</w:t>
      </w:r>
    </w:p>
    <w:p w14:paraId="5080259C" w14:textId="5D0910D6" w:rsidR="00EA5678" w:rsidRPr="00E775A9" w:rsidRDefault="004436B0" w:rsidP="00C259B0">
      <w:pPr>
        <w:pStyle w:val="ListParagraph"/>
        <w:numPr>
          <w:ilvl w:val="0"/>
          <w:numId w:val="3"/>
        </w:numPr>
        <w:spacing w:after="120"/>
        <w:ind w:left="0" w:firstLine="0"/>
        <w:rPr>
          <w:rFonts w:hAnsi="SimSun" w:cs="Arial"/>
        </w:rPr>
      </w:pPr>
      <w:r>
        <w:rPr>
          <w:rFonts w:ascii="Arial" w:hAnsi="Arial" w:cs="Arial" w:hint="eastAsia"/>
          <w:noProof/>
        </w:rPr>
        <mc:AlternateContent>
          <mc:Choice Requires="wps">
            <w:drawing>
              <wp:anchor distT="45720" distB="45720" distL="114300" distR="114300" simplePos="0" relativeHeight="251674624" behindDoc="0" locked="0" layoutInCell="1" allowOverlap="1" wp14:anchorId="149389AB" wp14:editId="1A8A8481">
                <wp:simplePos x="0" y="0"/>
                <wp:positionH relativeFrom="margin">
                  <wp:posOffset>34925</wp:posOffset>
                </wp:positionH>
                <wp:positionV relativeFrom="page">
                  <wp:posOffset>6411225</wp:posOffset>
                </wp:positionV>
                <wp:extent cx="2894330" cy="1194435"/>
                <wp:effectExtent l="0" t="0" r="1270" b="5715"/>
                <wp:wrapSquare wrapText="bothSides"/>
                <wp:docPr id="199686290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94330" cy="1194435"/>
                        </a:xfrm>
                        <a:prstGeom prst="rect">
                          <a:avLst/>
                        </a:prstGeom>
                        <a:solidFill>
                          <a:srgbClr val="FFC000">
                            <a:lumMod val="60000"/>
                            <a:lumOff val="40000"/>
                          </a:srgbClr>
                        </a:solidFill>
                        <a:ln w="9525">
                          <a:noFill/>
                          <a:miter lim="800000"/>
                        </a:ln>
                      </wps:spPr>
                      <wps:txbx>
                        <w:txbxContent>
                          <w:p w14:paraId="6FDCD27E" w14:textId="77777777" w:rsidR="00EA5678" w:rsidRDefault="00215138" w:rsidP="00BE13A2">
                            <w:pPr>
                              <w:spacing w:afterLines="50" w:after="120" w:line="340" w:lineRule="atLeast"/>
                              <w:jc w:val="both"/>
                            </w:pPr>
                            <w:bookmarkStart w:id="305" w:name="_Hlk174544145"/>
                            <w:bookmarkStart w:id="306" w:name="_Hlk174544146"/>
                            <w:r>
                              <w:t>审查结果9：成员国高度评价了产权组织对制定国家知识产权政策的指导。国家知识产权战略有一套完善的方法。挑战在于国家利益攸关方的实际参与和随着时间推移的实施。</w:t>
                            </w:r>
                            <w:bookmarkEnd w:id="305"/>
                            <w:bookmarkEnd w:id="306"/>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149389AB" id="_x0000_s1042" type="#_x0000_t202" style="position:absolute;left:0;text-align:left;margin-left:2.75pt;margin-top:504.8pt;width:227.9pt;height:94.05pt;z-index:251674624;visibility:visible;mso-wrap-style:square;mso-height-percent:0;mso-wrap-distance-left:9pt;mso-wrap-distance-top:3.6pt;mso-wrap-distance-right:9pt;mso-wrap-distance-bottom:3.6pt;mso-position-horizontal:absolute;mso-position-horizontal-relative:margin;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" fillcolor="#ffd966" stroked="f">
                <v:textbox>
                  <w:txbxContent>
                    <w:p w14:paraId="6FDCD27E" w14:textId="77777777" w:rsidR="00EA5678" w:rsidRDefault="00215138" w:rsidP="00BE13A2">
                      <w:pPr>
                        <w:spacing w:afterLines="50" w:after="120" w:line="340" w:lineRule="atLeast"/>
                        <w:jc w:val="both"/>
                      </w:pPr>
                      <w:bookmarkStart w:id="321" w:name="_Hlk174544145"/>
                      <w:bookmarkStart w:id="322" w:name="_Hlk174544146"/>
                      <w:r>
                        <w:t>审查结果9：成员国高度评价了产权组织对制定国家知识产权政策的指导。国家知识产权战略有一套完善的方法。挑战在于国家利益攸关方的实际参与和随着时间推移的实施。</w:t>
                      </w:r>
                      <w:bookmarkEnd w:id="321"/>
                      <w:bookmarkEnd w:id="322"/>
                    </w:p>
                  </w:txbxContent>
                </v:textbox>
                <w10:wrap type="square" anchorx="margin" anchory="page"/>
              </v:shape>
            </w:pict>
          </mc:Fallback>
        </mc:AlternateContent>
      </w:r>
      <w:r w:rsidR="00BE13A2">
        <w:rPr>
          <w:rFonts w:ascii="Arial" w:hAnsi="Arial" w:cs="Arial" w:hint="eastAsia"/>
          <w:b/>
          <w:noProof/>
          <w:color w:val="4472C4"/>
        </w:rPr>
        <mc:AlternateContent>
          <mc:Choice Requires="wps">
            <w:drawing>
              <wp:anchor distT="45720" distB="45720" distL="114300" distR="114300" simplePos="0" relativeHeight="251669504" behindDoc="1" locked="0" layoutInCell="1" allowOverlap="1" wp14:anchorId="748E298B" wp14:editId="04D05A52">
                <wp:simplePos x="0" y="0"/>
                <wp:positionH relativeFrom="page">
                  <wp:posOffset>3937671</wp:posOffset>
                </wp:positionH>
                <wp:positionV relativeFrom="page">
                  <wp:posOffset>5401270</wp:posOffset>
                </wp:positionV>
                <wp:extent cx="2844745" cy="1051560"/>
                <wp:effectExtent l="0" t="0" r="13335" b="15240"/>
                <wp:wrapTight wrapText="bothSides">
                  <wp:wrapPolygon edited="0">
                    <wp:start x="0" y="0"/>
                    <wp:lineTo x="0" y="21522"/>
                    <wp:lineTo x="21557" y="21522"/>
                    <wp:lineTo x="21557" y="0"/>
                    <wp:lineTo x="0" y="0"/>
                  </wp:wrapPolygon>
                </wp:wrapTight>
                <wp:docPr id="199603718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44745" cy="1051560"/>
                        </a:xfrm>
                        <a:prstGeom prst="rect">
                          <a:avLst/>
                        </a:prstGeom>
                        <a:solidFill>
                          <a:srgbClr val="4472C4">
                            <a:lumMod val="50000"/>
                          </a:srgbClr>
                        </a:solidFill>
                        <a:ln w="9525">
                          <a:solidFill>
                            <a:srgbClr val="000000"/>
                          </a:solidFill>
                          <a:miter lim="800000"/>
                        </a:ln>
                      </wps:spPr>
                      <wps:txbx>
                        <w:txbxContent>
                          <w:p w14:paraId="3664D7F0" w14:textId="77777777" w:rsidR="00EA5678" w:rsidRPr="00BE13A2" w:rsidRDefault="00215138" w:rsidP="00BE13A2">
                            <w:pPr>
                              <w:spacing w:afterLines="50" w:after="120" w:line="340" w:lineRule="atLeast"/>
                              <w:jc w:val="center"/>
                              <w:rPr>
                                <w:rFonts w:hAnsi="SimSun"/>
                              </w:rPr>
                            </w:pPr>
                            <w:r w:rsidRPr="00BE13A2">
                              <w:rPr>
                                <w:rFonts w:hAnsi="SimSun"/>
                              </w:rPr>
                              <w:t>“没有使知识产权更具战略性的机构政策。有很好的文件，但没有足够的资源来实施。”</w:t>
                            </w:r>
                          </w:p>
                          <w:p w14:paraId="55BCD2ED" w14:textId="46A0387B" w:rsidR="00EA5678" w:rsidRPr="00BE13A2" w:rsidRDefault="00215138" w:rsidP="00BE13A2">
                            <w:pPr>
                              <w:spacing w:afterLines="50" w:after="120" w:line="340" w:lineRule="atLeast"/>
                              <w:jc w:val="center"/>
                              <w:rPr>
                                <w:rFonts w:hAnsi="SimSun"/>
                              </w:rPr>
                            </w:pPr>
                            <w:r w:rsidRPr="00BE13A2">
                              <w:rPr>
                                <w:rFonts w:hAnsi="SimSun"/>
                              </w:rPr>
                              <w:t>成员国</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48E298B" id="_x0000_s1043" type="#_x0000_t202" style="position:absolute;left:0;text-align:left;margin-left:310.05pt;margin-top:425.3pt;width:224pt;height:82.8pt;z-index:-25164697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" fillcolor="#203864">
                <v:textbox>
                  <w:txbxContent>
                    <w:p w14:paraId="3664D7F0" w14:textId="77777777" w:rsidR="00EA5678" w:rsidRPr="00BE13A2" w:rsidRDefault="00215138" w:rsidP="00BE13A2">
                      <w:pPr>
                        <w:spacing w:afterLines="50" w:after="120" w:line="340" w:lineRule="atLeast"/>
                        <w:jc w:val="center"/>
                        <w:rPr>
                          <w:rFonts w:hAnsi="SimSun"/>
                        </w:rPr>
                      </w:pPr>
                      <w:r w:rsidRPr="00BE13A2">
                        <w:rPr>
                          <w:rFonts w:hAnsi="SimSun"/>
                        </w:rPr>
                        <w:t>“没有使知识产权更具战略性的机构政策。有很好的文件，但没有足够的资源来实施。”</w:t>
                      </w:r>
                    </w:p>
                    <w:p w14:paraId="55BCD2ED" w14:textId="46A0387B" w:rsidR="00EA5678" w:rsidRPr="00BE13A2" w:rsidRDefault="00215138" w:rsidP="00BE13A2">
                      <w:pPr>
                        <w:spacing w:afterLines="50" w:after="120" w:line="340" w:lineRule="atLeast"/>
                        <w:jc w:val="center"/>
                        <w:rPr>
                          <w:rFonts w:hAnsi="SimSun"/>
                        </w:rPr>
                      </w:pPr>
                      <w:r w:rsidRPr="00BE13A2">
                        <w:rPr>
                          <w:rFonts w:hAnsi="SimSun"/>
                        </w:rPr>
                        <w:t>成员国</w:t>
                      </w:r>
                    </w:p>
                  </w:txbxContent>
                </v:textbox>
                <w10:wrap type="tight" anchorx="page" anchory="page"/>
              </v:shape>
            </w:pict>
          </mc:Fallback>
        </mc:AlternateContent>
      </w:r>
      <w:r w:rsidR="00215138" w:rsidRPr="00E23D52">
        <w:rPr>
          <w:rFonts w:ascii="KaiTi" w:eastAsia="KaiTi" w:hAnsi="KaiTi" w:cs="Arial" w:hint="eastAsia"/>
          <w:iCs/>
        </w:rPr>
        <w:t>尽管已经制定了大量的知识产权战略，但据咨询的成员国称，在实施这些战略方面仍存在许多挑战。</w:t>
      </w:r>
      <w:r w:rsidR="00215138" w:rsidRPr="00E775A9">
        <w:rPr>
          <w:rFonts w:hAnsi="SimSun" w:cs="Arial" w:hint="eastAsia"/>
        </w:rPr>
        <w:t>这可能是由以下若干因素造成的：a）成员国的当局更替；b）缺乏资源；c）缺乏部门部长的高级别支持和参与；d）知识产权局缺乏能力。在与参与国家知识产权战略设计的顾问进行的焦点小组讨论中，这一数据也得到了加强，他们报告称，这些战略的实施不足，对其实施的监测有限，产权组织高级工作人员进一步报告了这一情况。在起草国家知识产权战略的过程中，将成立一个国家委员会，但该委员会并不总是拥有推动战略前进所需的权力。</w:t>
      </w:r>
    </w:p>
    <w:p w14:paraId="5F2FC270" w14:textId="0A873626" w:rsidR="00EA5678" w:rsidRPr="00E23D52" w:rsidRDefault="00215138" w:rsidP="00FC573E">
      <w:pPr>
        <w:keepNext/>
        <w:spacing w:afterLines="50" w:after="120" w:line="340" w:lineRule="atLeast"/>
        <w:rPr>
          <w:rFonts w:ascii="KaiTi" w:eastAsia="KaiTi" w:hAnsi="KaiTi" w:cs="Arial"/>
          <w:b/>
          <w:iCs/>
        </w:rPr>
      </w:pPr>
      <w:r w:rsidRPr="00E23D52">
        <w:rPr>
          <w:rFonts w:ascii="KaiTi" w:eastAsia="KaiTi" w:hAnsi="KaiTi" w:cs="Arial" w:hint="eastAsia"/>
          <w:b/>
          <w:iCs/>
        </w:rPr>
        <w:t>政策和立法援助以及知识产权生态系统得到加强——伙伴关系、立法、对话</w:t>
      </w:r>
    </w:p>
    <w:p w14:paraId="46432AB0" w14:textId="0035047C" w:rsidR="00EA5678" w:rsidRPr="00E775A9" w:rsidRDefault="00215138" w:rsidP="00C259B0">
      <w:pPr>
        <w:pStyle w:val="ListParagraph"/>
        <w:numPr>
          <w:ilvl w:val="0"/>
          <w:numId w:val="3"/>
        </w:numPr>
        <w:spacing w:after="120"/>
        <w:ind w:left="0" w:firstLine="0"/>
        <w:rPr>
          <w:rFonts w:hAnsi="SimSun" w:cs="Arial"/>
          <w:color w:val="2F5496" w:themeColor="accent1" w:themeShade="BF"/>
          <w:sz w:val="20"/>
          <w:szCs w:val="20"/>
        </w:rPr>
      </w:pPr>
      <w:r w:rsidRPr="00E23D52">
        <w:rPr>
          <w:rFonts w:ascii="KaiTi" w:eastAsia="KaiTi" w:hAnsi="KaiTi" w:cs="Arial" w:hint="eastAsia"/>
          <w:iCs/>
        </w:rPr>
        <w:t>正如在与成员国的访谈和调查中所报告的那样，产权组织关于立法援助的建议对成员国非常重要，有助于其</w:t>
      </w:r>
      <w:r w:rsidRPr="00E23D52">
        <w:rPr>
          <w:rFonts w:ascii="KaiTi" w:eastAsia="KaiTi" w:hAnsi="KaiTi" w:cs="Arial" w:hint="eastAsia"/>
        </w:rPr>
        <w:t>符合国际知识产权标准和议定书的要求。</w:t>
      </w:r>
      <w:r w:rsidRPr="00E775A9">
        <w:rPr>
          <w:rFonts w:hAnsi="SimSun" w:cs="Arial" w:hint="eastAsia"/>
        </w:rPr>
        <w:t>事实上，政策和立法援助是产权组织职能的重要组成部分，旨在支持成员国制定和实施符合国际标准的知识产权法律法规及其国家发展政策。</w:t>
      </w:r>
      <w:r w:rsidRPr="00E775A9">
        <w:rPr>
          <w:rFonts w:hAnsi="SimSun" w:cs="Arial" w:hint="eastAsia"/>
          <w:vertAlign w:val="superscript"/>
        </w:rPr>
        <w:footnoteReference w:id="7"/>
      </w:r>
      <w:r w:rsidRPr="00E23D52">
        <w:rPr>
          <w:rFonts w:ascii="KaiTi" w:eastAsia="KaiTi" w:hAnsi="KaiTi" w:cs="Arial" w:hint="eastAsia"/>
          <w:iCs/>
        </w:rPr>
        <w:t>立法援助具有保密性，因此没有披露有关援助及其结果的具体数据。</w:t>
      </w:r>
      <w:r w:rsidRPr="00E775A9">
        <w:rPr>
          <w:rFonts w:hAnsi="SimSun" w:cs="Arial" w:hint="eastAsia"/>
        </w:rPr>
        <w:t>支持可能包括修订现有立法或制定新的法律或法规。审查一个国家的立法框架是一个漫长的过程，对结果的跟踪有限。直到若干年后才推出新的法律，因此结果指示的内容较为宽泛：接受立法建议的国家数量和对所提供服务的满意度。在政策和立法推出后，每个成员国都有责任跟进其实施情况。图4显示，2022年版权法（29）咨询的需求最高，其次是专利法（17）、商标法（7）、树立尊重知识产权风尚（6）和传统知识（1），其中拉丁美洲和加勒比地区的需求最高，其次是非洲和东盟</w:t>
      </w:r>
      <w:r w:rsidRPr="00E775A9">
        <w:rPr>
          <w:rFonts w:hAnsi="SimSun" w:cs="Arial" w:hint="eastAsia"/>
          <w:sz w:val="24"/>
          <w:szCs w:val="24"/>
        </w:rPr>
        <w:t>。</w:t>
      </w:r>
      <w:bookmarkStart w:id="307" w:name="_Toc177474715"/>
    </w:p>
    <w:p w14:paraId="19C98046" w14:textId="3E525FDD" w:rsidR="00EA5678" w:rsidRPr="00E775A9" w:rsidRDefault="00215138" w:rsidP="00FA22D5">
      <w:pPr>
        <w:spacing w:afterLines="50" w:after="120" w:line="340" w:lineRule="atLeast"/>
        <w:jc w:val="center"/>
        <w:rPr>
          <w:rFonts w:hAnsi="SimSun" w:cs="Arial"/>
          <w:color w:val="2F5496" w:themeColor="accent1" w:themeShade="BF"/>
          <w:sz w:val="20"/>
          <w:szCs w:val="20"/>
        </w:rPr>
      </w:pPr>
      <w:r w:rsidRPr="00E775A9">
        <w:rPr>
          <w:rFonts w:hAnsi="SimSun" w:cs="Arial" w:hint="eastAsia"/>
          <w:color w:val="2F5496" w:themeColor="accent1" w:themeShade="BF"/>
          <w:sz w:val="20"/>
          <w:szCs w:val="20"/>
        </w:rPr>
        <w:t>图</w:t>
      </w:r>
      <w:r w:rsidRPr="00E775A9">
        <w:rPr>
          <w:rFonts w:hAnsi="SimSun" w:cs="Arial" w:hint="eastAsia"/>
          <w:color w:val="2F5496" w:themeColor="accent1" w:themeShade="BF"/>
          <w:sz w:val="20"/>
          <w:szCs w:val="20"/>
        </w:rPr>
        <w:fldChar w:fldCharType="begin"/>
      </w:r>
      <w:r w:rsidRPr="00E775A9">
        <w:rPr>
          <w:rFonts w:hAnsi="SimSun" w:cs="Arial" w:hint="eastAsia"/>
          <w:color w:val="2F5496" w:themeColor="accent1" w:themeShade="BF"/>
          <w:sz w:val="20"/>
          <w:szCs w:val="20"/>
        </w:rPr>
        <w:instrText xml:space="preserve"> SEQ Figure \* ARABIC </w:instrText>
      </w:r>
      <w:r w:rsidRPr="00E775A9">
        <w:rPr>
          <w:rFonts w:hAnsi="SimSun" w:cs="Arial" w:hint="eastAsia"/>
          <w:color w:val="2F5496" w:themeColor="accent1" w:themeShade="BF"/>
          <w:sz w:val="20"/>
          <w:szCs w:val="20"/>
        </w:rPr>
        <w:fldChar w:fldCharType="separate"/>
      </w:r>
      <w:r w:rsidR="00AA5A99">
        <w:rPr>
          <w:rFonts w:hAnsi="SimSun" w:cs="Arial"/>
          <w:noProof/>
          <w:color w:val="2F5496" w:themeColor="accent1" w:themeShade="BF"/>
          <w:sz w:val="20"/>
          <w:szCs w:val="20"/>
        </w:rPr>
        <w:t>4</w:t>
      </w:r>
      <w:r w:rsidRPr="00E775A9">
        <w:rPr>
          <w:rFonts w:hAnsi="SimSun" w:cs="Arial" w:hint="eastAsia"/>
          <w:color w:val="2F5496" w:themeColor="accent1" w:themeShade="BF"/>
          <w:sz w:val="20"/>
          <w:szCs w:val="20"/>
        </w:rPr>
        <w:fldChar w:fldCharType="end"/>
      </w:r>
      <w:r w:rsidRPr="00E775A9">
        <w:rPr>
          <w:rFonts w:hAnsi="SimSun" w:cs="Arial" w:hint="eastAsia"/>
          <w:color w:val="2F5496" w:themeColor="accent1" w:themeShade="BF"/>
          <w:sz w:val="20"/>
          <w:szCs w:val="20"/>
        </w:rPr>
        <w:t>.2022年按地区分列的立法建议地理分布</w:t>
      </w:r>
      <w:bookmarkEnd w:id="307"/>
    </w:p>
    <w:p w14:paraId="624ACB34" w14:textId="34C0471A" w:rsidR="00EA5678" w:rsidRPr="00E775A9" w:rsidRDefault="00215138" w:rsidP="004436B0">
      <w:pPr>
        <w:spacing w:after="0" w:line="240" w:lineRule="auto"/>
        <w:jc w:val="center"/>
        <w:rPr>
          <w:rFonts w:hAnsi="SimSun" w:cs="Arial"/>
          <w:sz w:val="24"/>
          <w:szCs w:val="24"/>
        </w:rPr>
      </w:pPr>
      <w:r w:rsidRPr="00E775A9">
        <w:rPr>
          <w:rFonts w:hAnsi="SimSun" w:cs="Arial" w:hint="eastAsia"/>
          <w:noProof/>
          <w:sz w:val="24"/>
          <w:szCs w:val="24"/>
        </w:rPr>
        <w:drawing>
          <wp:inline distT="0" distB="0" distL="0" distR="0" wp14:anchorId="08827429" wp14:editId="0FAEFF98">
            <wp:extent cx="4406900" cy="2130425"/>
            <wp:effectExtent l="0" t="0" r="0" b="3175"/>
            <wp:docPr id="1398881183" name="Imagem 1" descr="Figure 4. Geographical breakdown of Legislative Advice by area, 20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881183" name="Imagem 1" descr="Figure 4. Geographical breakdown of Legislative Advice by area, 2022."/>
                    <pic:cNvPicPr>
                      <a:picLocks noChangeAspect="1"/>
                    </pic:cNvPicPr>
                  </pic:nvPicPr>
                  <pic:blipFill>
                    <a:blip r:embed="rId32"/>
                    <a:stretch>
                      <a:fillRect/>
                    </a:stretch>
                  </pic:blipFill>
                  <pic:spPr>
                    <a:xfrm>
                      <a:off x="0" y="0"/>
                      <a:ext cx="4407408" cy="2130552"/>
                    </a:xfrm>
                    <a:prstGeom prst="rect">
                      <a:avLst/>
                    </a:prstGeom>
                  </pic:spPr>
                </pic:pic>
              </a:graphicData>
            </a:graphic>
          </wp:inline>
        </w:drawing>
      </w:r>
    </w:p>
    <w:p w14:paraId="6A62788F" w14:textId="16ED8B53" w:rsidR="00EA5678" w:rsidRPr="00E775A9" w:rsidRDefault="00215138" w:rsidP="004436B0">
      <w:pPr>
        <w:spacing w:afterLines="50" w:after="120" w:line="240" w:lineRule="auto"/>
        <w:ind w:left="1588"/>
        <w:rPr>
          <w:rFonts w:hAnsi="SimSun" w:cs="Arial"/>
          <w:sz w:val="20"/>
          <w:szCs w:val="20"/>
        </w:rPr>
      </w:pPr>
      <w:r w:rsidRPr="00E775A9">
        <w:rPr>
          <w:rFonts w:hAnsi="SimSun" w:cs="Arial" w:hint="eastAsia"/>
          <w:sz w:val="20"/>
          <w:szCs w:val="20"/>
        </w:rPr>
        <w:t>来源：2022年产权组织绩效报告</w:t>
      </w:r>
    </w:p>
    <w:p w14:paraId="5EB7EAA7" w14:textId="3206B237" w:rsidR="00EA5678" w:rsidRPr="00E775A9" w:rsidRDefault="00562E68" w:rsidP="00C259B0">
      <w:pPr>
        <w:pStyle w:val="ListParagraph"/>
        <w:numPr>
          <w:ilvl w:val="0"/>
          <w:numId w:val="3"/>
        </w:numPr>
        <w:spacing w:after="120"/>
        <w:ind w:left="0" w:firstLine="0"/>
        <w:rPr>
          <w:rFonts w:hAnsi="SimSun" w:cs="Arial"/>
        </w:rPr>
      </w:pPr>
      <w:r>
        <w:rPr>
          <w:rFonts w:ascii="Arial" w:hAnsi="Arial" w:cs="Arial" w:hint="eastAsia"/>
          <w:i/>
          <w:iCs/>
          <w:noProof/>
        </w:rPr>
        <mc:AlternateContent>
          <mc:Choice Requires="wps">
            <w:drawing>
              <wp:anchor distT="45720" distB="45720" distL="114300" distR="114300" simplePos="0" relativeHeight="251675648" behindDoc="0" locked="0" layoutInCell="1" allowOverlap="1" wp14:anchorId="4790349F" wp14:editId="571CBF8A">
                <wp:simplePos x="0" y="0"/>
                <wp:positionH relativeFrom="margin">
                  <wp:posOffset>3660739</wp:posOffset>
                </wp:positionH>
                <wp:positionV relativeFrom="page">
                  <wp:posOffset>4920391</wp:posOffset>
                </wp:positionV>
                <wp:extent cx="2240280" cy="1167765"/>
                <wp:effectExtent l="0" t="0" r="7620" b="0"/>
                <wp:wrapSquare wrapText="bothSides"/>
                <wp:docPr id="14343725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0280" cy="1167765"/>
                        </a:xfrm>
                        <a:prstGeom prst="rect">
                          <a:avLst/>
                        </a:prstGeom>
                        <a:solidFill>
                          <a:srgbClr val="FFC000">
                            <a:lumMod val="60000"/>
                            <a:lumOff val="40000"/>
                          </a:srgbClr>
                        </a:solidFill>
                        <a:ln w="9525">
                          <a:noFill/>
                          <a:miter lim="800000"/>
                        </a:ln>
                      </wps:spPr>
                      <wps:txbx>
                        <w:txbxContent>
                          <w:p w14:paraId="0F7F7800" w14:textId="77777777" w:rsidR="00EA5678" w:rsidRDefault="00215138" w:rsidP="00562E68">
                            <w:pPr>
                              <w:spacing w:afterLines="50" w:after="120" w:line="340" w:lineRule="atLeast"/>
                              <w:jc w:val="both"/>
                            </w:pPr>
                            <w:r>
                              <w:t>审查结果10：正如在数据收集过程中报告的那样，产权组织关于立法援助的建议对成员国非常重要，有助于其符合国际知识产权标准和议定书的要求。</w:t>
                            </w: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4790349F" id="_x0000_s1044" type="#_x0000_t202" style="position:absolute;left:0;text-align:left;margin-left:288.25pt;margin-top:387.45pt;width:176.4pt;height:91.95pt;z-index:251675648;visibility:visible;mso-wrap-style:square;mso-height-percent:0;mso-wrap-distance-left:9pt;mso-wrap-distance-top:3.6pt;mso-wrap-distance-right:9pt;mso-wrap-distance-bottom:3.6pt;mso-position-horizontal:absolute;mso-position-horizontal-relative:margin;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" fillcolor="#ffd966" stroked="f">
                <v:textbox>
                  <w:txbxContent>
                    <w:p w14:paraId="0F7F7800" w14:textId="77777777" w:rsidR="00EA5678" w:rsidRDefault="00215138" w:rsidP="00562E68">
                      <w:pPr>
                        <w:spacing w:afterLines="50" w:after="120" w:line="340" w:lineRule="atLeast"/>
                        <w:jc w:val="both"/>
                      </w:pPr>
                      <w:r>
                        <w:t>审查结果10：正如在数据收集过程中报告的那样，产权组织关于立法援助的建议对成员国非常重要，有助于其符合国际知识产权标准和议定书的要求。</w:t>
                      </w:r>
                    </w:p>
                  </w:txbxContent>
                </v:textbox>
                <w10:wrap type="square" anchorx="margin" anchory="page"/>
              </v:shape>
            </w:pict>
          </mc:Fallback>
        </mc:AlternateContent>
      </w:r>
      <w:r w:rsidR="00215138" w:rsidRPr="00E23D52">
        <w:rPr>
          <w:rFonts w:ascii="KaiTi" w:eastAsia="KaiTi" w:hAnsi="KaiTi" w:cs="Arial" w:hint="eastAsia"/>
        </w:rPr>
        <w:t>产权组织</w:t>
      </w:r>
      <w:r w:rsidR="00215138" w:rsidRPr="00E775A9">
        <w:rPr>
          <w:rFonts w:hAnsi="SimSun" w:cs="Arial" w:hint="eastAsia"/>
        </w:rPr>
        <w:t>立法建议工作的一个相关特点是WIPO Lex。它是一个全球数据库，可免费访问来自约200个司法管辖区和组织的知识产权法律、条约和相关信息。其旨在收集和传播《世界知识产权组织公约》规定的知识产权保护信息。</w:t>
      </w:r>
      <w:r w:rsidR="00215138" w:rsidRPr="00E775A9">
        <w:rPr>
          <w:rStyle w:val="FootnoteReference"/>
          <w:rFonts w:hAnsi="SimSun" w:cs="Arial" w:hint="eastAsia"/>
        </w:rPr>
        <w:footnoteReference w:id="8"/>
      </w:r>
      <w:r w:rsidR="00215138" w:rsidRPr="00E775A9">
        <w:rPr>
          <w:rFonts w:hAnsi="SimSun" w:cs="Arial" w:hint="eastAsia"/>
        </w:rPr>
        <w:t>该数据库分为三部分：知识产权法律法规、产权组织管理的条约和知识产权判决（</w:t>
      </w:r>
      <w:r w:rsidR="00215138">
        <w:rPr>
          <w:rFonts w:hAnsi="SimSun" w:cs="SimSun" w:hint="eastAsia"/>
        </w:rPr>
        <w:t>“</w:t>
      </w:r>
      <w:r w:rsidR="00215138" w:rsidRPr="00E775A9">
        <w:rPr>
          <w:rFonts w:hAnsi="SimSun" w:cs="Arial" w:hint="eastAsia"/>
        </w:rPr>
        <w:t>截至2022年底，该部分涵盖了28个司法管辖区和1000多个可自由访问的知识产权法院判决</w:t>
      </w:r>
      <w:r w:rsidR="00215138">
        <w:rPr>
          <w:rFonts w:hAnsi="SimSun" w:cs="SimSun" w:hint="eastAsia"/>
        </w:rPr>
        <w:t>”</w:t>
      </w:r>
      <w:r w:rsidR="00215138" w:rsidRPr="00E775A9">
        <w:rPr>
          <w:rStyle w:val="FootnoteReference"/>
          <w:rFonts w:hAnsi="SimSun" w:cs="Arial" w:hint="eastAsia"/>
        </w:rPr>
        <w:footnoteReference w:id="9"/>
      </w:r>
      <w:r w:rsidR="00215138" w:rsidRPr="00E775A9">
        <w:rPr>
          <w:rFonts w:hAnsi="SimSun" w:cs="Arial" w:hint="eastAsia"/>
        </w:rPr>
        <w:t>）。用户可以按司法管辖区浏览或访问国家和区域知识产权立法、条约和判决。</w:t>
      </w:r>
    </w:p>
    <w:p w14:paraId="50B1E74D" w14:textId="77777777" w:rsidR="00EA5678" w:rsidRPr="00E775A9" w:rsidRDefault="00215138" w:rsidP="00C259B0">
      <w:pPr>
        <w:pStyle w:val="ListParagraph"/>
        <w:numPr>
          <w:ilvl w:val="0"/>
          <w:numId w:val="3"/>
        </w:numPr>
        <w:spacing w:after="120"/>
        <w:ind w:left="0" w:firstLine="0"/>
        <w:rPr>
          <w:rFonts w:hAnsi="SimSun" w:cs="Arial"/>
          <w:sz w:val="24"/>
          <w:szCs w:val="24"/>
        </w:rPr>
      </w:pPr>
      <w:r w:rsidRPr="00E775A9">
        <w:rPr>
          <w:rFonts w:hAnsi="SimSun" w:cs="Arial" w:hint="eastAsia"/>
        </w:rPr>
        <w:t>在调查期结束时（2022年），WIPO Lex的绩效数据显示，实际独立访客量（784,602）低于基线（976,714）和目标（1,172,057）。</w:t>
      </w:r>
      <w:r w:rsidRPr="00E775A9">
        <w:rPr>
          <w:rStyle w:val="FootnoteReference"/>
          <w:rFonts w:hAnsi="SimSun" w:cs="Arial" w:hint="eastAsia"/>
        </w:rPr>
        <w:footnoteReference w:id="10"/>
      </w:r>
      <w:r w:rsidRPr="00E775A9">
        <w:rPr>
          <w:rFonts w:hAnsi="SimSun" w:cs="Arial" w:hint="eastAsia"/>
        </w:rPr>
        <w:t>这表明，在两年期内增加20%独立访客量的目标没有实现。事实上，访客量较基线有所下降（见表5）。</w:t>
      </w:r>
      <w:r w:rsidRPr="00E775A9">
        <w:rPr>
          <w:rStyle w:val="FootnoteReference"/>
          <w:rFonts w:hAnsi="SimSun" w:cs="Arial" w:hint="eastAsia"/>
          <w:sz w:val="24"/>
          <w:szCs w:val="24"/>
        </w:rPr>
        <w:footnoteReference w:id="11"/>
      </w:r>
    </w:p>
    <w:p w14:paraId="54035E9F" w14:textId="27EDBA97" w:rsidR="00EA5678" w:rsidRPr="00E775A9" w:rsidRDefault="00215138" w:rsidP="00FA22D5">
      <w:pPr>
        <w:spacing w:afterLines="50" w:after="120" w:line="340" w:lineRule="atLeast"/>
        <w:jc w:val="center"/>
        <w:rPr>
          <w:rFonts w:hAnsi="SimSun" w:cs="Arial"/>
          <w:color w:val="2F5496" w:themeColor="accent1" w:themeShade="BF"/>
          <w:sz w:val="20"/>
          <w:szCs w:val="20"/>
        </w:rPr>
      </w:pPr>
      <w:bookmarkStart w:id="308" w:name="_Toc177325681"/>
      <w:r w:rsidRPr="00E775A9">
        <w:rPr>
          <w:rFonts w:hAnsi="SimSun" w:cs="Arial" w:hint="eastAsia"/>
          <w:color w:val="2F5496" w:themeColor="accent1" w:themeShade="BF"/>
          <w:sz w:val="20"/>
          <w:szCs w:val="20"/>
        </w:rPr>
        <w:t>表</w:t>
      </w:r>
      <w:r w:rsidRPr="00E775A9">
        <w:rPr>
          <w:rFonts w:hAnsi="SimSun" w:cs="Arial" w:hint="eastAsia"/>
          <w:color w:val="2F5496" w:themeColor="accent1" w:themeShade="BF"/>
          <w:sz w:val="20"/>
          <w:szCs w:val="20"/>
        </w:rPr>
        <w:fldChar w:fldCharType="begin"/>
      </w:r>
      <w:r w:rsidRPr="00E775A9">
        <w:rPr>
          <w:rFonts w:hAnsi="SimSun" w:cs="Arial" w:hint="eastAsia"/>
          <w:color w:val="2F5496" w:themeColor="accent1" w:themeShade="BF"/>
          <w:sz w:val="20"/>
          <w:szCs w:val="20"/>
        </w:rPr>
        <w:instrText xml:space="preserve"> SEQ Table \* ARABIC </w:instrText>
      </w:r>
      <w:r w:rsidRPr="00E775A9">
        <w:rPr>
          <w:rFonts w:hAnsi="SimSun" w:cs="Arial" w:hint="eastAsia"/>
          <w:color w:val="2F5496" w:themeColor="accent1" w:themeShade="BF"/>
          <w:sz w:val="20"/>
          <w:szCs w:val="20"/>
        </w:rPr>
        <w:fldChar w:fldCharType="separate"/>
      </w:r>
      <w:r w:rsidR="00AA5A99">
        <w:rPr>
          <w:rFonts w:hAnsi="SimSun" w:cs="Arial"/>
          <w:noProof/>
          <w:color w:val="2F5496" w:themeColor="accent1" w:themeShade="BF"/>
          <w:sz w:val="20"/>
          <w:szCs w:val="20"/>
        </w:rPr>
        <w:t>5</w:t>
      </w:r>
      <w:r w:rsidRPr="00E775A9">
        <w:rPr>
          <w:rFonts w:hAnsi="SimSun" w:cs="Arial" w:hint="eastAsia"/>
          <w:color w:val="2F5496" w:themeColor="accent1" w:themeShade="BF"/>
          <w:sz w:val="20"/>
          <w:szCs w:val="20"/>
        </w:rPr>
        <w:fldChar w:fldCharType="end"/>
      </w:r>
      <w:r w:rsidRPr="00E775A9">
        <w:rPr>
          <w:rFonts w:hAnsi="SimSun" w:cs="Arial" w:hint="eastAsia"/>
          <w:color w:val="2F5496" w:themeColor="accent1" w:themeShade="BF"/>
          <w:sz w:val="20"/>
          <w:szCs w:val="20"/>
        </w:rPr>
        <w:t>.2022年WIPO Lex绩效指标</w:t>
      </w:r>
      <w:bookmarkEnd w:id="308"/>
    </w:p>
    <w:tbl>
      <w:tblPr>
        <w:tblStyle w:val="TabeladeGrade5Escura-nfase51"/>
        <w:tblW w:w="8737" w:type="dxa"/>
        <w:tblInd w:w="279" w:type="dxa"/>
        <w:tblLayout w:type="fixed"/>
        <w:tblLook w:val="04A0" w:firstRow="1" w:lastRow="0" w:firstColumn="1" w:lastColumn="0" w:noHBand="0" w:noVBand="1"/>
      </w:tblPr>
      <w:tblGrid>
        <w:gridCol w:w="2819"/>
        <w:gridCol w:w="1121"/>
        <w:gridCol w:w="2455"/>
        <w:gridCol w:w="2342"/>
      </w:tblGrid>
      <w:tr w:rsidR="00EA5678" w:rsidRPr="00E775A9" w14:paraId="1FF8B0C6" w14:textId="77777777" w:rsidTr="00EA567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819" w:type="dxa"/>
          </w:tcPr>
          <w:p w14:paraId="2051D7F3" w14:textId="77777777" w:rsidR="00EA5678" w:rsidRPr="00E775A9" w:rsidRDefault="00215138">
            <w:pPr>
              <w:spacing w:line="240" w:lineRule="auto"/>
              <w:rPr>
                <w:rFonts w:cs="Arial"/>
                <w:b w:val="0"/>
                <w:bCs w:val="0"/>
                <w:lang w:eastAsia="zh-CN"/>
              </w:rPr>
            </w:pPr>
            <w:r w:rsidRPr="00E775A9">
              <w:rPr>
                <w:rFonts w:cs="Arial" w:hint="eastAsia"/>
                <w:lang w:eastAsia="zh-CN"/>
              </w:rPr>
              <w:t>绩效指标</w:t>
            </w:r>
          </w:p>
        </w:tc>
        <w:tc>
          <w:tcPr>
            <w:tcW w:w="1121" w:type="dxa"/>
          </w:tcPr>
          <w:p w14:paraId="7ED6451D" w14:textId="77777777" w:rsidR="00EA5678" w:rsidRPr="00E775A9" w:rsidRDefault="00215138">
            <w:pPr>
              <w:spacing w:line="240" w:lineRule="auto"/>
              <w:cnfStyle w:val="100000000000" w:firstRow="1" w:lastRow="0" w:firstColumn="0" w:lastColumn="0" w:oddVBand="0" w:evenVBand="0" w:oddHBand="0" w:evenHBand="0" w:firstRowFirstColumn="0" w:firstRowLastColumn="0" w:lastRowFirstColumn="0" w:lastRowLastColumn="0"/>
              <w:rPr>
                <w:rFonts w:cs="Arial"/>
                <w:b w:val="0"/>
                <w:bCs w:val="0"/>
                <w:lang w:eastAsia="zh-CN"/>
              </w:rPr>
            </w:pPr>
            <w:r w:rsidRPr="00E775A9">
              <w:rPr>
                <w:rFonts w:cs="Arial" w:hint="eastAsia"/>
                <w:lang w:eastAsia="zh-CN"/>
              </w:rPr>
              <w:t>基线</w:t>
            </w:r>
          </w:p>
        </w:tc>
        <w:tc>
          <w:tcPr>
            <w:tcW w:w="2455" w:type="dxa"/>
          </w:tcPr>
          <w:p w14:paraId="7D266071" w14:textId="77777777" w:rsidR="00EA5678" w:rsidRPr="00E775A9" w:rsidRDefault="00215138">
            <w:pPr>
              <w:spacing w:line="240" w:lineRule="auto"/>
              <w:cnfStyle w:val="100000000000" w:firstRow="1" w:lastRow="0" w:firstColumn="0" w:lastColumn="0" w:oddVBand="0" w:evenVBand="0" w:oddHBand="0" w:evenHBand="0" w:firstRowFirstColumn="0" w:firstRowLastColumn="0" w:lastRowFirstColumn="0" w:lastRowLastColumn="0"/>
              <w:rPr>
                <w:rFonts w:cs="Arial"/>
                <w:b w:val="0"/>
                <w:bCs w:val="0"/>
                <w:lang w:eastAsia="zh-CN"/>
              </w:rPr>
            </w:pPr>
            <w:r w:rsidRPr="00E775A9">
              <w:rPr>
                <w:rFonts w:cs="Arial" w:hint="eastAsia"/>
                <w:lang w:eastAsia="zh-CN"/>
              </w:rPr>
              <w:t>目标</w:t>
            </w:r>
          </w:p>
        </w:tc>
        <w:tc>
          <w:tcPr>
            <w:tcW w:w="2342" w:type="dxa"/>
          </w:tcPr>
          <w:p w14:paraId="444ED972" w14:textId="77777777" w:rsidR="00EA5678" w:rsidRPr="00E775A9" w:rsidRDefault="00215138">
            <w:pPr>
              <w:spacing w:line="240" w:lineRule="auto"/>
              <w:cnfStyle w:val="100000000000" w:firstRow="1" w:lastRow="0" w:firstColumn="0" w:lastColumn="0" w:oddVBand="0" w:evenVBand="0" w:oddHBand="0" w:evenHBand="0" w:firstRowFirstColumn="0" w:firstRowLastColumn="0" w:lastRowFirstColumn="0" w:lastRowLastColumn="0"/>
              <w:rPr>
                <w:rFonts w:cs="Arial"/>
                <w:b w:val="0"/>
                <w:bCs w:val="0"/>
                <w:lang w:eastAsia="zh-CN"/>
              </w:rPr>
            </w:pPr>
            <w:r w:rsidRPr="00E775A9">
              <w:rPr>
                <w:rFonts w:cs="Arial" w:hint="eastAsia"/>
                <w:lang w:eastAsia="zh-CN"/>
              </w:rPr>
              <w:t>绩效数据</w:t>
            </w:r>
          </w:p>
        </w:tc>
      </w:tr>
      <w:tr w:rsidR="00EA5678" w:rsidRPr="00E775A9" w14:paraId="041B6D83" w14:textId="77777777" w:rsidTr="00EA5678">
        <w:tc>
          <w:tcPr>
            <w:cnfStyle w:val="001000000000" w:firstRow="0" w:lastRow="0" w:firstColumn="1" w:lastColumn="0" w:oddVBand="0" w:evenVBand="0" w:oddHBand="0" w:evenHBand="0" w:firstRowFirstColumn="0" w:firstRowLastColumn="0" w:lastRowFirstColumn="0" w:lastRowLastColumn="0"/>
            <w:tcW w:w="2819" w:type="dxa"/>
          </w:tcPr>
          <w:p w14:paraId="22A264E9" w14:textId="0AE39DA2" w:rsidR="00EA5678" w:rsidRPr="00E775A9" w:rsidRDefault="00215138">
            <w:pPr>
              <w:spacing w:line="240" w:lineRule="auto"/>
              <w:rPr>
                <w:rFonts w:cs="Arial"/>
                <w:b w:val="0"/>
                <w:bCs w:val="0"/>
                <w:lang w:eastAsia="zh-CN"/>
              </w:rPr>
            </w:pPr>
            <w:r w:rsidRPr="00E775A9">
              <w:rPr>
                <w:rFonts w:cs="Arial" w:hint="eastAsia"/>
                <w:lang w:eastAsia="zh-CN"/>
              </w:rPr>
              <w:t>WIPO Lex的独立访客量</w:t>
            </w:r>
          </w:p>
        </w:tc>
        <w:tc>
          <w:tcPr>
            <w:tcW w:w="1121" w:type="dxa"/>
            <w:shd w:val="clear" w:color="auto" w:fill="BDD6EE" w:themeFill="accent5" w:themeFillTint="66"/>
          </w:tcPr>
          <w:p w14:paraId="4B061556" w14:textId="77777777" w:rsidR="00EA5678" w:rsidRPr="00E775A9" w:rsidRDefault="00215138">
            <w:pPr>
              <w:spacing w:line="240" w:lineRule="auto"/>
              <w:cnfStyle w:val="000000000000" w:firstRow="0" w:lastRow="0" w:firstColumn="0" w:lastColumn="0" w:oddVBand="0" w:evenVBand="0" w:oddHBand="0" w:evenHBand="0" w:firstRowFirstColumn="0" w:firstRowLastColumn="0" w:lastRowFirstColumn="0" w:lastRowLastColumn="0"/>
              <w:rPr>
                <w:rFonts w:cs="Arial"/>
                <w:lang w:eastAsia="zh-CN"/>
              </w:rPr>
            </w:pPr>
            <w:r w:rsidRPr="00E775A9">
              <w:rPr>
                <w:rFonts w:cs="Arial" w:hint="eastAsia"/>
                <w:lang w:eastAsia="zh-CN"/>
              </w:rPr>
              <w:t>976,714</w:t>
            </w:r>
          </w:p>
        </w:tc>
        <w:tc>
          <w:tcPr>
            <w:tcW w:w="2455" w:type="dxa"/>
            <w:shd w:val="clear" w:color="auto" w:fill="BDD6EE" w:themeFill="accent5" w:themeFillTint="66"/>
          </w:tcPr>
          <w:p w14:paraId="436D6427" w14:textId="77777777" w:rsidR="00EA5678" w:rsidRPr="00E775A9" w:rsidRDefault="00215138">
            <w:pPr>
              <w:spacing w:line="240" w:lineRule="auto"/>
              <w:cnfStyle w:val="000000000000" w:firstRow="0" w:lastRow="0" w:firstColumn="0" w:lastColumn="0" w:oddVBand="0" w:evenVBand="0" w:oddHBand="0" w:evenHBand="0" w:firstRowFirstColumn="0" w:firstRowLastColumn="0" w:lastRowFirstColumn="0" w:lastRowLastColumn="0"/>
              <w:rPr>
                <w:rFonts w:cs="Arial"/>
                <w:lang w:eastAsia="zh-CN"/>
              </w:rPr>
            </w:pPr>
            <w:r w:rsidRPr="00E775A9">
              <w:rPr>
                <w:rFonts w:cs="Arial" w:hint="eastAsia"/>
                <w:lang w:eastAsia="zh-CN"/>
              </w:rPr>
              <w:t>20%增长（两年期）</w:t>
            </w:r>
          </w:p>
        </w:tc>
        <w:tc>
          <w:tcPr>
            <w:tcW w:w="2342" w:type="dxa"/>
            <w:shd w:val="clear" w:color="auto" w:fill="BDD6EE" w:themeFill="accent5" w:themeFillTint="66"/>
          </w:tcPr>
          <w:p w14:paraId="56A7F2D3" w14:textId="77777777" w:rsidR="00EA5678" w:rsidRPr="00E775A9" w:rsidRDefault="00215138">
            <w:pPr>
              <w:spacing w:line="240" w:lineRule="auto"/>
              <w:cnfStyle w:val="000000000000" w:firstRow="0" w:lastRow="0" w:firstColumn="0" w:lastColumn="0" w:oddVBand="0" w:evenVBand="0" w:oddHBand="0" w:evenHBand="0" w:firstRowFirstColumn="0" w:firstRowLastColumn="0" w:lastRowFirstColumn="0" w:lastRowLastColumn="0"/>
              <w:rPr>
                <w:rFonts w:cs="Arial"/>
                <w:lang w:eastAsia="zh-CN"/>
              </w:rPr>
            </w:pPr>
            <w:r w:rsidRPr="00E775A9">
              <w:rPr>
                <w:rFonts w:cs="Arial" w:hint="eastAsia"/>
                <w:lang w:eastAsia="zh-CN"/>
              </w:rPr>
              <w:t>784,602</w:t>
            </w:r>
          </w:p>
        </w:tc>
      </w:tr>
    </w:tbl>
    <w:p w14:paraId="2B44DA70" w14:textId="77777777" w:rsidR="00EA5678" w:rsidRPr="00E775A9" w:rsidRDefault="00215138" w:rsidP="00C259B0">
      <w:pPr>
        <w:pStyle w:val="ListParagraph"/>
        <w:numPr>
          <w:ilvl w:val="0"/>
          <w:numId w:val="3"/>
        </w:numPr>
        <w:spacing w:after="120"/>
        <w:ind w:left="0" w:firstLine="0"/>
        <w:rPr>
          <w:rFonts w:hAnsi="SimSun" w:cs="Arial"/>
        </w:rPr>
      </w:pPr>
      <w:r>
        <w:rPr>
          <w:rFonts w:ascii="Arial" w:hAnsi="Arial" w:cs="Arial" w:hint="eastAsia"/>
          <w:noProof/>
        </w:rPr>
        <mc:AlternateContent>
          <mc:Choice Requires="wps">
            <w:drawing>
              <wp:anchor distT="45720" distB="45720" distL="114300" distR="114300" simplePos="0" relativeHeight="251689984" behindDoc="0" locked="0" layoutInCell="1" allowOverlap="1" wp14:anchorId="5DE0DA2C" wp14:editId="421CD83B">
                <wp:simplePos x="0" y="0"/>
                <wp:positionH relativeFrom="margin">
                  <wp:posOffset>3573351</wp:posOffset>
                </wp:positionH>
                <wp:positionV relativeFrom="page">
                  <wp:posOffset>1113790</wp:posOffset>
                </wp:positionV>
                <wp:extent cx="2279650" cy="1247775"/>
                <wp:effectExtent l="0" t="0" r="24130" b="28575"/>
                <wp:wrapSquare wrapText="bothSides"/>
                <wp:docPr id="192515309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79650" cy="1247775"/>
                        </a:xfrm>
                        <a:prstGeom prst="rect">
                          <a:avLst/>
                        </a:prstGeom>
                        <a:solidFill>
                          <a:srgbClr val="002060"/>
                        </a:solidFill>
                        <a:ln w="9525">
                          <a:solidFill>
                            <a:srgbClr val="000000"/>
                          </a:solidFill>
                          <a:miter lim="800000"/>
                        </a:ln>
                      </wps:spPr>
                      <wps:txbx>
                        <w:txbxContent>
                          <w:p w14:paraId="226DFCCD" w14:textId="77777777" w:rsidR="00EA5678" w:rsidRPr="00562E68" w:rsidRDefault="00215138" w:rsidP="00562E68">
                            <w:pPr>
                              <w:spacing w:afterLines="50" w:after="120" w:line="340" w:lineRule="atLeast"/>
                              <w:jc w:val="center"/>
                              <w:rPr>
                                <w:rFonts w:hAnsi="SimSun"/>
                              </w:rPr>
                            </w:pPr>
                            <w:r w:rsidRPr="00562E68">
                              <w:rPr>
                                <w:rFonts w:hAnsi="SimSun"/>
                              </w:rPr>
                              <w:t>“我看到态势发生了巨大变化。这些项目刺激了态势系统。产权组织拥有优秀的人才。我们对合作感到满意。”</w:t>
                            </w:r>
                          </w:p>
                          <w:p w14:paraId="70880DD3" w14:textId="77777777" w:rsidR="00EA5678" w:rsidRPr="00562E68" w:rsidRDefault="00215138" w:rsidP="00562E68">
                            <w:pPr>
                              <w:spacing w:afterLines="50" w:after="120" w:line="340" w:lineRule="atLeast"/>
                              <w:jc w:val="center"/>
                              <w:rPr>
                                <w:rFonts w:hAnsi="SimSun"/>
                              </w:rPr>
                            </w:pPr>
                            <w:r w:rsidRPr="00562E68">
                              <w:rPr>
                                <w:rFonts w:hAnsi="SimSun"/>
                              </w:rPr>
                              <w:t>成员国</w:t>
                            </w:r>
                          </w:p>
                        </w:txbxContent>
                      </wps:txbx>
                      <wps:bodyPr rot="0" vert="horz" wrap="square" lIns="91440" tIns="45720" rIns="91440" bIns="45720" anchor="t" anchorCtr="0">
                        <a:noAutofit/>
                      </wps:bodyPr>
                    </wps:wsp>
                  </a:graphicData>
                </a:graphic>
                <wp14:sizeRelH relativeFrom="margin">
                  <wp14:pctWidth>40000</wp14:pctWidth>
                </wp14:sizeRelH>
                <wp14:sizeRelV relativeFrom="page">
                  <wp14:pctHeight>0</wp14:pctHeight>
                </wp14:sizeRelV>
              </wp:anchor>
            </w:drawing>
          </mc:Choice>
          <mc:Fallback>
            <w:pict>
              <v:shape w14:anchorId="5DE0DA2C" id="_x0000_s1045" type="#_x0000_t202" style="position:absolute;left:0;text-align:left;margin-left:281.35pt;margin-top:87.7pt;width:179.5pt;height:98.25pt;z-index:251689984;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page;mso-width-percent:40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" fillcolor="#002060">
                <v:textbox>
                  <w:txbxContent>
                    <w:p w14:paraId="226DFCCD" w14:textId="77777777" w:rsidR="00EA5678" w:rsidRPr="00562E68" w:rsidRDefault="00215138" w:rsidP="00562E68">
                      <w:pPr>
                        <w:spacing w:afterLines="50" w:after="120" w:line="340" w:lineRule="atLeast"/>
                        <w:jc w:val="center"/>
                        <w:rPr>
                          <w:rFonts w:hAnsi="SimSun"/>
                        </w:rPr>
                      </w:pPr>
                      <w:r w:rsidRPr="00562E68">
                        <w:rPr>
                          <w:rFonts w:hAnsi="SimSun"/>
                        </w:rPr>
                        <w:t>“我看到态势发生了巨大变化。这些项目刺激了态势系统。产权组织拥有优秀的人才。我们对合作感到满意。”</w:t>
                      </w:r>
                    </w:p>
                    <w:p w14:paraId="70880DD3" w14:textId="77777777" w:rsidR="00EA5678" w:rsidRPr="00562E68" w:rsidRDefault="00215138" w:rsidP="00562E68">
                      <w:pPr>
                        <w:spacing w:afterLines="50" w:after="120" w:line="340" w:lineRule="atLeast"/>
                        <w:jc w:val="center"/>
                        <w:rPr>
                          <w:rFonts w:hAnsi="SimSun"/>
                        </w:rPr>
                      </w:pPr>
                      <w:r w:rsidRPr="00562E68">
                        <w:rPr>
                          <w:rFonts w:hAnsi="SimSun"/>
                        </w:rPr>
                        <w:t>成员国</w:t>
                      </w:r>
                    </w:p>
                  </w:txbxContent>
                </v:textbox>
                <w10:wrap type="square" anchorx="margin" anchory="page"/>
              </v:shape>
            </w:pict>
          </mc:Fallback>
        </mc:AlternateContent>
      </w:r>
      <w:r w:rsidRPr="00E775A9">
        <w:rPr>
          <w:rFonts w:hAnsi="SimSun" w:cs="Arial" w:hint="eastAsia"/>
        </w:rPr>
        <w:t>在审查期间，产权组织还为准备毕业的最不发达国家提供了“毕业支持一揽子计划”。交付成果包括升级其国家知识产权体系，以在毕业后履行与知识产权相关的义务，同时使其能够利用知识产权和创新来实现与结构转型、提高生产能力、竞争力和经济多样化有关的毕业目标。</w:t>
      </w:r>
    </w:p>
    <w:p w14:paraId="0B7CB5BC" w14:textId="77777777" w:rsidR="00EA5678" w:rsidRPr="00E23D52" w:rsidRDefault="00215138" w:rsidP="00FC573E">
      <w:pPr>
        <w:keepNext/>
        <w:spacing w:afterLines="50" w:after="120" w:line="340" w:lineRule="atLeast"/>
        <w:rPr>
          <w:rFonts w:ascii="KaiTi" w:eastAsia="KaiTi" w:hAnsi="KaiTi" w:cs="Arial"/>
          <w:b/>
          <w:iCs/>
        </w:rPr>
      </w:pPr>
      <w:r w:rsidRPr="00E23D52">
        <w:rPr>
          <w:rFonts w:ascii="KaiTi" w:eastAsia="KaiTi" w:hAnsi="KaiTi" w:cs="Arial" w:hint="eastAsia"/>
          <w:b/>
          <w:iCs/>
        </w:rPr>
        <w:t>公私伙伴关系</w:t>
      </w:r>
    </w:p>
    <w:p w14:paraId="4A54A5DE" w14:textId="32044F88"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在审查期间，产权组织在公私伙伴关系下实施了若干项目，包括：(a)无障碍图书联合会；(b)药物专利信息倡议；(c)获得研究成果，促进发展创新；(d)查阅专业化专利信息；(e)WIPO GREEN；以及(f)于2022年结束使用的WIPO Re:Search。</w:t>
      </w:r>
    </w:p>
    <w:p w14:paraId="2C6C14CF" w14:textId="481DD7EC" w:rsidR="00EA5678" w:rsidRPr="00E775A9" w:rsidRDefault="00562E68" w:rsidP="00C259B0">
      <w:pPr>
        <w:pStyle w:val="ListParagraph"/>
        <w:numPr>
          <w:ilvl w:val="0"/>
          <w:numId w:val="3"/>
        </w:numPr>
        <w:spacing w:after="120"/>
        <w:ind w:left="0" w:firstLine="0"/>
        <w:rPr>
          <w:rFonts w:hAnsi="SimSun" w:cs="Arial"/>
        </w:rPr>
      </w:pPr>
      <w:r>
        <w:rPr>
          <w:rFonts w:ascii="Arial" w:hAnsi="Arial" w:cs="Arial" w:hint="eastAsia"/>
          <w:noProof/>
        </w:rPr>
        <mc:AlternateContent>
          <mc:Choice Requires="wps">
            <w:drawing>
              <wp:anchor distT="45720" distB="45720" distL="114300" distR="114300" simplePos="0" relativeHeight="251700224" behindDoc="0" locked="0" layoutInCell="1" allowOverlap="1" wp14:anchorId="3470B0EF" wp14:editId="0312A1E0">
                <wp:simplePos x="0" y="0"/>
                <wp:positionH relativeFrom="margin">
                  <wp:posOffset>2619375</wp:posOffset>
                </wp:positionH>
                <wp:positionV relativeFrom="page">
                  <wp:posOffset>3086735</wp:posOffset>
                </wp:positionV>
                <wp:extent cx="3307080" cy="760730"/>
                <wp:effectExtent l="0" t="0" r="7620" b="1270"/>
                <wp:wrapSquare wrapText="bothSides"/>
                <wp:docPr id="209191896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7080" cy="760730"/>
                        </a:xfrm>
                        <a:prstGeom prst="rect">
                          <a:avLst/>
                        </a:prstGeom>
                        <a:solidFill>
                          <a:srgbClr val="FFC000">
                            <a:lumMod val="60000"/>
                            <a:lumOff val="40000"/>
                          </a:srgbClr>
                        </a:solidFill>
                        <a:ln w="9525">
                          <a:noFill/>
                          <a:miter lim="800000"/>
                        </a:ln>
                      </wps:spPr>
                      <wps:txbx>
                        <w:txbxContent>
                          <w:p w14:paraId="184269E5" w14:textId="77777777" w:rsidR="00EA5678" w:rsidRDefault="00215138" w:rsidP="00562E68">
                            <w:pPr>
                              <w:spacing w:afterLines="50" w:after="120" w:line="340" w:lineRule="atLeast"/>
                              <w:jc w:val="both"/>
                            </w:pPr>
                            <w:r>
                              <w:t>审查结果11：有与实地发展需求相匹配的创新解决方案。挑战在于确保有效部署针对发展挑战而确定的知识产权解决方案。</w:t>
                            </w: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3470B0EF" id="_x0000_s1046" type="#_x0000_t202" style="position:absolute;left:0;text-align:left;margin-left:206.25pt;margin-top:243.05pt;width:260.4pt;height:59.9pt;z-index:251700224;visibility:visible;mso-wrap-style:square;mso-height-percent:0;mso-wrap-distance-left:9pt;mso-wrap-distance-top:3.6pt;mso-wrap-distance-right:9pt;mso-wrap-distance-bottom:3.6pt;mso-position-horizontal:absolute;mso-position-horizontal-relative:margin;mso-position-vertical:absolute;mso-position-vertical-relative:page;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" fillcolor="#ffd966" stroked="f">
                <v:textbox>
                  <w:txbxContent>
                    <w:p w14:paraId="184269E5" w14:textId="77777777" w:rsidR="00EA5678" w:rsidRDefault="00215138" w:rsidP="00562E68">
                      <w:pPr>
                        <w:spacing w:afterLines="50" w:after="120" w:line="340" w:lineRule="atLeast"/>
                        <w:jc w:val="both"/>
                      </w:pPr>
                      <w:r>
                        <w:t>审查结果11：有与实地发展需求相匹配的创新解决方案。挑战在于确保有效部署针对发展挑战而确定的知识产权解决方案。</w:t>
                      </w:r>
                    </w:p>
                  </w:txbxContent>
                </v:textbox>
                <w10:wrap type="square" anchorx="margin" anchory="page"/>
              </v:shape>
            </w:pict>
          </mc:Fallback>
        </mc:AlternateContent>
      </w:r>
      <w:r w:rsidR="00215138" w:rsidRPr="00E775A9">
        <w:rPr>
          <w:rFonts w:hAnsi="SimSun" w:cs="Arial" w:hint="eastAsia"/>
        </w:rPr>
        <w:t>根据产权组织现有的报告和对WIPO GREEN的深入研究，审查认为这些项目的方法及其产出相当有效，成员国各利益攸关方对知识转移和技能发展的贡献也相当有效。</w:t>
      </w:r>
    </w:p>
    <w:p w14:paraId="496716E6" w14:textId="611E2FFF"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虽然这些平台有利于展示如何利用知识产权和创新来应对社会挑战，但进一步认识和宣传这些平台的可用性和重要性可以提高用户的利用度，尤其是私营部门的利用度，并加强在实地实施知识产权解决方案，作为配套举措的后续行动。</w:t>
      </w:r>
    </w:p>
    <w:p w14:paraId="12E65D42" w14:textId="5F512C50" w:rsidR="00EA5678" w:rsidRPr="00E775A9" w:rsidRDefault="00562E68" w:rsidP="00C259B0">
      <w:pPr>
        <w:pStyle w:val="ListParagraph"/>
        <w:numPr>
          <w:ilvl w:val="0"/>
          <w:numId w:val="3"/>
        </w:numPr>
        <w:spacing w:after="120"/>
        <w:ind w:left="0" w:firstLine="0"/>
        <w:rPr>
          <w:rFonts w:hAnsi="SimSun" w:cs="Arial"/>
        </w:rPr>
      </w:pPr>
      <w:r>
        <w:rPr>
          <w:rFonts w:ascii="Arial" w:hAnsi="Arial" w:cs="Arial" w:hint="eastAsia"/>
          <w:i/>
          <w:iCs/>
          <w:noProof/>
        </w:rPr>
        <mc:AlternateContent>
          <mc:Choice Requires="wps">
            <w:drawing>
              <wp:anchor distT="45720" distB="45720" distL="114300" distR="114300" simplePos="0" relativeHeight="251691008" behindDoc="0" locked="0" layoutInCell="1" allowOverlap="1" wp14:anchorId="63BF3A53" wp14:editId="5A39660C">
                <wp:simplePos x="0" y="0"/>
                <wp:positionH relativeFrom="margin">
                  <wp:posOffset>3654279</wp:posOffset>
                </wp:positionH>
                <wp:positionV relativeFrom="page">
                  <wp:posOffset>5158740</wp:posOffset>
                </wp:positionV>
                <wp:extent cx="2240280" cy="1234440"/>
                <wp:effectExtent l="0" t="0" r="7620" b="3810"/>
                <wp:wrapSquare wrapText="bothSides"/>
                <wp:docPr id="134323740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0280" cy="1234440"/>
                        </a:xfrm>
                        <a:prstGeom prst="rect">
                          <a:avLst/>
                        </a:prstGeom>
                        <a:solidFill>
                          <a:srgbClr val="FFC000">
                            <a:lumMod val="60000"/>
                            <a:lumOff val="40000"/>
                          </a:srgbClr>
                        </a:solidFill>
                        <a:ln w="9525">
                          <a:noFill/>
                          <a:miter lim="800000"/>
                        </a:ln>
                      </wps:spPr>
                      <wps:txbx>
                        <w:txbxContent>
                          <w:p w14:paraId="5FFAFC9C" w14:textId="77777777" w:rsidR="00EA5678" w:rsidRDefault="00215138" w:rsidP="00562E68">
                            <w:pPr>
                              <w:spacing w:afterLines="50" w:after="120" w:line="340" w:lineRule="atLeast"/>
                              <w:jc w:val="both"/>
                            </w:pPr>
                            <w:bookmarkStart w:id="309" w:name="_Hlk174544175"/>
                            <w:bookmarkStart w:id="310" w:name="_Hlk174544176"/>
                            <w:r>
                              <w:t>审查结果12：中小企业一直得到产权组织的相关支持。成员国和合作伙伴正在使用产权组织提供的工具。中小企业的知识产权诊断是一个良好范例。</w:t>
                            </w:r>
                            <w:bookmarkEnd w:id="309"/>
                            <w:bookmarkEnd w:id="310"/>
                          </w:p>
                        </w:txbxContent>
                      </wps:txbx>
                      <wps:bodyPr rot="0" vert="horz" wrap="square" lIns="91440" tIns="45720" rIns="91440" bIns="45720" anchor="t" anchorCtr="0">
                        <a:noAutofit/>
                      </wps:bodyPr>
                    </wps:wsp>
                  </a:graphicData>
                </a:graphic>
              </wp:anchor>
            </w:drawing>
          </mc:Choice>
          <mc:Fallback>
            <w:pict>
              <v:shape w14:anchorId="63BF3A53" id="_x0000_s1047" type="#_x0000_t202" style="position:absolute;left:0;text-align:left;margin-left:287.75pt;margin-top:406.2pt;width:176.4pt;height:97.2pt;z-index:251691008;visibility:visible;mso-wrap-style:square;mso-wrap-distance-left:9pt;mso-wrap-distance-top:3.6pt;mso-wrap-distance-right:9pt;mso-wrap-distance-bottom:3.6pt;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" fillcolor="#ffd966" stroked="f">
                <v:textbox>
                  <w:txbxContent>
                    <w:p w14:paraId="5FFAFC9C" w14:textId="77777777" w:rsidR="00EA5678" w:rsidRDefault="00215138" w:rsidP="00562E68">
                      <w:pPr>
                        <w:spacing w:afterLines="50" w:after="120" w:line="340" w:lineRule="atLeast"/>
                        <w:jc w:val="both"/>
                      </w:pPr>
                      <w:bookmarkStart w:id="327" w:name="_Hlk174544175"/>
                      <w:bookmarkStart w:id="328" w:name="_Hlk174544176"/>
                      <w:r>
                        <w:t>审查结果12：中小企业一直得到产权组织的相关支持。成员国和合作伙伴正在使用产权组织提供的工具。中小企业的知识产权诊断是一个良好范例。</w:t>
                      </w:r>
                      <w:bookmarkEnd w:id="327"/>
                      <w:bookmarkEnd w:id="328"/>
                    </w:p>
                  </w:txbxContent>
                </v:textbox>
                <w10:wrap type="square" anchorx="margin" anchory="page"/>
              </v:shape>
            </w:pict>
          </mc:Fallback>
        </mc:AlternateContent>
      </w:r>
      <w:r w:rsidR="00215138" w:rsidRPr="00E23D52">
        <w:rPr>
          <w:rFonts w:ascii="KaiTi" w:eastAsia="KaiTi" w:hAnsi="KaiTi" w:cs="Arial" w:hint="eastAsia"/>
          <w:iCs/>
        </w:rPr>
        <w:t>在本节中，还有其他与伙伴关系和对话有关的相关结果需要报告。</w:t>
      </w:r>
      <w:r w:rsidR="00215138" w:rsidRPr="00E775A9">
        <w:rPr>
          <w:rFonts w:hAnsi="SimSun" w:cs="Arial" w:hint="eastAsia"/>
        </w:rPr>
        <w:t>其中包括向中小企业提供的相关支持。启动了基于网络的知识产权诊断，使中小企业能够初步确定他们拥有的知识产权资产，以及如何从这些资产中提取价值和竞争优势。成员国将其作为中小企业的一项相关文书。事实上，该工具是与国际贸易中心（ITC）和国际商会（ICC）合作开发的。成员国正在定制和使用知识产权诊断。在产权组织管理诊所，发展中国家的中小企业可以安排一次会议并与产权组织联系，这表明产权组织正在扩大其对知识产权最终用户的影响范围。</w:t>
      </w:r>
    </w:p>
    <w:p w14:paraId="2A946F71" w14:textId="3CFC2823"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产权组织提供相关的调解服务，包括以多种语言向发展中国家提供介绍服务和在线援助，其中大多数客户都来自中小企业</w:t>
      </w:r>
      <w:r w:rsidRPr="00E775A9">
        <w:rPr>
          <w:rFonts w:hAnsi="SimSun" w:cs="Arial" w:hint="eastAsia"/>
        </w:rPr>
        <w:t>。调解服务尚未被发展中国家广泛知晓和使用。为帮助成员国建立调解中心/使之现代化提供了技术援助。尽管考虑到还有其他更为结构化的援助类型，成员国没有广泛报告此事，但这仍是一项相关服务。</w:t>
      </w:r>
    </w:p>
    <w:p w14:paraId="3118A616" w14:textId="77777777" w:rsidR="00EA5678" w:rsidRPr="00E23D52" w:rsidRDefault="00215138" w:rsidP="00FC573E">
      <w:pPr>
        <w:keepNext/>
        <w:spacing w:afterLines="50" w:after="120" w:line="340" w:lineRule="atLeast"/>
        <w:rPr>
          <w:rFonts w:ascii="KaiTi" w:eastAsia="KaiTi" w:hAnsi="KaiTi" w:cs="Arial"/>
          <w:b/>
          <w:iCs/>
        </w:rPr>
      </w:pPr>
      <w:bookmarkStart w:id="311" w:name="_Hlk174459678"/>
      <w:r w:rsidRPr="00E23D52">
        <w:rPr>
          <w:rFonts w:ascii="KaiTi" w:eastAsia="KaiTi" w:hAnsi="KaiTi" w:cs="Arial" w:hint="eastAsia"/>
          <w:b/>
          <w:iCs/>
        </w:rPr>
        <w:t>发展议程和CDIP的工作</w:t>
      </w:r>
    </w:p>
    <w:bookmarkEnd w:id="311"/>
    <w:p w14:paraId="19A8666C" w14:textId="08D711F3" w:rsidR="00EA5678" w:rsidRPr="00E775A9" w:rsidRDefault="00215138" w:rsidP="00C259B0">
      <w:pPr>
        <w:pStyle w:val="ListParagraph"/>
        <w:numPr>
          <w:ilvl w:val="0"/>
          <w:numId w:val="3"/>
        </w:numPr>
        <w:spacing w:after="120"/>
        <w:ind w:left="0" w:firstLine="0"/>
        <w:rPr>
          <w:rFonts w:hAnsi="SimSun" w:cs="Arial"/>
        </w:rPr>
      </w:pPr>
      <w:r>
        <w:rPr>
          <w:rFonts w:ascii="Arial" w:hAnsi="Arial" w:cs="Arial" w:hint="eastAsia"/>
          <w:i/>
          <w:iCs/>
          <w:noProof/>
        </w:rPr>
        <mc:AlternateContent>
          <mc:Choice Requires="wps">
            <w:drawing>
              <wp:anchor distT="45720" distB="45720" distL="114300" distR="114300" simplePos="0" relativeHeight="251686912" behindDoc="0" locked="0" layoutInCell="1" allowOverlap="1" wp14:anchorId="7B8A95C9" wp14:editId="6075EF85">
                <wp:simplePos x="0" y="0"/>
                <wp:positionH relativeFrom="margin">
                  <wp:posOffset>3784321</wp:posOffset>
                </wp:positionH>
                <wp:positionV relativeFrom="paragraph">
                  <wp:posOffset>77470</wp:posOffset>
                </wp:positionV>
                <wp:extent cx="2110740" cy="1104900"/>
                <wp:effectExtent l="0" t="0" r="22860" b="19050"/>
                <wp:wrapSquare wrapText="bothSides"/>
                <wp:docPr id="93669835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10740" cy="1104900"/>
                        </a:xfrm>
                        <a:prstGeom prst="rect">
                          <a:avLst/>
                        </a:prstGeom>
                        <a:solidFill>
                          <a:srgbClr val="4472C4">
                            <a:lumMod val="50000"/>
                          </a:srgbClr>
                        </a:solidFill>
                        <a:ln w="9525">
                          <a:solidFill>
                            <a:srgbClr val="000000"/>
                          </a:solidFill>
                          <a:miter lim="800000"/>
                        </a:ln>
                      </wps:spPr>
                      <wps:txbx>
                        <w:txbxContent>
                          <w:p w14:paraId="08BB8AD2" w14:textId="77777777" w:rsidR="00EA5678" w:rsidRPr="00562E68" w:rsidRDefault="00215138" w:rsidP="00562E68">
                            <w:pPr>
                              <w:spacing w:afterLines="50" w:after="120" w:line="340" w:lineRule="atLeast"/>
                              <w:jc w:val="center"/>
                              <w:rPr>
                                <w:rFonts w:hAnsi="SimSun"/>
                              </w:rPr>
                            </w:pPr>
                            <w:r w:rsidRPr="00562E68">
                              <w:rPr>
                                <w:rFonts w:hAnsi="SimSun"/>
                              </w:rPr>
                              <w:t>“发展议程工作对我们非常有帮助。没有它，我们就不会有今天的成就。”</w:t>
                            </w:r>
                          </w:p>
                          <w:p w14:paraId="1DC944B3" w14:textId="77777777" w:rsidR="00EA5678" w:rsidRPr="00562E68" w:rsidRDefault="00215138" w:rsidP="00562E68">
                            <w:pPr>
                              <w:spacing w:afterLines="50" w:after="120" w:line="340" w:lineRule="atLeast"/>
                              <w:jc w:val="center"/>
                              <w:rPr>
                                <w:rFonts w:hAnsi="SimSun"/>
                              </w:rPr>
                            </w:pPr>
                            <w:r w:rsidRPr="00562E68">
                              <w:rPr>
                                <w:rFonts w:hAnsi="SimSun"/>
                              </w:rPr>
                              <w:t>成员国</w:t>
                            </w:r>
                          </w:p>
                        </w:txbxContent>
                      </wps:txbx>
                      <wps:bodyPr rot="0" vert="horz" wrap="square" lIns="91440" tIns="45720" rIns="91440" bIns="45720" anchor="t" anchorCtr="0">
                        <a:noAutofit/>
                      </wps:bodyPr>
                    </wps:wsp>
                  </a:graphicData>
                </a:graphic>
              </wp:anchor>
            </w:drawing>
          </mc:Choice>
          <mc:Fallback>
            <w:pict>
              <v:shape w14:anchorId="7B8A95C9" id="_x0000_s1048" type="#_x0000_t202" style="position:absolute;left:0;text-align:left;margin-left:298pt;margin-top:6.1pt;width:166.2pt;height:87pt;z-index:251686912;visibility:visible;mso-wrap-style:square;mso-wrap-distance-left:9pt;mso-wrap-distance-top:3.6pt;mso-wrap-distance-right:9pt;mso-wrap-distance-bottom:3.6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" fillcolor="#203864">
                <v:textbox>
                  <w:txbxContent>
                    <w:p w14:paraId="08BB8AD2" w14:textId="77777777" w:rsidR="00EA5678" w:rsidRPr="00562E68" w:rsidRDefault="00215138" w:rsidP="00562E68">
                      <w:pPr>
                        <w:spacing w:afterLines="50" w:after="120" w:line="340" w:lineRule="atLeast"/>
                        <w:jc w:val="center"/>
                        <w:rPr>
                          <w:rFonts w:hAnsi="SimSun"/>
                        </w:rPr>
                      </w:pPr>
                      <w:r w:rsidRPr="00562E68">
                        <w:rPr>
                          <w:rFonts w:hAnsi="SimSun"/>
                        </w:rPr>
                        <w:t>“发展议程工作对我们非常有帮助。没有它，我们就不会有今天的成就。”</w:t>
                      </w:r>
                    </w:p>
                    <w:p w14:paraId="1DC944B3" w14:textId="77777777" w:rsidR="00EA5678" w:rsidRPr="00562E68" w:rsidRDefault="00215138" w:rsidP="00562E68">
                      <w:pPr>
                        <w:spacing w:afterLines="50" w:after="120" w:line="340" w:lineRule="atLeast"/>
                        <w:jc w:val="center"/>
                        <w:rPr>
                          <w:rFonts w:hAnsi="SimSun"/>
                        </w:rPr>
                      </w:pPr>
                      <w:r w:rsidRPr="00562E68">
                        <w:rPr>
                          <w:rFonts w:hAnsi="SimSun"/>
                        </w:rPr>
                        <w:t>成员国</w:t>
                      </w:r>
                    </w:p>
                  </w:txbxContent>
                </v:textbox>
                <w10:wrap type="square" anchorx="margin"/>
              </v:shape>
            </w:pict>
          </mc:Fallback>
        </mc:AlternateContent>
      </w:r>
      <w:r w:rsidRPr="00E23D52">
        <w:rPr>
          <w:rFonts w:ascii="KaiTi" w:eastAsia="KaiTi" w:hAnsi="KaiTi" w:cs="Arial" w:hint="eastAsia"/>
          <w:iCs/>
        </w:rPr>
        <w:t>在审查期间，CDIP取得了一系列相关成就（非详尽无遗）：</w:t>
      </w:r>
      <w:r w:rsidRPr="00E775A9">
        <w:rPr>
          <w:rFonts w:hAnsi="SimSun" w:cs="Arial" w:hint="eastAsia"/>
        </w:rPr>
        <w:t>1）设立了关于“知识产权与发展”的常设议程项目和关于“产权组织在合作促进发展领域开展的技术援助”的子议程项目；2）完成了10个CDIP项目并进行了独立评价；3）编写了一本详细的指南和一门关于成功提出发展议程项目建议的工具的远程学习课程，以及一个在线可搜索目录，列出了所有正在进行的和已完成的发展议程项目及其产出；4）组织了两年一次的国际知识产权与发展会议；5）2016年完成发展议程建议实施情况的独立审查，通过了12项建议中的10项；6）通过了大多数独立审查建议的实施战略，以及审查和报告机制；7）对已完成的发展议程项目启动了年度影响评价；8）编制了关于产权组织与实现可持续发展目标有关的活动和贡献的年度报告；9）发布了关于45项发展议程建议进展情况的详细年度报告；10）编写了产权组织技术援助网络研讨会评价报告。</w:t>
      </w:r>
    </w:p>
    <w:p w14:paraId="6C6DFB33" w14:textId="3DD846EF" w:rsidR="00EA5678" w:rsidRPr="00E775A9" w:rsidRDefault="00215138" w:rsidP="00C259B0">
      <w:pPr>
        <w:pStyle w:val="ListParagraph"/>
        <w:numPr>
          <w:ilvl w:val="0"/>
          <w:numId w:val="3"/>
        </w:numPr>
        <w:spacing w:after="120"/>
        <w:ind w:left="0" w:firstLine="0"/>
        <w:rPr>
          <w:rFonts w:hAnsi="SimSun" w:cs="Arial"/>
        </w:rPr>
      </w:pPr>
      <w:r>
        <w:rPr>
          <w:rFonts w:ascii="Arial" w:hAnsi="Arial" w:cs="Arial" w:hint="eastAsia"/>
          <w:i/>
          <w:iCs/>
          <w:noProof/>
        </w:rPr>
        <mc:AlternateContent>
          <mc:Choice Requires="wps">
            <w:drawing>
              <wp:anchor distT="45720" distB="45720" distL="114300" distR="114300" simplePos="0" relativeHeight="251701248" behindDoc="0" locked="0" layoutInCell="1" allowOverlap="1" wp14:anchorId="57E24237" wp14:editId="3B96BF0F">
                <wp:simplePos x="0" y="0"/>
                <wp:positionH relativeFrom="margin">
                  <wp:posOffset>2596515</wp:posOffset>
                </wp:positionH>
                <wp:positionV relativeFrom="paragraph">
                  <wp:posOffset>737495</wp:posOffset>
                </wp:positionV>
                <wp:extent cx="3314700" cy="1429385"/>
                <wp:effectExtent l="0" t="0" r="0" b="5715"/>
                <wp:wrapSquare wrapText="bothSides"/>
                <wp:docPr id="18209179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14700" cy="1429385"/>
                        </a:xfrm>
                        <a:prstGeom prst="rect">
                          <a:avLst/>
                        </a:prstGeom>
                        <a:solidFill>
                          <a:srgbClr val="FFC000">
                            <a:lumMod val="60000"/>
                            <a:lumOff val="40000"/>
                          </a:srgbClr>
                        </a:solidFill>
                        <a:ln w="9525">
                          <a:noFill/>
                          <a:miter lim="800000"/>
                        </a:ln>
                      </wps:spPr>
                      <wps:txbx>
                        <w:txbxContent>
                          <w:p w14:paraId="114042FF" w14:textId="77777777" w:rsidR="00EA5678" w:rsidRDefault="00215138" w:rsidP="00562E68">
                            <w:pPr>
                              <w:spacing w:afterLines="50" w:after="120" w:line="340" w:lineRule="atLeast"/>
                              <w:jc w:val="both"/>
                              <w:rPr>
                                <w:color w:val="FF0000"/>
                              </w:rPr>
                            </w:pPr>
                            <w:r>
                              <w:t>审查结果13：CDIP在审查期间推动了相关会议和报告。成员国认为，发展议程也取得了进展。然而，CDIP的工作更侧重于报告。正在整合更全面的分析和影响评估。已经做了很多工作，产生了很多成果。然而，尚不清楚所编写的研究和报告在多大程度上用于学习和推动知识产权促进发展。</w:t>
                            </w:r>
                          </w:p>
                        </w:txbxContent>
                      </wps:txbx>
                      <wps:bodyPr rot="0" vert="horz" wrap="square" lIns="91440" tIns="45720" rIns="91440" bIns="45720" anchor="t" anchorCtr="0">
                        <a:noAutofit/>
                      </wps:bodyPr>
                    </wps:wsp>
                  </a:graphicData>
                </a:graphic>
              </wp:anchor>
            </w:drawing>
          </mc:Choice>
          <mc:Fallback>
            <w:pict>
              <v:shape w14:anchorId="57E24237" id="_x0000_s1049" type="#_x0000_t202" style="position:absolute;left:0;text-align:left;margin-left:204.45pt;margin-top:58.05pt;width:261pt;height:112.55pt;z-index:251701248;visibility:visible;mso-wrap-style:square;mso-wrap-distance-left:9pt;mso-wrap-distance-top:3.6pt;mso-wrap-distance-right:9pt;mso-wrap-distance-bottom:3.6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" fillcolor="#ffd966" stroked="f">
                <v:textbox>
                  <w:txbxContent>
                    <w:p w14:paraId="114042FF" w14:textId="77777777" w:rsidR="00EA5678" w:rsidRDefault="00215138" w:rsidP="00562E68">
                      <w:pPr>
                        <w:spacing w:afterLines="50" w:after="120" w:line="340" w:lineRule="atLeast"/>
                        <w:jc w:val="both"/>
                        <w:rPr>
                          <w:color w:val="FF0000"/>
                        </w:rPr>
                      </w:pPr>
                      <w:r>
                        <w:t>审查结果13：CDIP在审查期间推动了相关会议和报告。成员国认为，发展议程也取得了进展。然而，CDIP的工作更侧重于报告。正在整合更全面的分析和影响评估。已经做了很多工作，产生了很多成果。然而，尚不清楚所编写的研究和报告在多大程度上用于学习和推动知识产权促进发展。</w:t>
                      </w:r>
                    </w:p>
                  </w:txbxContent>
                </v:textbox>
                <w10:wrap type="square" anchorx="margin"/>
              </v:shape>
            </w:pict>
          </mc:Fallback>
        </mc:AlternateContent>
      </w:r>
      <w:r w:rsidRPr="00E23D52">
        <w:rPr>
          <w:rFonts w:ascii="KaiTi" w:eastAsia="KaiTi" w:hAnsi="KaiTi" w:cs="Arial" w:hint="eastAsia"/>
          <w:iCs/>
        </w:rPr>
        <w:t>成员国认为，发展议程已取得了重大进展。</w:t>
      </w:r>
      <w:r w:rsidRPr="00E775A9">
        <w:rPr>
          <w:rFonts w:hAnsi="SimSun" w:cs="Arial" w:hint="eastAsia"/>
        </w:rPr>
        <w:t>然而，报告停留在活动层面，而不是侧重于分析通过这些活动取得的成果。产权组织的结构非常复杂，活动众多，很难掌握。人们普遍呼吁加强监测和评价、学习和经验交流的机制。对于大量的产权组织受访者来说，在产权组织不同领域之间、知识产权与可持续发展目标之间以及知识产权与CDIP内部发展之间，没有建立足够的联系。并不是因为缺乏报告、研究和论文，而是因为有大量的研究、文件和活动。然而，尚不清楚产权组织及其成员国在多大程度上将所编写的研究和报告用于学习和推动知识产权促进发展。</w:t>
      </w:r>
    </w:p>
    <w:p w14:paraId="524AB5AF" w14:textId="2D260662" w:rsidR="00EA5678" w:rsidRPr="00E23D52" w:rsidRDefault="00215138" w:rsidP="00FC573E">
      <w:pPr>
        <w:keepNext/>
        <w:spacing w:afterLines="50" w:after="120" w:line="340" w:lineRule="atLeast"/>
        <w:rPr>
          <w:rFonts w:ascii="KaiTi" w:eastAsia="KaiTi" w:hAnsi="KaiTi" w:cs="Arial"/>
          <w:b/>
          <w:iCs/>
        </w:rPr>
      </w:pPr>
      <w:r w:rsidRPr="00E23D52">
        <w:rPr>
          <w:rFonts w:ascii="KaiTi" w:eastAsia="KaiTi" w:hAnsi="KaiTi" w:cs="Arial" w:hint="eastAsia"/>
          <w:b/>
          <w:iCs/>
        </w:rPr>
        <w:t>当地知识产权</w:t>
      </w:r>
    </w:p>
    <w:p w14:paraId="1728D29E" w14:textId="69C6159D" w:rsidR="00EA5678" w:rsidRPr="00E775A9" w:rsidRDefault="00215138" w:rsidP="00C259B0">
      <w:pPr>
        <w:pStyle w:val="ListParagraph"/>
        <w:numPr>
          <w:ilvl w:val="0"/>
          <w:numId w:val="3"/>
        </w:numPr>
        <w:spacing w:after="120"/>
        <w:ind w:left="0" w:firstLine="0"/>
        <w:rPr>
          <w:rFonts w:hAnsi="SimSun" w:cs="Arial"/>
        </w:rPr>
      </w:pPr>
      <w:r>
        <w:rPr>
          <w:rFonts w:ascii="Arial" w:hAnsi="Arial" w:cs="Arial" w:hint="eastAsia"/>
          <w:i/>
          <w:iCs/>
          <w:noProof/>
        </w:rPr>
        <mc:AlternateContent>
          <mc:Choice Requires="wps">
            <w:drawing>
              <wp:anchor distT="45720" distB="45720" distL="114300" distR="114300" simplePos="0" relativeHeight="251692032" behindDoc="0" locked="0" layoutInCell="1" allowOverlap="1" wp14:anchorId="5FB5F365" wp14:editId="2D46DFD0">
                <wp:simplePos x="0" y="0"/>
                <wp:positionH relativeFrom="margin">
                  <wp:posOffset>2604139</wp:posOffset>
                </wp:positionH>
                <wp:positionV relativeFrom="paragraph">
                  <wp:posOffset>788876</wp:posOffset>
                </wp:positionV>
                <wp:extent cx="3307080" cy="1043940"/>
                <wp:effectExtent l="0" t="0" r="7620" b="3810"/>
                <wp:wrapSquare wrapText="bothSides"/>
                <wp:docPr id="79668341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7080" cy="1043940"/>
                        </a:xfrm>
                        <a:prstGeom prst="rect">
                          <a:avLst/>
                        </a:prstGeom>
                        <a:solidFill>
                          <a:srgbClr val="FFC000">
                            <a:lumMod val="60000"/>
                            <a:lumOff val="40000"/>
                          </a:srgbClr>
                        </a:solidFill>
                        <a:ln w="9525">
                          <a:noFill/>
                          <a:miter lim="800000"/>
                        </a:ln>
                      </wps:spPr>
                      <wps:txbx>
                        <w:txbxContent>
                          <w:p w14:paraId="4870DC11" w14:textId="0BA39237" w:rsidR="00EA5678" w:rsidRDefault="00215138" w:rsidP="00562E68">
                            <w:pPr>
                              <w:spacing w:afterLines="50" w:after="120" w:line="340" w:lineRule="atLeast"/>
                              <w:jc w:val="both"/>
                            </w:pPr>
                            <w:r>
                              <w:t>审查结果14：通过产权组织的项目，推动了非常具有创新性和参与性的举措。它们代表了一种看待知识产权并扩大知识产权实地影响的新方式。它们对提高政策制定者的认识具有重要意义。</w:t>
                            </w:r>
                          </w:p>
                        </w:txbxContent>
                      </wps:txbx>
                      <wps:bodyPr rot="0" vert="horz" wrap="square" lIns="91440" tIns="45720" rIns="91440" bIns="45720" anchor="t" anchorCtr="0">
                        <a:noAutofit/>
                      </wps:bodyPr>
                    </wps:wsp>
                  </a:graphicData>
                </a:graphic>
              </wp:anchor>
            </w:drawing>
          </mc:Choice>
          <mc:Fallback>
            <w:pict>
              <v:shape w14:anchorId="5FB5F365" id="_x0000_s1050" type="#_x0000_t202" style="position:absolute;left:0;text-align:left;margin-left:205.05pt;margin-top:62.1pt;width:260.4pt;height:82.2pt;z-index:251692032;visibility:visible;mso-wrap-style:square;mso-wrap-distance-left:9pt;mso-wrap-distance-top:3.6pt;mso-wrap-distance-right:9pt;mso-wrap-distance-bottom:3.6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" fillcolor="#ffd966" stroked="f">
                <v:textbox>
                  <w:txbxContent>
                    <w:p w14:paraId="4870DC11" w14:textId="0BA39237" w:rsidR="00EA5678" w:rsidRDefault="00215138" w:rsidP="00562E68">
                      <w:pPr>
                        <w:spacing w:afterLines="50" w:after="120" w:line="340" w:lineRule="atLeast"/>
                        <w:jc w:val="both"/>
                      </w:pPr>
                      <w:r>
                        <w:t>审查结果14：通过产权组织的项目，推动了非常具有创新性和参与性的举措。它们代表了一种看待知识产权并扩大知识产权实地影响的新方式。它们对提高政策制定者的认识具有重要意义。</w:t>
                      </w:r>
                    </w:p>
                  </w:txbxContent>
                </v:textbox>
                <w10:wrap type="square" anchorx="margin"/>
              </v:shape>
            </w:pict>
          </mc:Fallback>
        </mc:AlternateContent>
      </w:r>
      <w:r w:rsidRPr="00E23D52">
        <w:rPr>
          <w:rFonts w:ascii="KaiTi" w:eastAsia="KaiTi" w:hAnsi="KaiTi" w:cs="Arial" w:hint="eastAsia"/>
          <w:iCs/>
        </w:rPr>
        <w:t>产权组织已经实施了数十个旨在将知识产权落到实处的项目：</w:t>
      </w:r>
      <w:r w:rsidRPr="00E775A9">
        <w:rPr>
          <w:rFonts w:hAnsi="SimSun" w:cs="Arial" w:hint="eastAsia"/>
        </w:rPr>
        <w:t>从与女企业家合作到为小生产者提供集体商标和地理标志。这些项目是看待知识产权的新方式</w:t>
      </w:r>
      <w:r>
        <w:rPr>
          <w:rFonts w:hAnsi="SimSun" w:cs="SimSun" w:hint="eastAsia"/>
        </w:rPr>
        <w:t>——</w:t>
      </w:r>
      <w:r w:rsidRPr="00E775A9">
        <w:rPr>
          <w:rFonts w:hAnsi="SimSun" w:cs="Arial" w:hint="eastAsia"/>
        </w:rPr>
        <w:t>从大企业关切的问题到发展中国家个人和中小企业可以使用的工具，有可能为当地社区增加收入并带来发展。自2020年以来，这些举措在提供技术援助方面发挥了重要作用。这些举措在最高层面得到了很好的宣传（从产权组织大会开幕到YouTube和</w:t>
      </w:r>
      <w:hyperlink r:id="rId33" w:history="1">
        <w:r w:rsidRPr="00E775A9">
          <w:rPr>
            <w:rFonts w:hAnsi="SimSun" w:cs="Arial" w:hint="eastAsia"/>
          </w:rPr>
          <w:t>产权组织网站上的视频</w:t>
        </w:r>
      </w:hyperlink>
      <w:r w:rsidRPr="00E775A9">
        <w:rPr>
          <w:rFonts w:hAnsi="SimSun" w:cs="Arial" w:hint="eastAsia"/>
        </w:rPr>
        <w:t>）。这些项目在使知识产权具有人性化特征并且提高政策制定者的认识方面非常有效；然而，因为可用的数据有限，且本审查的范围更多的是在宏观层面，因此无法在本次审查的背景下描述这些项目的实际成果。</w:t>
      </w:r>
    </w:p>
    <w:p w14:paraId="1424BB49" w14:textId="77777777" w:rsidR="00EA5678" w:rsidRPr="00E23D52" w:rsidRDefault="00215138" w:rsidP="00FC573E">
      <w:pPr>
        <w:keepNext/>
        <w:spacing w:afterLines="50" w:after="120" w:line="340" w:lineRule="atLeast"/>
        <w:rPr>
          <w:rFonts w:ascii="KaiTi" w:eastAsia="KaiTi" w:hAnsi="KaiTi" w:cs="Arial"/>
          <w:b/>
          <w:iCs/>
        </w:rPr>
      </w:pPr>
      <w:r w:rsidRPr="00E23D52">
        <w:rPr>
          <w:rFonts w:ascii="KaiTi" w:eastAsia="KaiTi" w:hAnsi="KaiTi" w:cs="Arial" w:hint="eastAsia"/>
          <w:b/>
          <w:iCs/>
        </w:rPr>
        <w:t>相贯穿各领域：性别问题</w:t>
      </w:r>
    </w:p>
    <w:p w14:paraId="6031A8B9" w14:textId="77777777" w:rsidR="00EA5678" w:rsidRPr="00E23D52" w:rsidRDefault="00215138" w:rsidP="004538C5">
      <w:pPr>
        <w:keepNext/>
        <w:spacing w:afterLines="50" w:after="120" w:line="340" w:lineRule="atLeast"/>
        <w:rPr>
          <w:rFonts w:ascii="KaiTi" w:eastAsia="KaiTi" w:hAnsi="KaiTi" w:cs="Arial"/>
          <w:iCs/>
        </w:rPr>
      </w:pPr>
      <w:r w:rsidRPr="00E23D52">
        <w:rPr>
          <w:rFonts w:ascii="KaiTi" w:eastAsia="KaiTi" w:hAnsi="KaiTi" w:cs="Arial" w:hint="eastAsia"/>
          <w:iCs/>
        </w:rPr>
        <w:t>性别问题</w:t>
      </w:r>
    </w:p>
    <w:p w14:paraId="6C22ACCD" w14:textId="77777777"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在性别平等领域，产权组织一直非常积极。</w:t>
      </w:r>
      <w:r w:rsidRPr="00E775A9">
        <w:rPr>
          <w:rFonts w:hAnsi="SimSun" w:cs="Arial" w:hint="eastAsia"/>
        </w:rPr>
        <w:t>性别行动计划（IPGAP）于2022年启动，产权组织协助建立了拉丁美洲知识产权与性别网络，以促进良好做法和知识产权交流。IPGAP于2022年下半年开始实施，重点关注三大支柱：(i)为政府和政策制定者将性别观点纳入知识产权立法、政策、计划和项目提供支持；(ii)推动研究，以确定知识产权领域性别差距的范围和性质，以及缩小差距的方法；(iii)在知识产权环境中继续开展现有的并试行新的以性别为导向的项目和举措，旨在提高妇女和支持妇女的机构的知识产权技能。</w:t>
      </w:r>
    </w:p>
    <w:p w14:paraId="094C2E62" w14:textId="77777777"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产权组织管理了若干促进不同部门性别平等的项目。</w:t>
      </w:r>
      <w:r w:rsidRPr="00E775A9">
        <w:rPr>
          <w:rFonts w:hAnsi="SimSun" w:cs="Arial" w:hint="eastAsia"/>
        </w:rPr>
        <w:t>历史最悠久的项目之一是为期两年的土著人民和当地社区女企业家知识产权培训和指导计划，该计划于2019年启动，合作方除其他外，包括国际劳工组织（ILO）、国际贸易中心（ITC）、联合国妇女署和国际商标协会（INTA），旨在增强土著人民和当地社区女企业家在其业务和项目中使用知识产权工具的权能，并从其基于传统的业务中获得更大的经济效益。</w:t>
      </w:r>
    </w:p>
    <w:p w14:paraId="44C7DDAC" w14:textId="77777777"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为了增加按性别分列的数据，产权组织在PCTC中增加了一个性别复选框。</w:t>
      </w:r>
      <w:r w:rsidRPr="00E775A9">
        <w:rPr>
          <w:rFonts w:hAnsi="SimSun" w:cs="Arial" w:hint="eastAsia"/>
        </w:rPr>
        <w:t>此外，产权组织正在为成员国提供政策整合，并就如何将性别考虑因素纳入其知识产权行动计划</w:t>
      </w:r>
      <w:r>
        <w:rPr>
          <w:rFonts w:hAnsi="SimSun" w:cs="SimSun" w:hint="eastAsia"/>
        </w:rPr>
        <w:t>——</w:t>
      </w:r>
      <w:r w:rsidRPr="00E775A9">
        <w:rPr>
          <w:rFonts w:hAnsi="SimSun" w:cs="Arial" w:hint="eastAsia"/>
        </w:rPr>
        <w:t>即如何在国家层面让更多的妇女参与进来</w:t>
      </w:r>
      <w:r>
        <w:rPr>
          <w:rFonts w:hAnsi="SimSun" w:cs="SimSun" w:hint="eastAsia"/>
        </w:rPr>
        <w:t>——</w:t>
      </w:r>
      <w:r w:rsidRPr="00E775A9">
        <w:rPr>
          <w:rFonts w:hAnsi="SimSun" w:cs="Arial" w:hint="eastAsia"/>
        </w:rPr>
        <w:t>提供备选方案和指导。在数据收集过程中，拉丁美洲和加勒比地区的一个成员国报告称，在产权组织的支持和影响下，他们在知识产权局推出了一项性别政策。</w:t>
      </w:r>
    </w:p>
    <w:p w14:paraId="6488C2C2" w14:textId="06AC7F08" w:rsidR="00EA5678" w:rsidRPr="00E23D52" w:rsidRDefault="00215138" w:rsidP="00FC573E">
      <w:pPr>
        <w:keepNext/>
        <w:spacing w:afterLines="50" w:after="120" w:line="340" w:lineRule="atLeast"/>
        <w:rPr>
          <w:rFonts w:ascii="KaiTi" w:eastAsia="KaiTi" w:hAnsi="KaiTi" w:cs="Arial"/>
          <w:b/>
          <w:iCs/>
        </w:rPr>
      </w:pPr>
      <w:r w:rsidRPr="00E23D52">
        <w:rPr>
          <w:rFonts w:ascii="KaiTi" w:eastAsia="KaiTi" w:hAnsi="KaiTi" w:cs="Arial" w:hint="eastAsia"/>
          <w:b/>
          <w:iCs/>
        </w:rPr>
        <w:t>产权组织和成员国关于实现可持续发展目标的要求</w:t>
      </w:r>
    </w:p>
    <w:p w14:paraId="6DA483D6" w14:textId="77777777" w:rsidR="00EA5678" w:rsidRPr="00E775A9" w:rsidRDefault="00215138" w:rsidP="00C259B0">
      <w:pPr>
        <w:pStyle w:val="ListParagraph"/>
        <w:numPr>
          <w:ilvl w:val="0"/>
          <w:numId w:val="3"/>
        </w:numPr>
        <w:spacing w:after="120"/>
        <w:ind w:left="0" w:firstLine="0"/>
        <w:rPr>
          <w:rFonts w:hAnsi="SimSun" w:cs="Arial"/>
        </w:rPr>
      </w:pPr>
      <w:r>
        <w:rPr>
          <w:rFonts w:ascii="Arial" w:hAnsi="Arial" w:cs="Arial" w:hint="eastAsia"/>
          <w:i/>
          <w:iCs/>
          <w:noProof/>
        </w:rPr>
        <mc:AlternateContent>
          <mc:Choice Requires="wps">
            <w:drawing>
              <wp:anchor distT="45720" distB="45720" distL="114300" distR="114300" simplePos="0" relativeHeight="251678720" behindDoc="0" locked="0" layoutInCell="1" allowOverlap="1" wp14:anchorId="6588CC76" wp14:editId="3D54B25A">
                <wp:simplePos x="0" y="0"/>
                <wp:positionH relativeFrom="margin">
                  <wp:posOffset>3629025</wp:posOffset>
                </wp:positionH>
                <wp:positionV relativeFrom="paragraph">
                  <wp:posOffset>82792</wp:posOffset>
                </wp:positionV>
                <wp:extent cx="2305050" cy="1038225"/>
                <wp:effectExtent l="0" t="0" r="0" b="9525"/>
                <wp:wrapSquare wrapText="bothSides"/>
                <wp:docPr id="267484706"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05050" cy="1038225"/>
                        </a:xfrm>
                        <a:prstGeom prst="rect">
                          <a:avLst/>
                        </a:prstGeom>
                        <a:solidFill>
                          <a:srgbClr val="FFC000">
                            <a:lumMod val="60000"/>
                            <a:lumOff val="40000"/>
                          </a:srgbClr>
                        </a:solidFill>
                        <a:ln w="9525">
                          <a:noFill/>
                          <a:miter lim="800000"/>
                        </a:ln>
                      </wps:spPr>
                      <wps:txbx>
                        <w:txbxContent>
                          <w:p w14:paraId="0DB00DB3" w14:textId="1D2CFF0E" w:rsidR="00EA5678" w:rsidRPr="0024776B" w:rsidRDefault="00215138" w:rsidP="0024776B">
                            <w:pPr>
                              <w:spacing w:afterLines="50" w:after="120" w:line="340" w:lineRule="atLeast"/>
                              <w:jc w:val="both"/>
                              <w:rPr>
                                <w:rFonts w:hAnsi="SimSun"/>
                              </w:rPr>
                            </w:pPr>
                            <w:bookmarkStart w:id="312" w:name="_Hlk174544241"/>
                            <w:bookmarkStart w:id="313" w:name="_Hlk174544240"/>
                            <w:r w:rsidRPr="0024776B">
                              <w:rPr>
                                <w:rFonts w:hAnsi="SimSun"/>
                              </w:rPr>
                              <w:t>审查结果15：产权组织的技术援助已经考虑了可持续发展目标，但没有产生明确结果的实际计划和联系来证实。</w:t>
                            </w:r>
                            <w:bookmarkEnd w:id="312"/>
                            <w:bookmarkEnd w:id="313"/>
                          </w:p>
                        </w:txbxContent>
                      </wps:txbx>
                      <wps:bodyPr rot="0" vert="horz" wrap="square" lIns="91440" tIns="45720" rIns="91440" bIns="45720" anchor="t" anchorCtr="0">
                        <a:noAutofit/>
                      </wps:bodyPr>
                    </wps:wsp>
                  </a:graphicData>
                </a:graphic>
              </wp:anchor>
            </w:drawing>
          </mc:Choice>
          <mc:Fallback>
            <w:pict>
              <v:shape w14:anchorId="6588CC76" id="_x0000_s1051" type="#_x0000_t202" style="position:absolute;left:0;text-align:left;margin-left:285.75pt;margin-top:6.5pt;width:181.5pt;height:81.75pt;z-index:251678720;visibility:visible;mso-wrap-style:square;mso-wrap-distance-left:9pt;mso-wrap-distance-top:3.6pt;mso-wrap-distance-right:9pt;mso-wrap-distance-bottom:3.6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" fillcolor="#ffd966" stroked="f">
                <v:textbox>
                  <w:txbxContent>
                    <w:p w14:paraId="0DB00DB3" w14:textId="1D2CFF0E" w:rsidR="00EA5678" w:rsidRPr="0024776B" w:rsidRDefault="00215138" w:rsidP="0024776B">
                      <w:pPr>
                        <w:spacing w:afterLines="50" w:after="120" w:line="340" w:lineRule="atLeast"/>
                        <w:jc w:val="both"/>
                        <w:rPr>
                          <w:rFonts w:hAnsi="SimSun"/>
                        </w:rPr>
                      </w:pPr>
                      <w:bookmarkStart w:id="332" w:name="_Hlk174544241"/>
                      <w:bookmarkStart w:id="333" w:name="_Hlk174544240"/>
                      <w:r w:rsidRPr="0024776B">
                        <w:rPr>
                          <w:rFonts w:hAnsi="SimSun"/>
                        </w:rPr>
                        <w:t>审查结果15：产权组织的技术援助已经考虑了可持续发展目标，但没有产生明确结果的实际计划和联系来证实。</w:t>
                      </w:r>
                      <w:bookmarkEnd w:id="332"/>
                      <w:bookmarkEnd w:id="333"/>
                    </w:p>
                  </w:txbxContent>
                </v:textbox>
                <w10:wrap type="square" anchorx="margin"/>
              </v:shape>
            </w:pict>
          </mc:Fallback>
        </mc:AlternateContent>
      </w:r>
      <w:r w:rsidRPr="00E23D52">
        <w:rPr>
          <w:rFonts w:ascii="KaiTi" w:eastAsia="KaiTi" w:hAnsi="KaiTi" w:cs="Arial" w:hint="eastAsia"/>
          <w:iCs/>
        </w:rPr>
        <w:t>作为联合国创新和知识产权专门机构，产权组织的贡献更侧重于实现可持续发展目标9：建造具备抵御灾害能力的基础设施，促进可持续工业化，推动创新</w:t>
      </w:r>
      <w:r w:rsidRPr="00E775A9">
        <w:rPr>
          <w:rFonts w:hAnsi="SimSun" w:cs="Arial" w:hint="eastAsia"/>
        </w:rPr>
        <w:t>。</w:t>
      </w:r>
      <w:r w:rsidRPr="00E775A9">
        <w:rPr>
          <w:rFonts w:hAnsi="SimSun" w:cs="Arial" w:hint="eastAsia"/>
          <w:vertAlign w:val="superscript"/>
        </w:rPr>
        <w:footnoteReference w:id="12"/>
      </w:r>
      <w:r w:rsidRPr="00E775A9">
        <w:rPr>
          <w:rFonts w:hAnsi="SimSun" w:cs="Arial" w:hint="eastAsia"/>
        </w:rPr>
        <w:t>然而，产权组织的工作不仅旨在支持经济增长和基础设施发展，还旨在支持若干其他可持续发展目标，如加强健康、环境可持续性和社会福祉（见专栏1），尽管其实际贡献更难衡量。2018年，</w:t>
      </w:r>
      <w:r>
        <w:rPr>
          <w:rFonts w:hAnsi="SimSun" w:cs="SimSun" w:hint="eastAsia"/>
        </w:rPr>
        <w:t>“成员国决定”</w:t>
      </w:r>
      <w:r w:rsidRPr="00E775A9">
        <w:rPr>
          <w:rFonts w:hAnsi="SimSun" w:cs="Arial" w:hint="eastAsia"/>
        </w:rPr>
        <w:t>CDIP会议上关于可持续发展目标的任何讨论都应在</w:t>
      </w:r>
      <w:r>
        <w:rPr>
          <w:rFonts w:hAnsi="SimSun" w:cs="SimSun" w:hint="eastAsia"/>
        </w:rPr>
        <w:t>“知识产权与发展”的议程项</w:t>
      </w:r>
      <w:r w:rsidRPr="00E775A9">
        <w:rPr>
          <w:rFonts w:hAnsi="SimSun" w:cs="Arial" w:hint="eastAsia"/>
        </w:rPr>
        <w:t>目下进行。</w:t>
      </w:r>
      <w:r w:rsidRPr="00E775A9">
        <w:rPr>
          <w:rFonts w:hAnsi="SimSun" w:cs="Arial" w:hint="eastAsia"/>
          <w:vertAlign w:val="superscript"/>
        </w:rPr>
        <w:footnoteReference w:id="13"/>
      </w:r>
    </w:p>
    <w:p w14:paraId="5B629024"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2023年4月，秘书处向CDIP提交了关于可持续发展目标的第七次报告。</w:t>
      </w:r>
      <w:r>
        <w:rPr>
          <w:rFonts w:hAnsi="SimSun" w:cs="SimSun" w:hint="eastAsia"/>
        </w:rPr>
        <w:t>“</w:t>
      </w:r>
      <w:r w:rsidRPr="00E775A9">
        <w:rPr>
          <w:rFonts w:hAnsi="SimSun" w:cs="Arial" w:hint="eastAsia"/>
        </w:rPr>
        <w:t>本报告是对发展与知识产权委员会（CDIP）在2016年10月31日至11月4日举行的第十八届会议上做出的决定的回应，该决定要求秘书处在委员会每年第一次会议上提交一份相关年度报告</w:t>
      </w:r>
      <w:r>
        <w:rPr>
          <w:rFonts w:hAnsi="SimSun" w:cs="SimSun" w:hint="eastAsia"/>
        </w:rPr>
        <w:t>”</w:t>
      </w:r>
      <w:r w:rsidRPr="00E775A9">
        <w:rPr>
          <w:rFonts w:hAnsi="SimSun" w:cs="Arial" w:hint="eastAsia"/>
        </w:rPr>
        <w:t>。</w:t>
      </w:r>
      <w:r w:rsidRPr="00E775A9">
        <w:rPr>
          <w:rFonts w:hAnsi="SimSun" w:cs="Arial" w:hint="eastAsia"/>
          <w:vertAlign w:val="superscript"/>
        </w:rPr>
        <w:footnoteReference w:id="14"/>
      </w:r>
    </w:p>
    <w:p w14:paraId="6F40A864" w14:textId="22921573"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基于2016年决定中所载的结构，报告提供了2022年与可持续发展目标有关的最新信息</w:t>
      </w:r>
      <w:r w:rsidRPr="00E775A9">
        <w:rPr>
          <w:rFonts w:hAnsi="SimSun" w:cs="Arial" w:hint="eastAsia"/>
        </w:rPr>
        <w:t>：</w:t>
      </w:r>
    </w:p>
    <w:p w14:paraId="1E88F313" w14:textId="594D9173" w:rsidR="00EA5678" w:rsidRPr="00E775A9" w:rsidRDefault="00215138" w:rsidP="0024776B">
      <w:pPr>
        <w:spacing w:afterLines="50" w:after="120" w:line="340" w:lineRule="atLeast"/>
        <w:ind w:left="567"/>
        <w:jc w:val="both"/>
        <w:rPr>
          <w:rFonts w:hAnsi="SimSun" w:cs="Arial"/>
        </w:rPr>
      </w:pPr>
      <w:r w:rsidRPr="00E775A9">
        <w:rPr>
          <w:rFonts w:hAnsi="SimSun" w:cs="Arial" w:hint="eastAsia"/>
        </w:rPr>
        <w:t>（a）产权组织独自开展的活动和倡议；</w:t>
      </w:r>
    </w:p>
    <w:p w14:paraId="06E1E55D" w14:textId="0FD1DD38" w:rsidR="00EA5678" w:rsidRPr="00E775A9" w:rsidRDefault="00215138" w:rsidP="0024776B">
      <w:pPr>
        <w:spacing w:afterLines="50" w:after="120" w:line="340" w:lineRule="atLeast"/>
        <w:ind w:left="567"/>
        <w:jc w:val="both"/>
        <w:rPr>
          <w:rFonts w:hAnsi="SimSun" w:cs="Arial"/>
        </w:rPr>
      </w:pPr>
      <w:r w:rsidRPr="00E775A9">
        <w:rPr>
          <w:rFonts w:hAnsi="SimSun" w:cs="Arial" w:hint="eastAsia"/>
        </w:rPr>
        <w:t>（b）产权组织作为联合国系统的一部分开展的活动；以及</w:t>
      </w:r>
    </w:p>
    <w:p w14:paraId="2328E2E0" w14:textId="77777777" w:rsidR="00EA5678" w:rsidRPr="00E775A9" w:rsidRDefault="00215138" w:rsidP="0024776B">
      <w:pPr>
        <w:spacing w:afterLines="50" w:after="120" w:line="340" w:lineRule="atLeast"/>
        <w:ind w:left="567"/>
        <w:jc w:val="both"/>
        <w:rPr>
          <w:rFonts w:hAnsi="SimSun" w:cs="Arial"/>
        </w:rPr>
      </w:pPr>
      <w:r w:rsidRPr="00E775A9">
        <w:rPr>
          <w:rFonts w:hAnsi="SimSun" w:cs="Arial" w:hint="eastAsia"/>
        </w:rPr>
        <w:t>（c）产权组织应成员国要求向其提供的援助。</w:t>
      </w:r>
    </w:p>
    <w:p w14:paraId="729466CA" w14:textId="77777777" w:rsidR="00EA5678" w:rsidRDefault="00215138" w:rsidP="0024776B">
      <w:pPr>
        <w:spacing w:afterLines="50" w:after="120" w:line="340" w:lineRule="atLeast"/>
        <w:jc w:val="both"/>
        <w:rPr>
          <w:rFonts w:hAnsi="SimSun" w:cs="SimSun"/>
        </w:rPr>
      </w:pPr>
      <w:r w:rsidRPr="00E775A9">
        <w:rPr>
          <w:rFonts w:hAnsi="SimSun" w:cs="Arial" w:hint="eastAsia"/>
        </w:rPr>
        <w:t>除2019年的两项活动外，秘书处向CDIP提交的所有关</w:t>
      </w:r>
      <w:r>
        <w:rPr>
          <w:rFonts w:hAnsi="SimSun" w:cs="SimSun" w:hint="eastAsia"/>
        </w:rPr>
        <w:t>于“产权组织对落实可持续发展目标及其相关具体目标的贡献”的报告都指出，“……秘书处尚未收到成员国专门就实现可持续发展目标寻求援助的任何请求。”</w:t>
      </w:r>
    </w:p>
    <w:p w14:paraId="42385529" w14:textId="77777777"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只有描述的两项活动涉及可持续发展目标的技术援助。</w:t>
      </w:r>
      <w:r w:rsidRPr="00E775A9">
        <w:rPr>
          <w:rFonts w:hAnsi="SimSun" w:cs="Arial" w:hint="eastAsia"/>
        </w:rPr>
        <w:t>这些活动是根据产权组织与一个成员国之间的谅解备忘录进行的，目的是：i)促进关于在数字时代利用知识产权制度促进经济、社会和文化发展的交流；以及ii)增强代表印刷品阅读障碍者和出版商的组织的能力。</w:t>
      </w:r>
      <w:r w:rsidRPr="00E775A9">
        <w:rPr>
          <w:rStyle w:val="FootnoteReference"/>
          <w:rFonts w:hAnsi="SimSun" w:cs="Arial" w:hint="eastAsia"/>
        </w:rPr>
        <w:footnoteReference w:id="15"/>
      </w:r>
    </w:p>
    <w:p w14:paraId="0627D074" w14:textId="77777777"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事实上，正如已经讨论的那样，产权组织的技术援助与可持续发展目标之间的联系只是形式上的，并没有得到明确的联系、愿景和行动计划的证实。</w:t>
      </w:r>
      <w:r w:rsidRPr="00E775A9">
        <w:rPr>
          <w:rFonts w:hAnsi="SimSun" w:cs="Arial" w:hint="eastAsia"/>
        </w:rPr>
        <w:t>然而，有必要指出的是，可持续发展目标是一个非常宽泛的概念范畴，几乎任何活动都可以纳入其范畴。为了使产权组织技术援助与可持续发展目标之间的联系更加清晰，必须纳入更多设计阶段的初步思考。在报告阶段建立了联系，但在技术援助规划的初始阶段通常没有仔细考虑。专栏1介绍了产权组织在可持续发展目标方面的一些工作领域。</w:t>
      </w:r>
    </w:p>
    <w:p w14:paraId="40749B5A" w14:textId="63456EE6" w:rsidR="00EA5678" w:rsidRPr="00E775A9" w:rsidRDefault="00215138" w:rsidP="00BA2033">
      <w:pPr>
        <w:spacing w:afterLines="50" w:after="120" w:line="340" w:lineRule="atLeast"/>
        <w:jc w:val="center"/>
        <w:rPr>
          <w:rFonts w:hAnsi="SimSun" w:cs="Arial"/>
          <w:color w:val="2F5496" w:themeColor="accent1" w:themeShade="BF"/>
          <w:sz w:val="20"/>
          <w:szCs w:val="20"/>
          <w:vertAlign w:val="superscript"/>
        </w:rPr>
      </w:pPr>
      <w:bookmarkStart w:id="315" w:name="_Toc177323542"/>
      <w:bookmarkStart w:id="316" w:name="_Toc177680490"/>
      <w:r w:rsidRPr="00E775A9">
        <w:rPr>
          <w:rFonts w:hAnsi="SimSun" w:cs="Arial" w:hint="eastAsia"/>
          <w:color w:val="2F5496" w:themeColor="accent1" w:themeShade="BF"/>
          <w:sz w:val="20"/>
          <w:szCs w:val="20"/>
        </w:rPr>
        <w:t>专栏</w:t>
      </w:r>
      <w:r w:rsidRPr="00E775A9">
        <w:rPr>
          <w:rFonts w:hAnsi="SimSun" w:cs="Arial" w:hint="eastAsia"/>
          <w:color w:val="2F5496" w:themeColor="accent1" w:themeShade="BF"/>
          <w:sz w:val="20"/>
          <w:szCs w:val="20"/>
        </w:rPr>
        <w:fldChar w:fldCharType="begin"/>
      </w:r>
      <w:r w:rsidRPr="00E775A9">
        <w:rPr>
          <w:rFonts w:hAnsi="SimSun" w:cs="Arial" w:hint="eastAsia"/>
          <w:color w:val="2F5496" w:themeColor="accent1" w:themeShade="BF"/>
          <w:sz w:val="20"/>
          <w:szCs w:val="20"/>
        </w:rPr>
        <w:instrText xml:space="preserve"> SEQ Box \* ARABIC </w:instrText>
      </w:r>
      <w:r w:rsidRPr="00E775A9">
        <w:rPr>
          <w:rFonts w:hAnsi="SimSun" w:cs="Arial" w:hint="eastAsia"/>
          <w:color w:val="2F5496" w:themeColor="accent1" w:themeShade="BF"/>
          <w:sz w:val="20"/>
          <w:szCs w:val="20"/>
        </w:rPr>
        <w:fldChar w:fldCharType="separate"/>
      </w:r>
      <w:r w:rsidR="00AA5A99">
        <w:rPr>
          <w:rFonts w:hAnsi="SimSun" w:cs="Arial"/>
          <w:noProof/>
          <w:color w:val="2F5496" w:themeColor="accent1" w:themeShade="BF"/>
          <w:sz w:val="20"/>
          <w:szCs w:val="20"/>
        </w:rPr>
        <w:t>1</w:t>
      </w:r>
      <w:r w:rsidRPr="00E775A9">
        <w:rPr>
          <w:rFonts w:hAnsi="SimSun" w:cs="Arial" w:hint="eastAsia"/>
          <w:color w:val="2F5496" w:themeColor="accent1" w:themeShade="BF"/>
          <w:sz w:val="20"/>
          <w:szCs w:val="20"/>
        </w:rPr>
        <w:fldChar w:fldCharType="end"/>
      </w:r>
      <w:r w:rsidRPr="00E775A9">
        <w:rPr>
          <w:rFonts w:hAnsi="SimSun" w:cs="Arial" w:hint="eastAsia"/>
          <w:color w:val="2F5496" w:themeColor="accent1" w:themeShade="BF"/>
          <w:sz w:val="20"/>
          <w:szCs w:val="20"/>
        </w:rPr>
        <w:t>.关于可持续发展目标的工作领域</w:t>
      </w:r>
      <w:r w:rsidRPr="00E775A9">
        <w:rPr>
          <w:rFonts w:hAnsi="SimSun" w:cs="Arial" w:hint="eastAsia"/>
          <w:color w:val="2F5496" w:themeColor="accent1" w:themeShade="BF"/>
          <w:sz w:val="20"/>
          <w:szCs w:val="20"/>
          <w:vertAlign w:val="superscript"/>
        </w:rPr>
        <w:footnoteReference w:id="16"/>
      </w:r>
      <w:bookmarkEnd w:id="315"/>
      <w:bookmarkEnd w:id="316"/>
    </w:p>
    <w:tbl>
      <w:tblPr>
        <w:tblStyle w:val="TableGrid"/>
        <w:tblW w:w="8505" w:type="dxa"/>
        <w:tblInd w:w="421" w:type="dxa"/>
        <w:tblLayout w:type="fixed"/>
        <w:tblLook w:val="04A0" w:firstRow="1" w:lastRow="0" w:firstColumn="1" w:lastColumn="0" w:noHBand="0" w:noVBand="1"/>
      </w:tblPr>
      <w:tblGrid>
        <w:gridCol w:w="8505"/>
      </w:tblGrid>
      <w:tr w:rsidR="00EA5678" w14:paraId="4436A1BF" w14:textId="77777777">
        <w:tc>
          <w:tcPr>
            <w:tcW w:w="8505" w:type="dxa"/>
          </w:tcPr>
          <w:p w14:paraId="5478A1C9" w14:textId="77777777" w:rsidR="00EA5678" w:rsidRPr="00E775A9" w:rsidRDefault="00215138" w:rsidP="00DF3EB3">
            <w:pPr>
              <w:pStyle w:val="ListParagraph"/>
              <w:spacing w:after="120"/>
              <w:ind w:left="431" w:hanging="431"/>
              <w:rPr>
                <w:rFonts w:hAnsi="SimSun" w:cs="Arial"/>
                <w:b/>
              </w:rPr>
            </w:pPr>
            <w:r w:rsidRPr="00E775A9">
              <w:rPr>
                <w:rFonts w:hAnsi="SimSun" w:cs="Arial" w:hint="eastAsia"/>
                <w:b/>
              </w:rPr>
              <w:t>可持续发展目标2（零饥饿）：</w:t>
            </w:r>
          </w:p>
          <w:p w14:paraId="32E390E9" w14:textId="77777777" w:rsidR="00EA5678" w:rsidRPr="00E775A9" w:rsidRDefault="00215138" w:rsidP="00BB2DF3">
            <w:pPr>
              <w:pStyle w:val="ListParagraph"/>
              <w:numPr>
                <w:ilvl w:val="0"/>
                <w:numId w:val="35"/>
              </w:numPr>
              <w:spacing w:after="120"/>
              <w:ind w:left="431" w:hanging="431"/>
              <w:contextualSpacing/>
              <w:rPr>
                <w:rFonts w:hAnsi="SimSun" w:cs="Arial"/>
              </w:rPr>
            </w:pPr>
            <w:r w:rsidRPr="00E775A9">
              <w:rPr>
                <w:rFonts w:hAnsi="SimSun" w:cs="Arial" w:hint="eastAsia"/>
              </w:rPr>
              <w:t>产权组织为保护地理标志和品牌战略向当地社区提供技术援助，促进他们融入全球经济。</w:t>
            </w:r>
          </w:p>
          <w:p w14:paraId="5F3AFBE8" w14:textId="77777777" w:rsidR="00EA5678" w:rsidRPr="00E775A9" w:rsidRDefault="00215138" w:rsidP="00DF3EB3">
            <w:pPr>
              <w:pStyle w:val="ListParagraph"/>
              <w:numPr>
                <w:ilvl w:val="0"/>
                <w:numId w:val="35"/>
              </w:numPr>
              <w:spacing w:after="120"/>
              <w:ind w:left="431" w:hanging="431"/>
              <w:rPr>
                <w:rFonts w:hAnsi="SimSun" w:cs="Arial"/>
              </w:rPr>
            </w:pPr>
            <w:r w:rsidRPr="00E775A9">
              <w:rPr>
                <w:rFonts w:hAnsi="SimSun" w:cs="Arial" w:hint="eastAsia"/>
              </w:rPr>
              <w:t>具体项目包括支持墨西哥的</w:t>
            </w:r>
            <w:r>
              <w:rPr>
                <w:rFonts w:hAnsi="SimSun" w:cs="SimSun" w:hint="eastAsia"/>
              </w:rPr>
              <w:t>“卡霍诺斯丝绸”和塞内加尔的“卡萨芒斯玛德果”</w:t>
            </w:r>
            <w:r w:rsidRPr="00E775A9">
              <w:rPr>
                <w:rFonts w:hAnsi="SimSun" w:cs="Arial" w:hint="eastAsia"/>
              </w:rPr>
              <w:t>，这些项目增强了当地生产者，特别是妇女和青年的能力。</w:t>
            </w:r>
          </w:p>
          <w:p w14:paraId="74DED522" w14:textId="77777777" w:rsidR="00EA5678" w:rsidRPr="00E775A9" w:rsidRDefault="00215138" w:rsidP="00DF3EB3">
            <w:pPr>
              <w:pStyle w:val="ListParagraph"/>
              <w:spacing w:after="120"/>
              <w:ind w:left="431" w:hanging="431"/>
              <w:rPr>
                <w:rFonts w:hAnsi="SimSun" w:cs="Arial"/>
                <w:b/>
              </w:rPr>
            </w:pPr>
            <w:r w:rsidRPr="00E775A9">
              <w:rPr>
                <w:rFonts w:hAnsi="SimSun" w:cs="Arial" w:hint="eastAsia"/>
                <w:b/>
              </w:rPr>
              <w:t>可持续发展目标3（健康和福祉）：</w:t>
            </w:r>
          </w:p>
          <w:p w14:paraId="23A38219" w14:textId="77777777" w:rsidR="00EA5678" w:rsidRPr="00E775A9" w:rsidRDefault="00215138" w:rsidP="00DF3EB3">
            <w:pPr>
              <w:pStyle w:val="ListParagraph"/>
              <w:numPr>
                <w:ilvl w:val="0"/>
                <w:numId w:val="35"/>
              </w:numPr>
              <w:spacing w:after="120"/>
              <w:ind w:left="431" w:hanging="431"/>
              <w:contextualSpacing/>
              <w:rPr>
                <w:rFonts w:hAnsi="SimSun" w:cs="Arial"/>
              </w:rPr>
            </w:pPr>
            <w:r w:rsidRPr="00E775A9">
              <w:rPr>
                <w:rFonts w:hAnsi="SimSun" w:cs="Arial" w:hint="eastAsia"/>
              </w:rPr>
              <w:t>与世界卫生组织就药用物质国际非专利名称开展合作，改善了获取药物信息的途径。</w:t>
            </w:r>
          </w:p>
          <w:p w14:paraId="52C2BF97" w14:textId="77777777" w:rsidR="00EA5678" w:rsidRPr="00E775A9" w:rsidRDefault="00215138" w:rsidP="00DF3EB3">
            <w:pPr>
              <w:pStyle w:val="ListParagraph"/>
              <w:numPr>
                <w:ilvl w:val="0"/>
                <w:numId w:val="35"/>
              </w:numPr>
              <w:spacing w:after="120"/>
              <w:ind w:left="431" w:hanging="431"/>
              <w:contextualSpacing/>
              <w:rPr>
                <w:rFonts w:hAnsi="SimSun" w:cs="Arial"/>
              </w:rPr>
            </w:pPr>
            <w:r w:rsidRPr="00E775A9">
              <w:rPr>
                <w:rFonts w:hAnsi="SimSun" w:cs="Arial" w:hint="eastAsia"/>
              </w:rPr>
              <w:t>WIPO Re:Search促进了针对被忽视的热带疾病的研发，不过，该项目已于2022年12月结束。</w:t>
            </w:r>
          </w:p>
          <w:p w14:paraId="143CDAC6" w14:textId="77777777" w:rsidR="00EA5678" w:rsidRPr="00E775A9" w:rsidRDefault="00215138" w:rsidP="00DF3EB3">
            <w:pPr>
              <w:pStyle w:val="ListParagraph"/>
              <w:numPr>
                <w:ilvl w:val="0"/>
                <w:numId w:val="35"/>
              </w:numPr>
              <w:spacing w:after="120"/>
              <w:ind w:left="431" w:hanging="431"/>
              <w:rPr>
                <w:rFonts w:hAnsi="SimSun" w:cs="Arial"/>
              </w:rPr>
            </w:pPr>
            <w:r w:rsidRPr="00E775A9">
              <w:rPr>
                <w:rFonts w:hAnsi="SimSun" w:cs="Arial" w:hint="eastAsia"/>
              </w:rPr>
              <w:t>启动了解决知识产权与全球卫生交叉问题的举措，特别是应对COVID-19的举措。</w:t>
            </w:r>
          </w:p>
          <w:p w14:paraId="7DA1AC60" w14:textId="77777777" w:rsidR="00EA5678" w:rsidRPr="00E775A9" w:rsidRDefault="00215138" w:rsidP="00DF3EB3">
            <w:pPr>
              <w:pStyle w:val="ListParagraph"/>
              <w:spacing w:after="120"/>
              <w:ind w:left="431" w:hanging="431"/>
              <w:rPr>
                <w:rFonts w:hAnsi="SimSun" w:cs="Arial"/>
                <w:b/>
              </w:rPr>
            </w:pPr>
            <w:r w:rsidRPr="00E775A9">
              <w:rPr>
                <w:rFonts w:hAnsi="SimSun" w:cs="Arial" w:hint="eastAsia"/>
                <w:b/>
              </w:rPr>
              <w:t>可持续发展目标4（优质教育）：</w:t>
            </w:r>
          </w:p>
          <w:p w14:paraId="3E5EE5E5" w14:textId="77777777" w:rsidR="00EA5678" w:rsidRPr="00E775A9" w:rsidRDefault="00215138" w:rsidP="00DF3EB3">
            <w:pPr>
              <w:pStyle w:val="ListParagraph"/>
              <w:numPr>
                <w:ilvl w:val="0"/>
                <w:numId w:val="35"/>
              </w:numPr>
              <w:spacing w:after="120"/>
              <w:ind w:left="431" w:hanging="431"/>
              <w:rPr>
                <w:rFonts w:hAnsi="SimSun" w:cs="Arial"/>
              </w:rPr>
            </w:pPr>
            <w:r w:rsidRPr="00E775A9">
              <w:rPr>
                <w:rFonts w:hAnsi="SimSun" w:cs="Arial" w:hint="eastAsia"/>
              </w:rPr>
              <w:t>WIPO学院推动针对发展中国家和转型国家政府官员的教育举措，增强了他们对知识产权的理解。</w:t>
            </w:r>
          </w:p>
          <w:p w14:paraId="59A66851" w14:textId="77777777" w:rsidR="00EA5678" w:rsidRPr="00E775A9" w:rsidRDefault="00215138" w:rsidP="00DF3EB3">
            <w:pPr>
              <w:pStyle w:val="ListParagraph"/>
              <w:spacing w:after="120"/>
              <w:ind w:left="431" w:hanging="431"/>
              <w:rPr>
                <w:rFonts w:hAnsi="SimSun" w:cs="Arial"/>
                <w:b/>
              </w:rPr>
            </w:pPr>
            <w:r w:rsidRPr="00E775A9">
              <w:rPr>
                <w:rFonts w:hAnsi="SimSun" w:cs="Arial" w:hint="eastAsia"/>
                <w:b/>
              </w:rPr>
              <w:t>可持续发展目标9（工业、创新和基础设施）：</w:t>
            </w:r>
          </w:p>
          <w:p w14:paraId="5FFCDB5E" w14:textId="77777777" w:rsidR="00EA5678" w:rsidRPr="00E775A9" w:rsidRDefault="00215138" w:rsidP="00DF3EB3">
            <w:pPr>
              <w:pStyle w:val="ListParagraph"/>
              <w:numPr>
                <w:ilvl w:val="0"/>
                <w:numId w:val="35"/>
              </w:numPr>
              <w:spacing w:after="120"/>
              <w:ind w:left="431" w:hanging="431"/>
              <w:rPr>
                <w:rFonts w:hAnsi="SimSun" w:cs="Arial"/>
              </w:rPr>
            </w:pPr>
            <w:r w:rsidRPr="00E775A9">
              <w:rPr>
                <w:rFonts w:hAnsi="SimSun" w:cs="Arial" w:hint="eastAsia"/>
              </w:rPr>
              <w:t>产权组织的活动通过各种计划支持创新，包括WIPO GREEN举措，该举措将可持续技术与环境需求联系起来。</w:t>
            </w:r>
          </w:p>
          <w:p w14:paraId="02788D3A" w14:textId="77777777" w:rsidR="00EA5678" w:rsidRPr="00E775A9" w:rsidRDefault="00215138" w:rsidP="00DF3EB3">
            <w:pPr>
              <w:pStyle w:val="ListParagraph"/>
              <w:spacing w:after="120"/>
              <w:ind w:left="431" w:hanging="431"/>
              <w:rPr>
                <w:rFonts w:hAnsi="SimSun" w:cs="Arial"/>
                <w:b/>
              </w:rPr>
            </w:pPr>
            <w:r w:rsidRPr="00E775A9">
              <w:rPr>
                <w:rFonts w:hAnsi="SimSun" w:cs="Arial" w:hint="eastAsia"/>
                <w:b/>
              </w:rPr>
              <w:t>可持续发展目标13（气候行动）：</w:t>
            </w:r>
          </w:p>
          <w:p w14:paraId="65CEA902" w14:textId="77777777" w:rsidR="00EA5678" w:rsidRDefault="00215138" w:rsidP="00DF3EB3">
            <w:pPr>
              <w:pStyle w:val="ListParagraph"/>
              <w:numPr>
                <w:ilvl w:val="0"/>
                <w:numId w:val="35"/>
              </w:numPr>
              <w:spacing w:after="120"/>
              <w:ind w:left="431" w:hanging="431"/>
              <w:rPr>
                <w:rFonts w:ascii="Arial" w:hAnsi="Arial" w:cs="Arial"/>
              </w:rPr>
            </w:pPr>
            <w:r w:rsidRPr="00E775A9">
              <w:rPr>
                <w:rFonts w:hAnsi="SimSun" w:cs="Arial" w:hint="eastAsia"/>
              </w:rPr>
              <w:t>WIPO GREEN下的举措包括出版《绿色技术手册》和开发应对气候变化影响的创新技术数据库。</w:t>
            </w:r>
          </w:p>
        </w:tc>
      </w:tr>
    </w:tbl>
    <w:p w14:paraId="7EE7FC11" w14:textId="3DD570A8" w:rsidR="00EA5678" w:rsidRPr="00A23549" w:rsidRDefault="009B2972" w:rsidP="009B2972">
      <w:pPr>
        <w:pStyle w:val="Heading2"/>
        <w:spacing w:before="240" w:after="120"/>
        <w:rPr>
          <w:rFonts w:cstheme="majorBidi"/>
          <w:b w:val="0"/>
        </w:rPr>
      </w:pPr>
      <w:bookmarkStart w:id="317" w:name="_Toc181695800"/>
      <w:r w:rsidRPr="00A23549">
        <w:rPr>
          <w:rFonts w:cstheme="majorBidi" w:hint="eastAsia"/>
        </w:rPr>
        <w:t>4.3</w:t>
      </w:r>
      <w:r w:rsidRPr="00A23549">
        <w:rPr>
          <w:rFonts w:cstheme="majorBidi"/>
        </w:rPr>
        <w:tab/>
      </w:r>
      <w:r w:rsidR="00215138" w:rsidRPr="00A23549">
        <w:rPr>
          <w:rFonts w:cstheme="majorBidi" w:hint="eastAsia"/>
        </w:rPr>
        <w:t>效率和连贯性</w:t>
      </w:r>
      <w:bookmarkEnd w:id="317"/>
    </w:p>
    <w:p w14:paraId="24BE16A8"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就效率和连贯性，审查审议了以下内容：</w:t>
      </w:r>
    </w:p>
    <w:p w14:paraId="2B77F5E3" w14:textId="77777777" w:rsidR="00EA5678" w:rsidRPr="00E775A9" w:rsidRDefault="00215138" w:rsidP="00A7456D">
      <w:pPr>
        <w:spacing w:afterLines="50" w:after="120" w:line="340" w:lineRule="atLeast"/>
        <w:ind w:left="851" w:hanging="284"/>
        <w:contextualSpacing/>
        <w:jc w:val="both"/>
        <w:rPr>
          <w:rFonts w:hAnsi="SimSun" w:cs="Arial"/>
        </w:rPr>
      </w:pPr>
      <w:r w:rsidRPr="00E775A9">
        <w:rPr>
          <w:rFonts w:hAnsi="SimSun" w:cs="Arial" w:hint="eastAsia"/>
        </w:rPr>
        <w:t>a.</w:t>
      </w:r>
      <w:r w:rsidRPr="00E775A9">
        <w:rPr>
          <w:rFonts w:hAnsi="SimSun" w:cs="Arial" w:hint="eastAsia"/>
        </w:rPr>
        <w:tab/>
        <w:t>技术援助干预措施是否是有效并按时组织的。</w:t>
      </w:r>
    </w:p>
    <w:p w14:paraId="3420CA8D" w14:textId="77777777" w:rsidR="00EA5678" w:rsidRPr="00E775A9" w:rsidRDefault="00215138" w:rsidP="00A7456D">
      <w:pPr>
        <w:spacing w:afterLines="50" w:after="120" w:line="340" w:lineRule="atLeast"/>
        <w:ind w:left="851" w:hanging="284"/>
        <w:contextualSpacing/>
        <w:jc w:val="both"/>
        <w:rPr>
          <w:rFonts w:hAnsi="SimSun" w:cs="Arial"/>
        </w:rPr>
      </w:pPr>
      <w:r w:rsidRPr="00E775A9">
        <w:rPr>
          <w:rFonts w:hAnsi="SimSun" w:cs="Arial" w:hint="eastAsia"/>
        </w:rPr>
        <w:t>b.</w:t>
      </w:r>
      <w:r w:rsidRPr="00E775A9">
        <w:rPr>
          <w:rFonts w:hAnsi="SimSun" w:cs="Arial" w:hint="eastAsia"/>
        </w:rPr>
        <w:tab/>
        <w:t>产权组织在多大程度上以一致和具有成本效益的方式为其技术援助活动规划、编制预算并提供人力资源。</w:t>
      </w:r>
    </w:p>
    <w:p w14:paraId="690748D4" w14:textId="77777777" w:rsidR="00EA5678" w:rsidRPr="00E775A9" w:rsidRDefault="00215138" w:rsidP="00A7456D">
      <w:pPr>
        <w:spacing w:afterLines="50" w:after="120" w:line="340" w:lineRule="atLeast"/>
        <w:ind w:left="851" w:hanging="284"/>
        <w:contextualSpacing/>
        <w:jc w:val="both"/>
        <w:rPr>
          <w:rFonts w:hAnsi="SimSun" w:cs="Arial"/>
        </w:rPr>
      </w:pPr>
      <w:r w:rsidRPr="00E775A9">
        <w:rPr>
          <w:rFonts w:hAnsi="SimSun" w:cs="Arial" w:hint="eastAsia"/>
        </w:rPr>
        <w:t>c.</w:t>
      </w:r>
      <w:r w:rsidRPr="00E775A9">
        <w:rPr>
          <w:rFonts w:hAnsi="SimSun" w:cs="Arial" w:hint="eastAsia"/>
        </w:rPr>
        <w:tab/>
        <w:t>产权组织开展技术援助活动的方法在多大程度上与其所追求的目标相一致。</w:t>
      </w:r>
    </w:p>
    <w:p w14:paraId="5781E367" w14:textId="77777777" w:rsidR="00EA5678" w:rsidRPr="00E775A9" w:rsidRDefault="00215138" w:rsidP="00A7456D">
      <w:pPr>
        <w:spacing w:afterLines="50" w:after="120" w:line="340" w:lineRule="atLeast"/>
        <w:ind w:left="851" w:hanging="284"/>
        <w:contextualSpacing/>
        <w:jc w:val="both"/>
        <w:rPr>
          <w:rFonts w:hAnsi="SimSun" w:cs="Arial"/>
        </w:rPr>
      </w:pPr>
      <w:r w:rsidRPr="00E775A9">
        <w:rPr>
          <w:rFonts w:hAnsi="SimSun" w:cs="Arial" w:hint="eastAsia"/>
        </w:rPr>
        <w:t>d.</w:t>
      </w:r>
      <w:r w:rsidRPr="00E775A9">
        <w:rPr>
          <w:rFonts w:hAnsi="SimSun" w:cs="Arial" w:hint="eastAsia"/>
        </w:rPr>
        <w:tab/>
        <w:t>技术援助干预措施有哪些优势和不足。</w:t>
      </w:r>
    </w:p>
    <w:p w14:paraId="2CFDBFF5" w14:textId="77777777" w:rsidR="00EA5678" w:rsidRPr="00E775A9" w:rsidRDefault="00215138" w:rsidP="00A7456D">
      <w:pPr>
        <w:spacing w:afterLines="50" w:after="120" w:line="340" w:lineRule="atLeast"/>
        <w:ind w:left="851" w:hanging="284"/>
        <w:contextualSpacing/>
        <w:jc w:val="both"/>
        <w:rPr>
          <w:rFonts w:hAnsi="SimSun" w:cs="Arial"/>
        </w:rPr>
      </w:pPr>
      <w:r w:rsidRPr="00E775A9">
        <w:rPr>
          <w:rFonts w:hAnsi="SimSun" w:cs="Arial" w:hint="eastAsia"/>
        </w:rPr>
        <w:t>e.</w:t>
      </w:r>
      <w:r w:rsidRPr="00E775A9">
        <w:rPr>
          <w:rFonts w:hAnsi="SimSun" w:cs="Arial" w:hint="eastAsia"/>
        </w:rPr>
        <w:tab/>
        <w:t>考虑到产权组织注重成果的管理框架，已有哪些机制可以跟踪用于发展相关活动的资源分配情况和成果。监测和报告机制的有效性。</w:t>
      </w:r>
    </w:p>
    <w:p w14:paraId="1DB9F62B" w14:textId="77777777" w:rsidR="00EA5678" w:rsidRPr="00E775A9" w:rsidRDefault="00215138" w:rsidP="00A7456D">
      <w:pPr>
        <w:spacing w:afterLines="50" w:after="120" w:line="340" w:lineRule="atLeast"/>
        <w:ind w:left="851" w:hanging="284"/>
        <w:contextualSpacing/>
        <w:jc w:val="both"/>
        <w:rPr>
          <w:rFonts w:hAnsi="SimSun" w:cs="Arial"/>
        </w:rPr>
      </w:pPr>
      <w:r w:rsidRPr="00E775A9">
        <w:rPr>
          <w:rFonts w:hAnsi="SimSun" w:cs="Arial" w:hint="eastAsia"/>
        </w:rPr>
        <w:t>f.</w:t>
      </w:r>
      <w:r w:rsidRPr="00E775A9">
        <w:rPr>
          <w:rFonts w:hAnsi="SimSun" w:cs="Arial" w:hint="eastAsia"/>
        </w:rPr>
        <w:tab/>
        <w:t>是否采用了正确的手段来实现技术援助促进可持续发展的目标。</w:t>
      </w:r>
    </w:p>
    <w:p w14:paraId="02259323" w14:textId="77777777" w:rsidR="00EA5678" w:rsidRPr="00E775A9" w:rsidRDefault="00215138" w:rsidP="00A7456D">
      <w:pPr>
        <w:spacing w:afterLines="50" w:after="120" w:line="340" w:lineRule="atLeast"/>
        <w:ind w:left="851" w:hanging="284"/>
        <w:jc w:val="both"/>
        <w:rPr>
          <w:rFonts w:hAnsi="SimSun" w:cs="Arial"/>
        </w:rPr>
      </w:pPr>
      <w:r w:rsidRPr="00E775A9">
        <w:rPr>
          <w:rFonts w:hAnsi="SimSun" w:cs="Arial" w:hint="eastAsia"/>
        </w:rPr>
        <w:t>g.</w:t>
      </w:r>
      <w:r w:rsidRPr="00E775A9">
        <w:rPr>
          <w:rFonts w:hAnsi="SimSun" w:cs="Arial" w:hint="eastAsia"/>
        </w:rPr>
        <w:tab/>
        <w:t>产权组织的技术援助活动在多大程度上是为了确保促进发展的政策连贯性。</w:t>
      </w:r>
    </w:p>
    <w:p w14:paraId="768A4C13" w14:textId="1FE1C397" w:rsidR="00EA5678" w:rsidRPr="00E775A9" w:rsidRDefault="00A7456D" w:rsidP="00C259B0">
      <w:pPr>
        <w:pStyle w:val="ListParagraph"/>
        <w:numPr>
          <w:ilvl w:val="0"/>
          <w:numId w:val="3"/>
        </w:numPr>
        <w:spacing w:after="120"/>
        <w:ind w:left="0" w:firstLine="0"/>
        <w:rPr>
          <w:rFonts w:hAnsi="SimSun" w:cs="Arial"/>
        </w:rPr>
      </w:pPr>
      <w:r>
        <w:rPr>
          <w:rFonts w:ascii="Arial" w:hAnsi="Arial" w:cs="Arial" w:hint="eastAsia"/>
          <w:b/>
          <w:i/>
          <w:iCs/>
          <w:noProof/>
        </w:rPr>
        <mc:AlternateContent>
          <mc:Choice Requires="wps">
            <w:drawing>
              <wp:anchor distT="45720" distB="45720" distL="114300" distR="114300" simplePos="0" relativeHeight="251687936" behindDoc="0" locked="0" layoutInCell="1" allowOverlap="1" wp14:anchorId="6AAF8BB0" wp14:editId="315666DB">
                <wp:simplePos x="0" y="0"/>
                <wp:positionH relativeFrom="margin">
                  <wp:posOffset>13970</wp:posOffset>
                </wp:positionH>
                <wp:positionV relativeFrom="paragraph">
                  <wp:posOffset>1012770</wp:posOffset>
                </wp:positionV>
                <wp:extent cx="2360930" cy="1333500"/>
                <wp:effectExtent l="0" t="0" r="12700" b="19050"/>
                <wp:wrapSquare wrapText="bothSides"/>
                <wp:docPr id="199445870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333500"/>
                        </a:xfrm>
                        <a:prstGeom prst="rect">
                          <a:avLst/>
                        </a:prstGeom>
                        <a:solidFill>
                          <a:srgbClr val="002060"/>
                        </a:solidFill>
                        <a:ln w="9525">
                          <a:solidFill>
                            <a:srgbClr val="000000"/>
                          </a:solidFill>
                          <a:miter lim="800000"/>
                        </a:ln>
                      </wps:spPr>
                      <wps:txbx>
                        <w:txbxContent>
                          <w:p w14:paraId="447D6F27" w14:textId="6C6ABB68" w:rsidR="00EA5678" w:rsidRPr="00A7456D" w:rsidRDefault="00215138" w:rsidP="00A7456D">
                            <w:pPr>
                              <w:spacing w:afterLines="50" w:after="120" w:line="340" w:lineRule="atLeast"/>
                              <w:jc w:val="center"/>
                              <w:rPr>
                                <w:rFonts w:hAnsi="SimSun"/>
                              </w:rPr>
                            </w:pPr>
                            <w:r w:rsidRPr="00A7456D">
                              <w:rPr>
                                <w:rFonts w:hAnsi="SimSun"/>
                              </w:rPr>
                              <w:t>“产权组织非常及时地向我们提供了支持（</w:t>
                            </w:r>
                            <w:r w:rsidR="00A7456D" w:rsidRPr="00A7456D">
                              <w:rPr>
                                <w:rFonts w:hAnsi="SimSun" w:hint="eastAsia"/>
                              </w:rPr>
                              <w:t>……</w:t>
                            </w:r>
                            <w:r w:rsidRPr="00A7456D">
                              <w:rPr>
                                <w:rFonts w:hAnsi="SimSun"/>
                              </w:rPr>
                              <w:t>）与他们合作非常容易。我们要强调的是，产权组织如何能够采取新的计划。”</w:t>
                            </w:r>
                          </w:p>
                          <w:p w14:paraId="1B1E07DB" w14:textId="77777777" w:rsidR="00EA5678" w:rsidRPr="00A7456D" w:rsidRDefault="00215138" w:rsidP="00A7456D">
                            <w:pPr>
                              <w:spacing w:afterLines="50" w:after="120" w:line="340" w:lineRule="atLeast"/>
                              <w:jc w:val="center"/>
                              <w:rPr>
                                <w:rFonts w:hAnsi="SimSun"/>
                              </w:rPr>
                            </w:pPr>
                            <w:r w:rsidRPr="00A7456D">
                              <w:rPr>
                                <w:rFonts w:hAnsi="SimSun"/>
                              </w:rPr>
                              <w:t>成员国</w:t>
                            </w:r>
                          </w:p>
                        </w:txbxContent>
                      </wps:txbx>
                      <wps:bodyPr rot="0" vert="horz" wrap="square" lIns="91440" tIns="45720" rIns="91440" bIns="45720" anchor="t" anchorCtr="0">
                        <a:noAutofit/>
                      </wps:bodyPr>
                    </wps:wsp>
                  </a:graphicData>
                </a:graphic>
                <wp14:sizeRelH relativeFrom="margin">
                  <wp14:pctWidth>40000</wp14:pctWidth>
                </wp14:sizeRelH>
                <wp14:sizeRelV relativeFrom="page">
                  <wp14:pctHeight>0</wp14:pctHeight>
                </wp14:sizeRelV>
              </wp:anchor>
            </w:drawing>
          </mc:Choice>
          <mc:Fallback>
            <w:pict>
              <v:shape w14:anchorId="6AAF8BB0" id="_x0000_s1052" type="#_x0000_t202" style="position:absolute;left:0;text-align:left;margin-left:1.1pt;margin-top:79.75pt;width:185.9pt;height:105pt;z-index:251687936;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" fillcolor="#002060">
                <v:textbox>
                  <w:txbxContent>
                    <w:p w14:paraId="447D6F27" w14:textId="6C6ABB68" w:rsidR="00EA5678" w:rsidRPr="00A7456D" w:rsidRDefault="00215138" w:rsidP="00A7456D">
                      <w:pPr>
                        <w:spacing w:afterLines="50" w:after="120" w:line="340" w:lineRule="atLeast"/>
                        <w:jc w:val="center"/>
                        <w:rPr>
                          <w:rFonts w:hAnsi="SimSun"/>
                        </w:rPr>
                      </w:pPr>
                      <w:r w:rsidRPr="00A7456D">
                        <w:rPr>
                          <w:rFonts w:hAnsi="SimSun"/>
                        </w:rPr>
                        <w:t>“产权组织非常及时地向我们提供了支持（</w:t>
                      </w:r>
                      <w:r w:rsidR="00A7456D" w:rsidRPr="00A7456D">
                        <w:rPr>
                          <w:rFonts w:hAnsi="SimSun" w:hint="eastAsia"/>
                        </w:rPr>
                        <w:t>……</w:t>
                      </w:r>
                      <w:r w:rsidRPr="00A7456D">
                        <w:rPr>
                          <w:rFonts w:hAnsi="SimSun"/>
                        </w:rPr>
                        <w:t>）与他们合作非常容易。我们要强调的是，产权组织如何能够采取新的计划。”</w:t>
                      </w:r>
                    </w:p>
                    <w:p w14:paraId="1B1E07DB" w14:textId="77777777" w:rsidR="00EA5678" w:rsidRPr="00A7456D" w:rsidRDefault="00215138" w:rsidP="00A7456D">
                      <w:pPr>
                        <w:spacing w:afterLines="50" w:after="120" w:line="340" w:lineRule="atLeast"/>
                        <w:jc w:val="center"/>
                        <w:rPr>
                          <w:rFonts w:hAnsi="SimSun"/>
                        </w:rPr>
                      </w:pPr>
                      <w:r w:rsidRPr="00A7456D">
                        <w:rPr>
                          <w:rFonts w:hAnsi="SimSun"/>
                        </w:rPr>
                        <w:t>成员国</w:t>
                      </w:r>
                    </w:p>
                  </w:txbxContent>
                </v:textbox>
                <w10:wrap type="square" anchorx="margin"/>
              </v:shape>
            </w:pict>
          </mc:Fallback>
        </mc:AlternateContent>
      </w:r>
      <w:r>
        <w:rPr>
          <w:rFonts w:ascii="Arial" w:hAnsi="Arial" w:cs="Arial" w:hint="eastAsia"/>
          <w:i/>
          <w:iCs/>
          <w:noProof/>
        </w:rPr>
        <mc:AlternateContent>
          <mc:Choice Requires="wps">
            <w:drawing>
              <wp:anchor distT="45720" distB="45720" distL="114300" distR="114300" simplePos="0" relativeHeight="251679744" behindDoc="0" locked="0" layoutInCell="1" allowOverlap="1" wp14:anchorId="60D7337C" wp14:editId="32950F2B">
                <wp:simplePos x="0" y="0"/>
                <wp:positionH relativeFrom="margin">
                  <wp:posOffset>3692525</wp:posOffset>
                </wp:positionH>
                <wp:positionV relativeFrom="paragraph">
                  <wp:posOffset>264795</wp:posOffset>
                </wp:positionV>
                <wp:extent cx="2240280" cy="824230"/>
                <wp:effectExtent l="0" t="0" r="7620" b="0"/>
                <wp:wrapSquare wrapText="bothSides"/>
                <wp:docPr id="170332608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0280" cy="824230"/>
                        </a:xfrm>
                        <a:prstGeom prst="rect">
                          <a:avLst/>
                        </a:prstGeom>
                        <a:solidFill>
                          <a:srgbClr val="FFC000">
                            <a:lumMod val="60000"/>
                            <a:lumOff val="40000"/>
                          </a:srgbClr>
                        </a:solidFill>
                        <a:ln w="9525">
                          <a:noFill/>
                          <a:miter lim="800000"/>
                        </a:ln>
                      </wps:spPr>
                      <wps:txbx>
                        <w:txbxContent>
                          <w:p w14:paraId="6F0AAD49" w14:textId="624182F7" w:rsidR="00EA5678" w:rsidRDefault="00215138" w:rsidP="00A7456D">
                            <w:pPr>
                              <w:spacing w:afterLines="50" w:after="120" w:line="340" w:lineRule="atLeast"/>
                              <w:jc w:val="both"/>
                            </w:pPr>
                            <w:bookmarkStart w:id="318" w:name="_Hlk174544262"/>
                            <w:bookmarkStart w:id="319" w:name="_Hlk174544261"/>
                            <w:r>
                              <w:t>审查结果16：产权组织已根据其注重成果的管理框架，从基于活动的方法转向基于项目的方法。</w:t>
                            </w:r>
                            <w:bookmarkEnd w:id="318"/>
                            <w:bookmarkEnd w:id="319"/>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60D7337C" id="_x0000_s1053" type="#_x0000_t202" style="position:absolute;left:0;text-align:left;margin-left:290.75pt;margin-top:20.85pt;width:176.4pt;height:64.9pt;z-index:251679744;visibility:visible;mso-wrap-style:square;mso-height-percent:0;mso-wrap-distance-left:9pt;mso-wrap-distance-top:3.6pt;mso-wrap-distance-right:9pt;mso-wrap-distance-bottom:3.6pt;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" fillcolor="#ffd966" stroked="f">
                <v:textbox>
                  <w:txbxContent>
                    <w:p w14:paraId="6F0AAD49" w14:textId="624182F7" w:rsidR="00EA5678" w:rsidRDefault="00215138" w:rsidP="00A7456D">
                      <w:pPr>
                        <w:spacing w:afterLines="50" w:after="120" w:line="340" w:lineRule="atLeast"/>
                        <w:jc w:val="both"/>
                      </w:pPr>
                      <w:bookmarkStart w:id="340" w:name="_Hlk174544262"/>
                      <w:bookmarkStart w:id="341" w:name="_Hlk174544261"/>
                      <w:r>
                        <w:t>审查结果16：产权组织已根据其注重成果的管理框架，从基于活动的方法转向基于项目的方法。</w:t>
                      </w:r>
                      <w:bookmarkEnd w:id="340"/>
                      <w:bookmarkEnd w:id="341"/>
                    </w:p>
                  </w:txbxContent>
                </v:textbox>
                <w10:wrap type="square" anchorx="margin"/>
              </v:shape>
            </w:pict>
          </mc:Fallback>
        </mc:AlternateContent>
      </w:r>
      <w:r w:rsidR="00215138" w:rsidRPr="00E23D52">
        <w:rPr>
          <w:rFonts w:ascii="KaiTi" w:eastAsia="KaiTi" w:hAnsi="KaiTi" w:cs="Arial" w:hint="eastAsia"/>
          <w:iCs/>
        </w:rPr>
        <w:t>审查确认，在2017-2022年期间，为提供技术援助开展了充分的规划和预算编制活动。</w:t>
      </w:r>
      <w:r w:rsidR="00215138" w:rsidRPr="00E775A9">
        <w:rPr>
          <w:rFonts w:hAnsi="SimSun" w:cs="Arial" w:hint="eastAsia"/>
        </w:rPr>
        <w:t>侧重点已从活动转向项目，使技术援助更具一致性。技术援助的提供以注重成果的管理为指导，在大多数情况下是通过需求评估、与成员国谈判谅解备忘录，以及服务级协议来启动的，说明了要提供的资源和要实现的成果。59.6%的受访者将所提供的技术援助与受益成员国的需求之间的相符程度评为“高”和“非常高”，这一事实证实了上述审查结果。利益攸关方进一步证实了这一看法，他们表示，实地项目增多，促使更多的成员国请求技术援助。</w:t>
      </w:r>
    </w:p>
    <w:p w14:paraId="3295751C" w14:textId="01206B2A"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然而，在与包括产权组织工作人员和成员国代表在内的主要利益攸关方的访谈中，确定了一些有待改进的领域。例如</w:t>
      </w:r>
      <w:r w:rsidRPr="00E23D52">
        <w:rPr>
          <w:rFonts w:ascii="KaiTi" w:eastAsia="KaiTi" w:hAnsi="KaiTi" w:cs="Arial" w:hint="eastAsia"/>
          <w:b/>
          <w:iCs/>
        </w:rPr>
        <w:t>，</w:t>
      </w:r>
      <w:r w:rsidRPr="00E23D52">
        <w:rPr>
          <w:rFonts w:ascii="KaiTi" w:eastAsia="KaiTi" w:hAnsi="KaiTi" w:cs="Arial" w:hint="eastAsia"/>
          <w:iCs/>
        </w:rPr>
        <w:t>利益攸关方发现，提交给CDIP的发展议程项目应更好地反映国家机构的需求。</w:t>
      </w:r>
      <w:r w:rsidRPr="00E775A9">
        <w:rPr>
          <w:rFonts w:hAnsi="SimSun" w:cs="Arial" w:hint="eastAsia"/>
        </w:rPr>
        <w:t>还有必要加强国家层面的有机对话，以便在相关情况下，让成员国更多的实地利益攸关方实地参与项目的设计和实施。</w:t>
      </w:r>
    </w:p>
    <w:p w14:paraId="2ABA757C" w14:textId="53BBD81D"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审查确认，在审查期间为提供技术援助分配了充足的财政资源</w:t>
      </w:r>
      <w:r w:rsidRPr="00E775A9">
        <w:rPr>
          <w:rFonts w:hAnsi="SimSun" w:cs="Arial" w:hint="eastAsia"/>
        </w:rPr>
        <w:t>。这一调查结果基于以下证据：</w:t>
      </w:r>
    </w:p>
    <w:p w14:paraId="4E39E65F" w14:textId="685EB0AB" w:rsidR="00EA5678" w:rsidRPr="00E775A9" w:rsidRDefault="00215138" w:rsidP="00A7456D">
      <w:pPr>
        <w:pStyle w:val="ListParagraph"/>
        <w:numPr>
          <w:ilvl w:val="0"/>
          <w:numId w:val="36"/>
        </w:numPr>
        <w:spacing w:after="120"/>
        <w:ind w:left="851" w:hanging="284"/>
        <w:rPr>
          <w:rFonts w:hAnsi="SimSun" w:cs="Arial"/>
        </w:rPr>
      </w:pPr>
      <w:r w:rsidRPr="00E23D52">
        <w:rPr>
          <w:rFonts w:ascii="KaiTi" w:eastAsia="KaiTi" w:hAnsi="KaiTi" w:cs="Arial" w:hint="eastAsia"/>
          <w:b/>
          <w:iCs/>
        </w:rPr>
        <w:t>受访者评价</w:t>
      </w:r>
      <w:r w:rsidRPr="00E775A9">
        <w:rPr>
          <w:rFonts w:hAnsi="SimSun" w:cs="Arial" w:hint="eastAsia"/>
        </w:rPr>
        <w:t>：62%的受访者将所提供财政资源的充足程度评为“高”和“非常高”。</w:t>
      </w:r>
    </w:p>
    <w:p w14:paraId="1E479990" w14:textId="77777777" w:rsidR="00EA5678" w:rsidRPr="00E775A9" w:rsidRDefault="00215138" w:rsidP="00A7456D">
      <w:pPr>
        <w:pStyle w:val="ListParagraph"/>
        <w:numPr>
          <w:ilvl w:val="0"/>
          <w:numId w:val="36"/>
        </w:numPr>
        <w:spacing w:after="120"/>
        <w:ind w:left="851" w:hanging="284"/>
        <w:rPr>
          <w:rFonts w:hAnsi="SimSun" w:cs="Arial"/>
        </w:rPr>
      </w:pPr>
      <w:r w:rsidRPr="00E23D52">
        <w:rPr>
          <w:rFonts w:ascii="KaiTi" w:eastAsia="KaiTi" w:hAnsi="KaiTi" w:cs="Arial" w:hint="eastAsia"/>
          <w:b/>
          <w:iCs/>
        </w:rPr>
        <w:t>共同捐助战略</w:t>
      </w:r>
      <w:r w:rsidRPr="00E775A9">
        <w:rPr>
          <w:rFonts w:hAnsi="SimSun" w:cs="Arial" w:hint="eastAsia"/>
        </w:rPr>
        <w:t>：为了资助技术援助活动，产权组织和成员国通常都会提供预算捐款。成员国接受了共同捐助安排，产权组织提供技术支持，成员国则承担当地费用和实物捐助。据一些受访者称，在某些情况（项目）下，当地捐助可能高达30%。这对成员国的参与度和可持续性至关重要。</w:t>
      </w:r>
    </w:p>
    <w:p w14:paraId="3BDAF4FE" w14:textId="13AC7727" w:rsidR="00EA5678" w:rsidRPr="00E775A9" w:rsidRDefault="00215138" w:rsidP="00A7456D">
      <w:pPr>
        <w:pStyle w:val="ListParagraph"/>
        <w:numPr>
          <w:ilvl w:val="0"/>
          <w:numId w:val="36"/>
        </w:numPr>
        <w:spacing w:after="120"/>
        <w:ind w:left="851" w:hanging="284"/>
        <w:rPr>
          <w:rFonts w:hAnsi="SimSun" w:cs="Arial"/>
        </w:rPr>
      </w:pPr>
      <w:r w:rsidRPr="00E23D52">
        <w:rPr>
          <w:rFonts w:ascii="KaiTi" w:eastAsia="KaiTi" w:hAnsi="KaiTi" w:cs="Arial" w:hint="eastAsia"/>
          <w:b/>
          <w:iCs/>
        </w:rPr>
        <w:t>无停滞项目</w:t>
      </w:r>
      <w:r w:rsidRPr="00E775A9">
        <w:rPr>
          <w:rFonts w:hAnsi="SimSun" w:cs="Arial" w:hint="eastAsia"/>
        </w:rPr>
        <w:t>：有迹象表明，产权组织和成员国在2021-2022年期间启动、谈判和签署的所有项目都没有因缺乏资金而推迟。</w:t>
      </w:r>
    </w:p>
    <w:p w14:paraId="59F57948"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然而，对包括产权组织工作人员和成员国代表在内的主要利益攸关方的采访，以及对2017-2022年计划和预算的分析，确定了以下有待改进的领域：</w:t>
      </w:r>
    </w:p>
    <w:p w14:paraId="393AA429" w14:textId="738061D4" w:rsidR="00EA5678" w:rsidRPr="00E775A9" w:rsidRDefault="00BB2DF3" w:rsidP="00A7456D">
      <w:pPr>
        <w:pStyle w:val="ListParagraph"/>
        <w:numPr>
          <w:ilvl w:val="0"/>
          <w:numId w:val="38"/>
        </w:numPr>
        <w:spacing w:after="120"/>
        <w:ind w:left="851" w:hanging="284"/>
        <w:rPr>
          <w:rFonts w:hAnsi="SimSun" w:cs="Arial"/>
        </w:rPr>
      </w:pPr>
      <w:r>
        <w:rPr>
          <w:rFonts w:ascii="Arial" w:hAnsi="Arial" w:cs="Arial" w:hint="eastAsia"/>
          <w:i/>
          <w:iCs/>
          <w:noProof/>
        </w:rPr>
        <mc:AlternateContent>
          <mc:Choice Requires="wps">
            <w:drawing>
              <wp:anchor distT="45720" distB="45720" distL="114300" distR="114300" simplePos="0" relativeHeight="251680768" behindDoc="0" locked="0" layoutInCell="1" allowOverlap="1" wp14:anchorId="18A83ED3" wp14:editId="11E1BE9E">
                <wp:simplePos x="0" y="0"/>
                <wp:positionH relativeFrom="margin">
                  <wp:posOffset>3692543</wp:posOffset>
                </wp:positionH>
                <wp:positionV relativeFrom="paragraph">
                  <wp:posOffset>308287</wp:posOffset>
                </wp:positionV>
                <wp:extent cx="2240280" cy="824230"/>
                <wp:effectExtent l="0" t="0" r="7620" b="0"/>
                <wp:wrapSquare wrapText="bothSides"/>
                <wp:docPr id="166072054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0280" cy="824230"/>
                        </a:xfrm>
                        <a:prstGeom prst="rect">
                          <a:avLst/>
                        </a:prstGeom>
                        <a:solidFill>
                          <a:srgbClr val="FFC000">
                            <a:lumMod val="60000"/>
                            <a:lumOff val="40000"/>
                          </a:srgbClr>
                        </a:solidFill>
                        <a:ln w="9525">
                          <a:noFill/>
                          <a:miter lim="800000"/>
                        </a:ln>
                      </wps:spPr>
                      <wps:txbx>
                        <w:txbxContent>
                          <w:p w14:paraId="24FA2B81" w14:textId="064A377E" w:rsidR="00EA5678" w:rsidRDefault="00215138" w:rsidP="00A7456D">
                            <w:pPr>
                              <w:spacing w:afterLines="50" w:after="120" w:line="340" w:lineRule="atLeast"/>
                              <w:jc w:val="both"/>
                            </w:pPr>
                            <w:bookmarkStart w:id="320" w:name="_Hlk174544284"/>
                            <w:bookmarkStart w:id="321" w:name="_Hlk174544283"/>
                            <w:bookmarkStart w:id="322" w:name="_Hlk174544285"/>
                            <w:bookmarkStart w:id="323" w:name="_Hlk174544282"/>
                            <w:bookmarkStart w:id="324" w:name="_Hlk174544280"/>
                            <w:bookmarkStart w:id="325" w:name="_Hlk174544281"/>
                            <w:r>
                              <w:t>审查结果17：在偏远小社区实施项目存在挑战，需要改进报告程序以提高清晰度。</w:t>
                            </w:r>
                            <w:bookmarkEnd w:id="320"/>
                            <w:bookmarkEnd w:id="321"/>
                            <w:bookmarkEnd w:id="322"/>
                            <w:bookmarkEnd w:id="323"/>
                            <w:bookmarkEnd w:id="324"/>
                            <w:bookmarkEnd w:id="325"/>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18A83ED3" id="_x0000_s1054" type="#_x0000_t202" style="position:absolute;left:0;text-align:left;margin-left:290.75pt;margin-top:24.25pt;width:176.4pt;height:64.9pt;z-index:251680768;visibility:visible;mso-wrap-style:square;mso-height-percent:0;mso-wrap-distance-left:9pt;mso-wrap-distance-top:3.6pt;mso-wrap-distance-right:9pt;mso-wrap-distance-bottom:3.6pt;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" fillcolor="#ffd966" stroked="f">
                <v:textbox>
                  <w:txbxContent>
                    <w:p w14:paraId="24FA2B81" w14:textId="064A377E" w:rsidR="00EA5678" w:rsidRDefault="00215138" w:rsidP="00A7456D">
                      <w:pPr>
                        <w:spacing w:afterLines="50" w:after="120" w:line="340" w:lineRule="atLeast"/>
                        <w:jc w:val="both"/>
                      </w:pPr>
                      <w:bookmarkStart w:id="348" w:name="_Hlk174544284"/>
                      <w:bookmarkStart w:id="349" w:name="_Hlk174544283"/>
                      <w:bookmarkStart w:id="350" w:name="_Hlk174544285"/>
                      <w:bookmarkStart w:id="351" w:name="_Hlk174544282"/>
                      <w:bookmarkStart w:id="352" w:name="_Hlk174544280"/>
                      <w:bookmarkStart w:id="353" w:name="_Hlk174544281"/>
                      <w:r>
                        <w:t>审查结果17：在偏远小社区实施项目存在挑战，需要改进报告程序以提高清晰度。</w:t>
                      </w:r>
                      <w:bookmarkEnd w:id="348"/>
                      <w:bookmarkEnd w:id="349"/>
                      <w:bookmarkEnd w:id="350"/>
                      <w:bookmarkEnd w:id="351"/>
                      <w:bookmarkEnd w:id="352"/>
                      <w:bookmarkEnd w:id="353"/>
                    </w:p>
                  </w:txbxContent>
                </v:textbox>
                <w10:wrap type="square" anchorx="margin"/>
              </v:shape>
            </w:pict>
          </mc:Fallback>
        </mc:AlternateContent>
      </w:r>
      <w:r w:rsidR="00215138" w:rsidRPr="00E23D52">
        <w:rPr>
          <w:rFonts w:ascii="KaiTi" w:eastAsia="KaiTi" w:hAnsi="KaiTi" w:cs="Arial" w:hint="eastAsia"/>
          <w:b/>
          <w:iCs/>
        </w:rPr>
        <w:t>认为资金分配和报告的透明度较低：</w:t>
      </w:r>
      <w:r w:rsidR="00215138" w:rsidRPr="00E775A9">
        <w:rPr>
          <w:rFonts w:hAnsi="SimSun" w:cs="Arial" w:hint="eastAsia"/>
        </w:rPr>
        <w:t>成员国代表并不总是认为技术援助是透明的，他们并不总是清楚分配资金和报告结果的标准。</w:t>
      </w:r>
    </w:p>
    <w:p w14:paraId="19B88D0B" w14:textId="7CCA2F2A" w:rsidR="00EA5678" w:rsidRPr="00E775A9" w:rsidRDefault="00215138" w:rsidP="00A7456D">
      <w:pPr>
        <w:pStyle w:val="ListParagraph"/>
        <w:numPr>
          <w:ilvl w:val="0"/>
          <w:numId w:val="38"/>
        </w:numPr>
        <w:spacing w:after="120"/>
        <w:ind w:left="851" w:hanging="284"/>
        <w:rPr>
          <w:rFonts w:hAnsi="SimSun" w:cs="Arial"/>
        </w:rPr>
      </w:pPr>
      <w:r w:rsidRPr="00E23D52">
        <w:rPr>
          <w:rFonts w:ascii="KaiTi" w:eastAsia="KaiTi" w:hAnsi="KaiTi" w:cs="Arial" w:hint="eastAsia"/>
          <w:b/>
          <w:iCs/>
        </w:rPr>
        <w:t>提高信托基金的预算利用率：</w:t>
      </w:r>
      <w:r w:rsidRPr="00E775A9">
        <w:rPr>
          <w:rFonts w:hAnsi="SimSun" w:cs="Arial" w:hint="eastAsia"/>
        </w:rPr>
        <w:t>审查信托基金项目的实施情况，确定并解决导致可用资源利用不足的实施挑战。</w:t>
      </w:r>
    </w:p>
    <w:p w14:paraId="580791CC" w14:textId="64707FD9" w:rsidR="00EA5678" w:rsidRPr="00E775A9" w:rsidRDefault="00215138" w:rsidP="00A7456D">
      <w:pPr>
        <w:pStyle w:val="ListParagraph"/>
        <w:numPr>
          <w:ilvl w:val="0"/>
          <w:numId w:val="38"/>
        </w:numPr>
        <w:spacing w:after="120"/>
        <w:ind w:left="851" w:hanging="284"/>
        <w:rPr>
          <w:rFonts w:hAnsi="SimSun" w:cs="Arial"/>
        </w:rPr>
      </w:pPr>
      <w:r w:rsidRPr="00E23D52">
        <w:rPr>
          <w:rFonts w:ascii="KaiTi" w:eastAsia="KaiTi" w:hAnsi="KaiTi" w:cs="Arial" w:hint="eastAsia"/>
          <w:b/>
          <w:iCs/>
        </w:rPr>
        <w:t>实施当地项目的困难：</w:t>
      </w:r>
      <w:r w:rsidRPr="00E775A9">
        <w:rPr>
          <w:rFonts w:hAnsi="SimSun" w:cs="Arial" w:hint="eastAsia"/>
        </w:rPr>
        <w:t>产权组织工作人员报告称，鉴于总部设在日内瓦的一个联合国组织所涉及的程序，在项目中利用当地资源会面临挑战。</w:t>
      </w:r>
    </w:p>
    <w:p w14:paraId="35711ECB" w14:textId="591A670C"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审查确认，虽然产权组织有足够的技术能力提供技术援助，但这不足以满足日益增长的服务需求</w:t>
      </w:r>
      <w:r w:rsidRPr="00E775A9">
        <w:rPr>
          <w:rFonts w:hAnsi="SimSun" w:cs="Arial" w:hint="eastAsia"/>
        </w:rPr>
        <w:t>。71%的受访者将产权组织提供技术援助的能力评为“高”和“非常高”，这是受访者对效率的最高评价。然而，接受采访的产权组织工作人员虽然对审查期间其部门和单位的工作人员数量有所增加表示赞赏，但人员配置水平不足以满足日益增长的服务需求。具体而言，内部工作人员强调了以下几点：</w:t>
      </w:r>
    </w:p>
    <w:p w14:paraId="4FB729DC" w14:textId="4CACCF91" w:rsidR="00EA5678" w:rsidRPr="00E775A9" w:rsidRDefault="00215138" w:rsidP="00A7456D">
      <w:pPr>
        <w:pStyle w:val="ListParagraph"/>
        <w:numPr>
          <w:ilvl w:val="1"/>
          <w:numId w:val="40"/>
        </w:numPr>
        <w:spacing w:after="120"/>
        <w:ind w:left="851" w:hanging="284"/>
        <w:rPr>
          <w:rFonts w:hAnsi="SimSun" w:cs="Arial"/>
        </w:rPr>
      </w:pPr>
      <w:r>
        <w:rPr>
          <w:rFonts w:ascii="Arial" w:hAnsi="Arial" w:cs="Arial" w:hint="eastAsia"/>
          <w:i/>
          <w:iCs/>
          <w:noProof/>
        </w:rPr>
        <mc:AlternateContent>
          <mc:Choice Requires="wps">
            <w:drawing>
              <wp:anchor distT="45720" distB="45720" distL="114300" distR="114300" simplePos="0" relativeHeight="251681792" behindDoc="0" locked="0" layoutInCell="1" allowOverlap="1" wp14:anchorId="66C54727" wp14:editId="5143EEF8">
                <wp:simplePos x="0" y="0"/>
                <wp:positionH relativeFrom="margin">
                  <wp:posOffset>3565734</wp:posOffset>
                </wp:positionH>
                <wp:positionV relativeFrom="paragraph">
                  <wp:posOffset>66675</wp:posOffset>
                </wp:positionV>
                <wp:extent cx="2346960" cy="1024890"/>
                <wp:effectExtent l="0" t="0" r="0" b="3810"/>
                <wp:wrapSquare wrapText="bothSides"/>
                <wp:docPr id="1102754151"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6960" cy="1024890"/>
                        </a:xfrm>
                        <a:prstGeom prst="rect">
                          <a:avLst/>
                        </a:prstGeom>
                        <a:solidFill>
                          <a:srgbClr val="FFC000">
                            <a:lumMod val="60000"/>
                            <a:lumOff val="40000"/>
                          </a:srgbClr>
                        </a:solidFill>
                        <a:ln w="9525">
                          <a:noFill/>
                          <a:miter lim="800000"/>
                        </a:ln>
                      </wps:spPr>
                      <wps:txbx>
                        <w:txbxContent>
                          <w:p w14:paraId="097E7F18" w14:textId="683F969E" w:rsidR="00EA5678" w:rsidRDefault="00215138" w:rsidP="00A7456D">
                            <w:pPr>
                              <w:spacing w:afterLines="50" w:after="120" w:line="340" w:lineRule="atLeast"/>
                              <w:jc w:val="both"/>
                            </w:pPr>
                            <w:bookmarkStart w:id="326" w:name="_Hlk174544306"/>
                            <w:bookmarkStart w:id="327" w:name="_Hlk174544307"/>
                            <w:r>
                              <w:t>审查结果18：产权组织工作人员技能高超，因其高质量的服务而受到高度评价。所需的补充技能是与项目管理和发展相关问题。</w:t>
                            </w:r>
                            <w:bookmarkEnd w:id="326"/>
                            <w:bookmarkEnd w:id="327"/>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66C54727" id="_x0000_s1055" type="#_x0000_t202" style="position:absolute;left:0;text-align:left;margin-left:280.75pt;margin-top:5.25pt;width:184.8pt;height:80.7pt;z-index:251681792;visibility:visible;mso-wrap-style:square;mso-height-percent:0;mso-wrap-distance-left:9pt;mso-wrap-distance-top:3.6pt;mso-wrap-distance-right:9pt;mso-wrap-distance-bottom:3.6pt;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" fillcolor="#ffd966" stroked="f">
                <v:textbox>
                  <w:txbxContent>
                    <w:p w14:paraId="097E7F18" w14:textId="683F969E" w:rsidR="00EA5678" w:rsidRDefault="00215138" w:rsidP="00A7456D">
                      <w:pPr>
                        <w:spacing w:afterLines="50" w:after="120" w:line="340" w:lineRule="atLeast"/>
                        <w:jc w:val="both"/>
                      </w:pPr>
                      <w:bookmarkStart w:id="356" w:name="_Hlk174544306"/>
                      <w:bookmarkStart w:id="357" w:name="_Hlk174544307"/>
                      <w:r>
                        <w:t>审查结果18：产权组织工作人员技能高超，因其高质量的服务而受到高度评价。所需的补充技能是与项目管理和发展相关问题。</w:t>
                      </w:r>
                      <w:bookmarkEnd w:id="356"/>
                      <w:bookmarkEnd w:id="357"/>
                    </w:p>
                  </w:txbxContent>
                </v:textbox>
                <w10:wrap type="square" anchorx="margin"/>
              </v:shape>
            </w:pict>
          </mc:Fallback>
        </mc:AlternateContent>
      </w:r>
      <w:r w:rsidRPr="00E23D52">
        <w:rPr>
          <w:rFonts w:ascii="KaiTi" w:eastAsia="KaiTi" w:hAnsi="KaiTi" w:cs="Arial" w:hint="eastAsia"/>
          <w:b/>
          <w:iCs/>
        </w:rPr>
        <w:t>工作人员数量</w:t>
      </w:r>
      <w:r w:rsidRPr="00E775A9">
        <w:rPr>
          <w:rFonts w:hAnsi="SimSun" w:cs="Arial" w:hint="eastAsia"/>
        </w:rPr>
        <w:t>：虽然工作人员数量有所增加，但人们认为他们无法完全满足各区域司日益增长的服务需求。有时，秘书处会收到一些在最后一刻提出的紧急请求，但由于人力资源限制而无法满足这些请求。人员短缺对服务的提供产生了负面影响。</w:t>
      </w:r>
    </w:p>
    <w:p w14:paraId="40CDCE24" w14:textId="086E7A7E" w:rsidR="00EA5678" w:rsidRPr="00E775A9" w:rsidRDefault="00215138" w:rsidP="00A7456D">
      <w:pPr>
        <w:pStyle w:val="ListParagraph"/>
        <w:numPr>
          <w:ilvl w:val="1"/>
          <w:numId w:val="40"/>
        </w:numPr>
        <w:spacing w:after="120"/>
        <w:ind w:left="851" w:hanging="284"/>
        <w:rPr>
          <w:rFonts w:hAnsi="SimSun" w:cs="Arial"/>
        </w:rPr>
      </w:pPr>
      <w:r w:rsidRPr="00E23D52">
        <w:rPr>
          <w:rFonts w:ascii="KaiTi" w:eastAsia="KaiTi" w:hAnsi="KaiTi" w:cs="Arial" w:hint="eastAsia"/>
          <w:b/>
          <w:iCs/>
        </w:rPr>
        <w:t>发展和社区工作技能</w:t>
      </w:r>
      <w:r w:rsidRPr="00E775A9">
        <w:rPr>
          <w:rFonts w:hAnsi="SimSun" w:cs="Arial" w:hint="eastAsia"/>
        </w:rPr>
        <w:t>：工作人员可以不断获得额外的技能，如项目管理、社区和发展工作，以加强技术援助的提供。</w:t>
      </w:r>
    </w:p>
    <w:p w14:paraId="326A002A" w14:textId="6D0D2873" w:rsidR="00EA5678" w:rsidRPr="00E775A9" w:rsidRDefault="00215138" w:rsidP="00A7456D">
      <w:pPr>
        <w:pStyle w:val="ListParagraph"/>
        <w:numPr>
          <w:ilvl w:val="1"/>
          <w:numId w:val="40"/>
        </w:numPr>
        <w:spacing w:after="120"/>
        <w:ind w:left="851" w:hanging="284"/>
        <w:rPr>
          <w:rFonts w:hAnsi="SimSun" w:cs="Arial"/>
        </w:rPr>
      </w:pPr>
      <w:r w:rsidRPr="00E23D52">
        <w:rPr>
          <w:rFonts w:ascii="KaiTi" w:eastAsia="KaiTi" w:hAnsi="KaiTi" w:cs="Arial" w:hint="eastAsia"/>
          <w:b/>
          <w:iCs/>
        </w:rPr>
        <w:t>使用当地顾问</w:t>
      </w:r>
      <w:r w:rsidRPr="00E23D52">
        <w:rPr>
          <w:rFonts w:ascii="KaiTi" w:eastAsia="KaiTi" w:hAnsi="KaiTi" w:cs="Arial" w:hint="eastAsia"/>
          <w:iCs/>
        </w:rPr>
        <w:t>：</w:t>
      </w:r>
      <w:r w:rsidRPr="00E775A9">
        <w:rPr>
          <w:rFonts w:hAnsi="SimSun" w:cs="Arial" w:hint="eastAsia"/>
        </w:rPr>
        <w:t>在若干技术援助活动中使用当地顾问，除了提高当地能力外，还使得技术援助的提供更具成本效益。</w:t>
      </w:r>
    </w:p>
    <w:p w14:paraId="279510DE" w14:textId="6C7071B5" w:rsidR="00EA5678" w:rsidRPr="00E775A9" w:rsidRDefault="00215138" w:rsidP="00A7456D">
      <w:pPr>
        <w:pStyle w:val="ListParagraph"/>
        <w:numPr>
          <w:ilvl w:val="1"/>
          <w:numId w:val="40"/>
        </w:numPr>
        <w:spacing w:after="120"/>
        <w:ind w:left="851" w:hanging="284"/>
        <w:rPr>
          <w:rFonts w:hAnsi="SimSun" w:cs="Arial"/>
        </w:rPr>
      </w:pPr>
      <w:r w:rsidRPr="00E23D52">
        <w:rPr>
          <w:rFonts w:ascii="KaiTi" w:eastAsia="KaiTi" w:hAnsi="KaiTi" w:cs="Arial" w:hint="eastAsia"/>
          <w:b/>
          <w:iCs/>
        </w:rPr>
        <w:t>员工水平不均衡：</w:t>
      </w:r>
      <w:r w:rsidRPr="00E775A9">
        <w:rPr>
          <w:rFonts w:hAnsi="SimSun" w:cs="Arial" w:hint="eastAsia"/>
        </w:rPr>
        <w:t>在某些情况下，员工配置水平与计划或区域司所涵盖的工作范围和国家数量不匹配。只有42.1%的调查受访者将区域司提供技术援助的能力评估为“高”和“非常高”。使用了许多临时工作人员来解决这个问题，但这种做法可能会削弱提供技术援助的效率。</w:t>
      </w:r>
    </w:p>
    <w:p w14:paraId="1CB4E4AD" w14:textId="745DECBB" w:rsidR="00EA5678" w:rsidRPr="00E775A9" w:rsidRDefault="00215138" w:rsidP="00A7456D">
      <w:pPr>
        <w:pStyle w:val="ListParagraph"/>
        <w:numPr>
          <w:ilvl w:val="1"/>
          <w:numId w:val="40"/>
        </w:numPr>
        <w:spacing w:after="120"/>
        <w:ind w:left="851" w:hanging="284"/>
        <w:rPr>
          <w:rFonts w:hAnsi="SimSun" w:cs="Arial"/>
        </w:rPr>
      </w:pPr>
      <w:r w:rsidRPr="00E23D52">
        <w:rPr>
          <w:rFonts w:ascii="KaiTi" w:eastAsia="KaiTi" w:hAnsi="KaiTi" w:cs="Arial" w:hint="eastAsia"/>
          <w:b/>
          <w:iCs/>
        </w:rPr>
        <w:t>工作人员流动性有限：</w:t>
      </w:r>
      <w:r w:rsidRPr="00E775A9">
        <w:rPr>
          <w:rFonts w:hAnsi="SimSun" w:cs="Arial" w:hint="eastAsia"/>
        </w:rPr>
        <w:t>产权组织的工作人员经常在同一地区工作多年。人员流动率低，这有利于增加内部知识，但也可能存在一个问题，因为引入新人有助于激发团队活力，提高技能和创造力。</w:t>
      </w:r>
    </w:p>
    <w:p w14:paraId="62B57406" w14:textId="30C72683" w:rsidR="00EA5678" w:rsidRPr="00E775A9" w:rsidRDefault="00A7456D" w:rsidP="00C259B0">
      <w:pPr>
        <w:pStyle w:val="ListParagraph"/>
        <w:numPr>
          <w:ilvl w:val="0"/>
          <w:numId w:val="3"/>
        </w:numPr>
        <w:spacing w:after="120"/>
        <w:ind w:left="0" w:firstLine="0"/>
        <w:rPr>
          <w:rFonts w:hAnsi="SimSun" w:cs="Arial"/>
        </w:rPr>
      </w:pPr>
      <w:r>
        <w:rPr>
          <w:rFonts w:ascii="Arial" w:hAnsi="Arial" w:cs="Arial" w:hint="eastAsia"/>
          <w:i/>
          <w:iCs/>
          <w:noProof/>
        </w:rPr>
        <mc:AlternateContent>
          <mc:Choice Requires="wps">
            <w:drawing>
              <wp:anchor distT="45720" distB="45720" distL="114300" distR="114300" simplePos="0" relativeHeight="251682816" behindDoc="0" locked="0" layoutInCell="1" allowOverlap="1" wp14:anchorId="08BB6E92" wp14:editId="63B7DC3E">
                <wp:simplePos x="0" y="0"/>
                <wp:positionH relativeFrom="margin">
                  <wp:posOffset>3313687</wp:posOffset>
                </wp:positionH>
                <wp:positionV relativeFrom="paragraph">
                  <wp:posOffset>63016</wp:posOffset>
                </wp:positionV>
                <wp:extent cx="2598420" cy="2077085"/>
                <wp:effectExtent l="0" t="0" r="0" b="0"/>
                <wp:wrapSquare wrapText="bothSides"/>
                <wp:docPr id="187779836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98420" cy="2077085"/>
                        </a:xfrm>
                        <a:prstGeom prst="rect">
                          <a:avLst/>
                        </a:prstGeom>
                        <a:solidFill>
                          <a:srgbClr val="FFC000">
                            <a:lumMod val="60000"/>
                            <a:lumOff val="40000"/>
                          </a:srgbClr>
                        </a:solidFill>
                        <a:ln w="9525">
                          <a:noFill/>
                          <a:miter lim="800000"/>
                        </a:ln>
                      </wps:spPr>
                      <wps:txbx>
                        <w:txbxContent>
                          <w:p w14:paraId="76E365BC" w14:textId="77777777" w:rsidR="00EA5678" w:rsidRDefault="00215138" w:rsidP="00A7456D">
                            <w:pPr>
                              <w:spacing w:afterLines="50" w:after="120" w:line="340" w:lineRule="atLeast"/>
                              <w:jc w:val="both"/>
                            </w:pPr>
                            <w:r>
                              <w:t>审查结果19：由于产权组织实施了若干有效措施，产权组织的内部合作有所改善。需要进一步改进的领域：不同条约之间的合作、各区域司之间的合作、发展议程项目之间的合作、区域司与对外办事处之间的合作、不同领域在业务程序方面的合作、中小企业举措之间的合作，以及同一国家不同项目之间的合作。</w:t>
                            </w: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08BB6E92" id="_x0000_s1056" type="#_x0000_t202" style="position:absolute;left:0;text-align:left;margin-left:260.9pt;margin-top:4.95pt;width:204.6pt;height:163.55pt;z-index:251682816;visibility:visible;mso-wrap-style:square;mso-height-percent:0;mso-wrap-distance-left:9pt;mso-wrap-distance-top:3.6pt;mso-wrap-distance-right:9pt;mso-wrap-distance-bottom:3.6pt;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" fillcolor="#ffd966" stroked="f">
                <v:textbox>
                  <w:txbxContent>
                    <w:p w14:paraId="76E365BC" w14:textId="77777777" w:rsidR="00EA5678" w:rsidRDefault="00215138" w:rsidP="00A7456D">
                      <w:pPr>
                        <w:spacing w:afterLines="50" w:after="120" w:line="340" w:lineRule="atLeast"/>
                        <w:jc w:val="both"/>
                      </w:pPr>
                      <w:r>
                        <w:t>审查结果19：由于产权组织实施了若干有效措施，产权组织的内部合作有所改善。需要进一步改进的领域：不同条约之间的合作、各区域司之间的合作、发展议程项目之间的合作、区域司与对外办事处之间的合作、不同领域在业务程序方面的合作、中小企业举措之间的合作，以及同一国家不同项目之间的合作。</w:t>
                      </w:r>
                    </w:p>
                  </w:txbxContent>
                </v:textbox>
                <w10:wrap type="square" anchorx="margin"/>
              </v:shape>
            </w:pict>
          </mc:Fallback>
        </mc:AlternateContent>
      </w:r>
      <w:r w:rsidR="00215138" w:rsidRPr="00E23D52">
        <w:rPr>
          <w:rFonts w:ascii="KaiTi" w:eastAsia="KaiTi" w:hAnsi="KaiTi" w:cs="Arial" w:hint="eastAsia"/>
          <w:iCs/>
        </w:rPr>
        <w:t>审查确认，产权组织内部的技术援助协调工作在审查期间和之后都有了显著改善</w:t>
      </w:r>
      <w:r w:rsidR="00215138" w:rsidRPr="00E775A9">
        <w:rPr>
          <w:rFonts w:hAnsi="SimSun" w:cs="Arial" w:hint="eastAsia"/>
        </w:rPr>
        <w:t>。67%的</w:t>
      </w:r>
      <w:r w:rsidR="00215138">
        <w:rPr>
          <w:rFonts w:hAnsi="SimSun" w:cs="SimSun" w:hint="eastAsia"/>
        </w:rPr>
        <w:t>受访者将产权组织内部的协调水平评价为“高”和“非常高”</w:t>
      </w:r>
      <w:r w:rsidR="00215138" w:rsidRPr="00E775A9">
        <w:rPr>
          <w:rFonts w:hAnsi="SimSun" w:cs="Arial" w:hint="eastAsia"/>
        </w:rPr>
        <w:t>，这就证明了这一点。大多数受访的利益攸关方也证实了这一看法。例如，利益攸关方指出，以下是为加强协调所做的一些努力：(i)联合规划活动；(ii)公开工作计划；(iii)市政厅会议和工作计划研讨会；(iv)方案负责人和区域司之间的联席会议，根据年度计划讨论技术援助；(v)方案工作人员参与区域司组织的活动，反之亦然；(vi)创建立法咨询协调网络；(vii)作为跨部门合作良好范例的毕业一揽子计划和COVID-19基金。然而，利益攸关方提到了以下需要进一步改进的领域：</w:t>
      </w:r>
    </w:p>
    <w:p w14:paraId="6630E657" w14:textId="77777777" w:rsidR="00EA5678" w:rsidRPr="00E775A9" w:rsidRDefault="00215138" w:rsidP="00A7456D">
      <w:pPr>
        <w:pStyle w:val="ListParagraph"/>
        <w:numPr>
          <w:ilvl w:val="0"/>
          <w:numId w:val="41"/>
        </w:numPr>
        <w:spacing w:after="120"/>
        <w:ind w:left="851" w:hanging="284"/>
        <w:rPr>
          <w:rFonts w:hAnsi="SimSun" w:cs="Arial"/>
        </w:rPr>
      </w:pPr>
      <w:r w:rsidRPr="00E775A9">
        <w:rPr>
          <w:rFonts w:hAnsi="SimSun" w:cs="Arial" w:hint="eastAsia"/>
        </w:rPr>
        <w:t>各区域司之间的合作、同行学习活动和最佳做法共享有限。</w:t>
      </w:r>
    </w:p>
    <w:p w14:paraId="7D01817A" w14:textId="670CDB7A" w:rsidR="00EA5678" w:rsidRPr="00E775A9" w:rsidRDefault="00215138" w:rsidP="00A7456D">
      <w:pPr>
        <w:pStyle w:val="ListParagraph"/>
        <w:numPr>
          <w:ilvl w:val="0"/>
          <w:numId w:val="41"/>
        </w:numPr>
        <w:spacing w:after="120"/>
        <w:ind w:left="851" w:hanging="284"/>
        <w:rPr>
          <w:rFonts w:hAnsi="SimSun" w:cs="Arial"/>
        </w:rPr>
      </w:pPr>
      <w:r w:rsidRPr="00E775A9">
        <w:rPr>
          <w:rFonts w:hAnsi="SimSun" w:cs="Arial" w:hint="eastAsia"/>
        </w:rPr>
        <w:t>一些成员国对获取产权组织服务的途径感到困惑。受益者也不确定是去对外办事处还是区域司。成员国要求产权组织进一步下放权力，更贴近实地。</w:t>
      </w:r>
    </w:p>
    <w:p w14:paraId="3DD11869" w14:textId="734CB547" w:rsidR="00EA5678" w:rsidRPr="00E775A9" w:rsidRDefault="00215138" w:rsidP="00A7456D">
      <w:pPr>
        <w:pStyle w:val="ListParagraph"/>
        <w:numPr>
          <w:ilvl w:val="0"/>
          <w:numId w:val="41"/>
        </w:numPr>
        <w:spacing w:after="120"/>
        <w:ind w:left="851" w:hanging="284"/>
        <w:rPr>
          <w:rFonts w:hAnsi="SimSun" w:cs="Arial"/>
        </w:rPr>
      </w:pPr>
      <w:r w:rsidRPr="00E775A9">
        <w:rPr>
          <w:rFonts w:hAnsi="SimSun" w:cs="Arial" w:hint="eastAsia"/>
        </w:rPr>
        <w:t>发展议程项目之间需要交流更多信息，加强合作。</w:t>
      </w:r>
    </w:p>
    <w:p w14:paraId="19A24DFC" w14:textId="60D35C74" w:rsidR="00EA5678" w:rsidRPr="00E775A9" w:rsidRDefault="00215138" w:rsidP="00A7456D">
      <w:pPr>
        <w:pStyle w:val="ListParagraph"/>
        <w:numPr>
          <w:ilvl w:val="0"/>
          <w:numId w:val="41"/>
        </w:numPr>
        <w:spacing w:after="120"/>
        <w:ind w:left="851" w:hanging="284"/>
        <w:rPr>
          <w:rFonts w:hAnsi="SimSun" w:cs="Arial"/>
        </w:rPr>
      </w:pPr>
      <w:r w:rsidRPr="00E775A9">
        <w:rPr>
          <w:rFonts w:hAnsi="SimSun" w:cs="Arial" w:hint="eastAsia"/>
        </w:rPr>
        <w:t>有必要加强与中小企业合作的不同领域之间的合作，因为产权组织不同部门之间存在重叠。</w:t>
      </w:r>
    </w:p>
    <w:p w14:paraId="02968E39" w14:textId="77777777" w:rsidR="00EA5678" w:rsidRPr="00E775A9" w:rsidRDefault="00215138" w:rsidP="00A7456D">
      <w:pPr>
        <w:pStyle w:val="ListParagraph"/>
        <w:numPr>
          <w:ilvl w:val="0"/>
          <w:numId w:val="41"/>
        </w:numPr>
        <w:spacing w:after="120"/>
        <w:ind w:left="851" w:hanging="284"/>
        <w:rPr>
          <w:rFonts w:hAnsi="SimSun" w:cs="Arial"/>
        </w:rPr>
      </w:pPr>
      <w:r w:rsidRPr="00E775A9">
        <w:rPr>
          <w:rFonts w:hAnsi="SimSun" w:cs="Arial" w:hint="eastAsia"/>
        </w:rPr>
        <w:t>有必要加强实施模式方面的合作（如何衡量影响，如何完善技术援助需求等）。</w:t>
      </w:r>
    </w:p>
    <w:p w14:paraId="64DAD3BB" w14:textId="77777777" w:rsidR="00EA5678" w:rsidRPr="00E775A9" w:rsidRDefault="00215138" w:rsidP="00A7456D">
      <w:pPr>
        <w:pStyle w:val="ListParagraph"/>
        <w:numPr>
          <w:ilvl w:val="0"/>
          <w:numId w:val="41"/>
        </w:numPr>
        <w:spacing w:after="120"/>
        <w:ind w:left="851" w:hanging="284"/>
        <w:rPr>
          <w:rFonts w:hAnsi="SimSun" w:cs="Arial"/>
        </w:rPr>
      </w:pPr>
      <w:r w:rsidRPr="00E775A9">
        <w:rPr>
          <w:rFonts w:hAnsi="SimSun" w:cs="Arial" w:hint="eastAsia"/>
        </w:rPr>
        <w:t>有必要加强产权组织各部门在该国开展的不同项目之间的协调。</w:t>
      </w:r>
    </w:p>
    <w:p w14:paraId="39F9A186" w14:textId="77777777" w:rsidR="00EA5678" w:rsidRPr="00E775A9" w:rsidRDefault="00215138" w:rsidP="00C259B0">
      <w:pPr>
        <w:pStyle w:val="ListParagraph"/>
        <w:numPr>
          <w:ilvl w:val="0"/>
          <w:numId w:val="3"/>
        </w:numPr>
        <w:spacing w:after="120"/>
        <w:ind w:left="0" w:firstLine="0"/>
        <w:rPr>
          <w:rFonts w:hAnsi="SimSun" w:cs="Arial"/>
        </w:rPr>
      </w:pPr>
      <w:r>
        <w:rPr>
          <w:rFonts w:ascii="Arial" w:hAnsi="Arial" w:cs="Arial" w:hint="eastAsia"/>
          <w:i/>
          <w:iCs/>
          <w:noProof/>
        </w:rPr>
        <mc:AlternateContent>
          <mc:Choice Requires="wps">
            <w:drawing>
              <wp:anchor distT="45720" distB="45720" distL="114300" distR="114300" simplePos="0" relativeHeight="251683840" behindDoc="0" locked="0" layoutInCell="1" allowOverlap="1" wp14:anchorId="681E6391" wp14:editId="079187FC">
                <wp:simplePos x="0" y="0"/>
                <wp:positionH relativeFrom="margin">
                  <wp:posOffset>3692525</wp:posOffset>
                </wp:positionH>
                <wp:positionV relativeFrom="paragraph">
                  <wp:posOffset>78740</wp:posOffset>
                </wp:positionV>
                <wp:extent cx="2240280" cy="1263015"/>
                <wp:effectExtent l="0" t="0" r="7620" b="0"/>
                <wp:wrapSquare wrapText="bothSides"/>
                <wp:docPr id="27511454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0280" cy="1263015"/>
                        </a:xfrm>
                        <a:prstGeom prst="rect">
                          <a:avLst/>
                        </a:prstGeom>
                        <a:solidFill>
                          <a:srgbClr val="FFC000">
                            <a:lumMod val="60000"/>
                            <a:lumOff val="40000"/>
                          </a:srgbClr>
                        </a:solidFill>
                        <a:ln w="9525">
                          <a:noFill/>
                          <a:miter lim="800000"/>
                        </a:ln>
                      </wps:spPr>
                      <wps:txbx>
                        <w:txbxContent>
                          <w:p w14:paraId="29ACF55A" w14:textId="6A820DED" w:rsidR="00EA5678" w:rsidRDefault="00215138" w:rsidP="005E3DC0">
                            <w:pPr>
                              <w:overflowPunct w:val="0"/>
                              <w:spacing w:afterLines="50" w:after="120" w:line="340" w:lineRule="atLeast"/>
                              <w:jc w:val="both"/>
                            </w:pPr>
                            <w:bookmarkStart w:id="328" w:name="_Hlk174544358"/>
                            <w:bookmarkStart w:id="329" w:name="_Hlk174544359"/>
                            <w:r>
                              <w:t>审查结果20：为改进报告工作做出了相关努力，这些努力在审查期间取得了成果。成员国呼吁改进监测和评价程序，并在监测和评价的基础上分享经验教训。</w:t>
                            </w:r>
                            <w:bookmarkEnd w:id="328"/>
                            <w:bookmarkEnd w:id="329"/>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681E6391" id="_x0000_s1057" type="#_x0000_t202" style="position:absolute;left:0;text-align:left;margin-left:290.75pt;margin-top:6.2pt;width:176.4pt;height:99.45pt;z-index:251683840;visibility:visible;mso-wrap-style:square;mso-height-percent:0;mso-wrap-distance-left:9pt;mso-wrap-distance-top:3.6pt;mso-wrap-distance-right:9pt;mso-wrap-distance-bottom:3.6pt;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" fillcolor="#ffd966" stroked="f">
                <v:textbox>
                  <w:txbxContent>
                    <w:p w14:paraId="29ACF55A" w14:textId="6A820DED" w:rsidR="00EA5678" w:rsidRDefault="00215138" w:rsidP="005E3DC0">
                      <w:pPr>
                        <w:overflowPunct w:val="0"/>
                        <w:spacing w:afterLines="50" w:after="120" w:line="340" w:lineRule="atLeast"/>
                        <w:jc w:val="both"/>
                      </w:pPr>
                      <w:bookmarkStart w:id="360" w:name="_Hlk174544358"/>
                      <w:bookmarkStart w:id="361" w:name="_Hlk174544359"/>
                      <w:r>
                        <w:t>审查结果20：为改进报告工作做出了相关努力，这些努力在审查期间取得了成果。成员国呼吁改进监测和评价程序，并在监测和评价的基础上分享经验教训。</w:t>
                      </w:r>
                      <w:bookmarkEnd w:id="360"/>
                      <w:bookmarkEnd w:id="361"/>
                    </w:p>
                  </w:txbxContent>
                </v:textbox>
                <w10:wrap type="square" anchorx="margin"/>
              </v:shape>
            </w:pict>
          </mc:Fallback>
        </mc:AlternateContent>
      </w:r>
      <w:r w:rsidRPr="00E23D52">
        <w:rPr>
          <w:rFonts w:ascii="KaiTi" w:eastAsia="KaiTi" w:hAnsi="KaiTi" w:cs="Arial" w:hint="eastAsia"/>
          <w:iCs/>
        </w:rPr>
        <w:t>审查确认，审查期间对技术援助活动的监测和评价部分是充分的</w:t>
      </w:r>
      <w:r w:rsidRPr="00E775A9">
        <w:rPr>
          <w:rFonts w:hAnsi="SimSun" w:cs="Arial" w:hint="eastAsia"/>
        </w:rPr>
        <w:t>。55.4%的受访者将跟踪机制的充分程度评为</w:t>
      </w:r>
      <w:r>
        <w:rPr>
          <w:rFonts w:hAnsi="SimSun" w:cs="SimSun" w:hint="eastAsia"/>
        </w:rPr>
        <w:t>“高”和“非常高”</w:t>
      </w:r>
      <w:r w:rsidRPr="00E775A9">
        <w:rPr>
          <w:rFonts w:hAnsi="SimSun" w:cs="Arial" w:hint="eastAsia"/>
        </w:rPr>
        <w:t>，56.9%的受访者将报告机制评为</w:t>
      </w:r>
      <w:r>
        <w:rPr>
          <w:rFonts w:hAnsi="SimSun" w:cs="SimSun" w:hint="eastAsia"/>
        </w:rPr>
        <w:t>“高”和“非常高”</w:t>
      </w:r>
      <w:r w:rsidRPr="00E775A9">
        <w:rPr>
          <w:rFonts w:hAnsi="SimSun" w:cs="Arial" w:hint="eastAsia"/>
        </w:rPr>
        <w:t>。既要考虑进步，也要考虑挑战。建立注重成果的框架方面取得了重大进展，该框架改善了发展活动的战略和业务规划，提高了自我评价能力。2016-2022年期间，报告工作也有所改进。2022年的绩效报告更加清晰，而2016-2021年的报告在报告相同指标时并不总是保持一致。2022-2026年中期战略计划也只涉及四项成果，因此更加简单明了。现在，有更清晰的绩效报告，说明用于发展相关活动的资源情况。预算外活动的评价是应有关各方的要求并与之合作进行的。此外，每个项目都有与受益成员国共同制定的工作计划，本组织在开设注重产生成果的课程方面也有良好做法（例如知识产权执法）。然而，利益攸关方提到了以下挑战：</w:t>
      </w:r>
    </w:p>
    <w:p w14:paraId="38B67470" w14:textId="77777777" w:rsidR="00EA5678" w:rsidRPr="00E775A9" w:rsidRDefault="00215138" w:rsidP="00215138">
      <w:pPr>
        <w:pStyle w:val="ListParagraph"/>
        <w:numPr>
          <w:ilvl w:val="0"/>
          <w:numId w:val="42"/>
        </w:numPr>
        <w:spacing w:after="120"/>
        <w:ind w:left="924" w:hanging="357"/>
        <w:rPr>
          <w:rFonts w:hAnsi="SimSun" w:cs="Arial"/>
        </w:rPr>
      </w:pPr>
      <w:r w:rsidRPr="00E23D52">
        <w:rPr>
          <w:rFonts w:ascii="KaiTi" w:eastAsia="KaiTi" w:hAnsi="KaiTi" w:cs="Arial" w:hint="eastAsia"/>
          <w:b/>
          <w:iCs/>
        </w:rPr>
        <w:t>监测和评价能力有限</w:t>
      </w:r>
      <w:r w:rsidRPr="00E775A9">
        <w:rPr>
          <w:rFonts w:hAnsi="SimSun" w:cs="Arial" w:hint="eastAsia"/>
          <w:b/>
        </w:rPr>
        <w:t>：</w:t>
      </w:r>
      <w:r w:rsidRPr="00E775A9">
        <w:rPr>
          <w:rFonts w:hAnsi="SimSun" w:cs="Arial" w:hint="eastAsia"/>
        </w:rPr>
        <w:t>需要加强监测和评价活动。这些活动占用了现有工作人员的大量时间。在某些情况下，可能需要一名监测、评价和学习工作人员到实地进行采访。一些项目提供了一名监测、评价和学习人员，并为此设定了预算项目。很少有评价进行实地考察。</w:t>
      </w:r>
    </w:p>
    <w:p w14:paraId="4A9DAF99" w14:textId="278EAB21" w:rsidR="00EA5678" w:rsidRPr="00E775A9" w:rsidRDefault="00215138" w:rsidP="00215138">
      <w:pPr>
        <w:pStyle w:val="ListParagraph"/>
        <w:numPr>
          <w:ilvl w:val="0"/>
          <w:numId w:val="42"/>
        </w:numPr>
        <w:spacing w:after="120"/>
        <w:ind w:left="924" w:hanging="357"/>
        <w:rPr>
          <w:rFonts w:hAnsi="SimSun" w:cs="Arial"/>
        </w:rPr>
      </w:pPr>
      <w:r w:rsidRPr="00E23D52">
        <w:rPr>
          <w:rFonts w:ascii="KaiTi" w:eastAsia="KaiTi" w:hAnsi="KaiTi" w:cs="Arial" w:hint="eastAsia"/>
          <w:b/>
          <w:iCs/>
        </w:rPr>
        <w:t>成员国反馈不足</w:t>
      </w:r>
      <w:r w:rsidRPr="00E775A9">
        <w:rPr>
          <w:rFonts w:hAnsi="SimSun" w:cs="Arial" w:hint="eastAsia"/>
        </w:rPr>
        <w:t>：成员国对项目状态的沟通和更新不足。产权组织很少获悉技术援助的最终产品。例如，可能会在马德里提供立法支持，或为制定新的知识产权政策和战略提供支持，但在技术援助活动结束后，反馈给产权组织的信息有限。</w:t>
      </w:r>
    </w:p>
    <w:p w14:paraId="1E66624A" w14:textId="2747D46D" w:rsidR="00EA5678" w:rsidRPr="00E775A9" w:rsidRDefault="00215138" w:rsidP="00215138">
      <w:pPr>
        <w:pStyle w:val="ListParagraph"/>
        <w:numPr>
          <w:ilvl w:val="0"/>
          <w:numId w:val="42"/>
        </w:numPr>
        <w:spacing w:after="120"/>
        <w:ind w:left="924" w:hanging="357"/>
        <w:rPr>
          <w:rFonts w:hAnsi="SimSun" w:cs="Arial"/>
        </w:rPr>
      </w:pPr>
      <w:r w:rsidRPr="00E23D52">
        <w:rPr>
          <w:rFonts w:ascii="KaiTi" w:eastAsia="KaiTi" w:hAnsi="KaiTi" w:cs="Arial" w:hint="eastAsia"/>
          <w:b/>
          <w:iCs/>
        </w:rPr>
        <w:t>尽管本组织有良好的监测和评价做法，但成员国普遍呼吁加强</w:t>
      </w:r>
      <w:r w:rsidRPr="00E775A9">
        <w:rPr>
          <w:rFonts w:hAnsi="SimSun" w:cs="Arial" w:hint="eastAsia"/>
        </w:rPr>
        <w:t>对产权组织举措的监测和宣传，以便更好地跟踪其结果。已确定的一个良好做法是对发展议程项目进行监测和外部评价。</w:t>
      </w:r>
    </w:p>
    <w:p w14:paraId="1268B632" w14:textId="476D477D" w:rsidR="00EA5678" w:rsidRPr="00215138" w:rsidRDefault="00215138" w:rsidP="00215138">
      <w:pPr>
        <w:pStyle w:val="ListParagraph"/>
        <w:numPr>
          <w:ilvl w:val="0"/>
          <w:numId w:val="3"/>
        </w:numPr>
        <w:spacing w:after="120"/>
        <w:ind w:left="0" w:firstLine="0"/>
        <w:rPr>
          <w:rFonts w:hAnsi="SimSun" w:cs="Arial"/>
        </w:rPr>
      </w:pPr>
      <w:r>
        <w:rPr>
          <w:rFonts w:ascii="Arial" w:hAnsi="Arial" w:cs="Arial" w:hint="eastAsia"/>
          <w:i/>
          <w:iCs/>
          <w:noProof/>
        </w:rPr>
        <mc:AlternateContent>
          <mc:Choice Requires="wps">
            <w:drawing>
              <wp:anchor distT="45720" distB="45720" distL="114300" distR="114300" simplePos="0" relativeHeight="251684864" behindDoc="0" locked="0" layoutInCell="1" allowOverlap="1" wp14:anchorId="2A6655E5" wp14:editId="1BD69F56">
                <wp:simplePos x="0" y="0"/>
                <wp:positionH relativeFrom="margin">
                  <wp:posOffset>3691890</wp:posOffset>
                </wp:positionH>
                <wp:positionV relativeFrom="paragraph">
                  <wp:posOffset>51604</wp:posOffset>
                </wp:positionV>
                <wp:extent cx="2240280" cy="1043940"/>
                <wp:effectExtent l="0" t="0" r="7620" b="3810"/>
                <wp:wrapSquare wrapText="bothSides"/>
                <wp:docPr id="1201400128"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0280" cy="1043940"/>
                        </a:xfrm>
                        <a:prstGeom prst="rect">
                          <a:avLst/>
                        </a:prstGeom>
                        <a:solidFill>
                          <a:srgbClr val="FFC000">
                            <a:lumMod val="60000"/>
                            <a:lumOff val="40000"/>
                          </a:srgbClr>
                        </a:solidFill>
                        <a:ln w="9525">
                          <a:noFill/>
                          <a:miter lim="800000"/>
                        </a:ln>
                      </wps:spPr>
                      <wps:txbx>
                        <w:txbxContent>
                          <w:p w14:paraId="0D5B4007" w14:textId="1A5D37D5" w:rsidR="00EA5678" w:rsidRDefault="00215138" w:rsidP="00215138">
                            <w:pPr>
                              <w:spacing w:afterLines="50" w:after="120" w:line="340" w:lineRule="atLeast"/>
                              <w:jc w:val="both"/>
                            </w:pPr>
                            <w:bookmarkStart w:id="330" w:name="_Hlk174544371"/>
                            <w:bookmarkStart w:id="331" w:name="_Hlk174544372"/>
                            <w:r>
                              <w:t>审查结果21：产权组织在大流行期间应对得当，具有很强的能力，可以适应新出现的需求和困难情况。</w:t>
                            </w:r>
                            <w:bookmarkEnd w:id="330"/>
                            <w:bookmarkEnd w:id="331"/>
                          </w:p>
                        </w:txbxContent>
                      </wps:txbx>
                      <wps:bodyPr rot="0" vert="horz" wrap="square" lIns="91440" tIns="45720" rIns="91440" bIns="45720" anchor="t" anchorCtr="0">
                        <a:noAutofit/>
                      </wps:bodyPr>
                    </wps:wsp>
                  </a:graphicData>
                </a:graphic>
              </wp:anchor>
            </w:drawing>
          </mc:Choice>
          <mc:Fallback>
            <w:pict>
              <v:shape w14:anchorId="2A6655E5" id="_x0000_s1058" type="#_x0000_t202" style="position:absolute;left:0;text-align:left;margin-left:290.7pt;margin-top:4.05pt;width:176.4pt;height:82.2pt;z-index:251684864;visibility:visible;mso-wrap-style:square;mso-wrap-distance-left:9pt;mso-wrap-distance-top:3.6pt;mso-wrap-distance-right:9pt;mso-wrap-distance-bottom:3.6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" fillcolor="#ffd966" stroked="f">
                <v:textbox>
                  <w:txbxContent>
                    <w:p w14:paraId="0D5B4007" w14:textId="1A5D37D5" w:rsidR="00EA5678" w:rsidRDefault="00215138" w:rsidP="00215138">
                      <w:pPr>
                        <w:spacing w:afterLines="50" w:after="120" w:line="340" w:lineRule="atLeast"/>
                        <w:jc w:val="both"/>
                      </w:pPr>
                      <w:bookmarkStart w:id="364" w:name="_Hlk174544371"/>
                      <w:bookmarkStart w:id="365" w:name="_Hlk174544372"/>
                      <w:r>
                        <w:t>审查结果21：产权组织在大流行期间应对得当，具有很强的能力，可以适应新出现的需求和困难情况。</w:t>
                      </w:r>
                      <w:bookmarkEnd w:id="364"/>
                      <w:bookmarkEnd w:id="365"/>
                    </w:p>
                  </w:txbxContent>
                </v:textbox>
                <w10:wrap type="square" anchorx="margin"/>
              </v:shape>
            </w:pict>
          </mc:Fallback>
        </mc:AlternateContent>
      </w:r>
      <w:r w:rsidRPr="00215138">
        <w:rPr>
          <w:rFonts w:ascii="KaiTi" w:eastAsia="KaiTi" w:hAnsi="KaiTi" w:cs="Arial" w:hint="eastAsia"/>
          <w:iCs/>
        </w:rPr>
        <w:t>审查确认，与许多受COVID-19大流行负面影响的其他组织不同，产权组织在创收和计划实施方面表现出了较强的韧性</w:t>
      </w:r>
      <w:r w:rsidRPr="00215138">
        <w:rPr>
          <w:rFonts w:hAnsi="SimSun" w:cs="Arial" w:hint="eastAsia"/>
        </w:rPr>
        <w:t>。在实施方面面临一些挑战，需要更好地设计远程服务（例如，更有活力的多媒体培训）。然而，COVID-19大流行并未对技术援助的效率和交付产生负面影响。以下内容证明了这一点：在审查期间（2017-2022年），产权组织的收入稳步增长（见表6）。2016/17年度收入约7.56亿</w:t>
      </w:r>
      <w:r w:rsidR="00862432" w:rsidRPr="00215138">
        <w:rPr>
          <w:rFonts w:hAnsi="SimSun" w:cs="Arial" w:hint="eastAsia"/>
        </w:rPr>
        <w:t>瑞郎</w:t>
      </w:r>
      <w:r w:rsidRPr="00215138">
        <w:rPr>
          <w:rFonts w:hAnsi="SimSun" w:cs="Arial" w:hint="eastAsia"/>
        </w:rPr>
        <w:t>，2018/2019年度增至8.29亿，2020/21年度增至8.82亿，2022/2023年度增至9.49亿。</w:t>
      </w:r>
    </w:p>
    <w:p w14:paraId="56224500" w14:textId="611C7D35" w:rsidR="00EA5678" w:rsidRPr="00E775A9" w:rsidRDefault="00215138" w:rsidP="00FA22D5">
      <w:pPr>
        <w:spacing w:afterLines="50" w:after="120" w:line="340" w:lineRule="atLeast"/>
        <w:jc w:val="center"/>
        <w:rPr>
          <w:rFonts w:hAnsi="SimSun" w:cs="Arial"/>
          <w:color w:val="2F5496" w:themeColor="accent1" w:themeShade="BF"/>
          <w:sz w:val="20"/>
          <w:szCs w:val="20"/>
        </w:rPr>
      </w:pPr>
      <w:bookmarkStart w:id="332" w:name="_Toc177325682"/>
      <w:r w:rsidRPr="00E775A9">
        <w:rPr>
          <w:rFonts w:hAnsi="SimSun" w:cs="Arial" w:hint="eastAsia"/>
          <w:color w:val="2F5496" w:themeColor="accent1" w:themeShade="BF"/>
          <w:sz w:val="20"/>
          <w:szCs w:val="20"/>
        </w:rPr>
        <w:t>表</w:t>
      </w:r>
      <w:r w:rsidRPr="00E775A9">
        <w:rPr>
          <w:rFonts w:hAnsi="SimSun" w:cs="Arial" w:hint="eastAsia"/>
          <w:color w:val="2F5496" w:themeColor="accent1" w:themeShade="BF"/>
          <w:sz w:val="20"/>
          <w:szCs w:val="20"/>
        </w:rPr>
        <w:fldChar w:fldCharType="begin"/>
      </w:r>
      <w:r w:rsidRPr="00E775A9">
        <w:rPr>
          <w:rFonts w:hAnsi="SimSun" w:cs="Arial" w:hint="eastAsia"/>
          <w:color w:val="2F5496" w:themeColor="accent1" w:themeShade="BF"/>
          <w:sz w:val="20"/>
          <w:szCs w:val="20"/>
        </w:rPr>
        <w:instrText xml:space="preserve"> SEQ Table \* ARABIC </w:instrText>
      </w:r>
      <w:r w:rsidRPr="00E775A9">
        <w:rPr>
          <w:rFonts w:hAnsi="SimSun" w:cs="Arial" w:hint="eastAsia"/>
          <w:color w:val="2F5496" w:themeColor="accent1" w:themeShade="BF"/>
          <w:sz w:val="20"/>
          <w:szCs w:val="20"/>
        </w:rPr>
        <w:fldChar w:fldCharType="separate"/>
      </w:r>
      <w:r w:rsidR="00AA5A99">
        <w:rPr>
          <w:rFonts w:hAnsi="SimSun" w:cs="Arial"/>
          <w:noProof/>
          <w:color w:val="2F5496" w:themeColor="accent1" w:themeShade="BF"/>
          <w:sz w:val="20"/>
          <w:szCs w:val="20"/>
        </w:rPr>
        <w:t>6</w:t>
      </w:r>
      <w:r w:rsidRPr="00E775A9">
        <w:rPr>
          <w:rFonts w:hAnsi="SimSun" w:cs="Arial" w:hint="eastAsia"/>
          <w:color w:val="2F5496" w:themeColor="accent1" w:themeShade="BF"/>
          <w:sz w:val="20"/>
          <w:szCs w:val="20"/>
        </w:rPr>
        <w:fldChar w:fldCharType="end"/>
      </w:r>
      <w:r w:rsidRPr="00E775A9">
        <w:rPr>
          <w:rFonts w:hAnsi="SimSun" w:cs="Arial" w:hint="eastAsia"/>
          <w:color w:val="2F5496" w:themeColor="accent1" w:themeShade="BF"/>
          <w:sz w:val="20"/>
          <w:szCs w:val="20"/>
        </w:rPr>
        <w:t>.为预算供资的收入来源（单位：百万</w:t>
      </w:r>
      <w:r w:rsidR="00862432">
        <w:rPr>
          <w:rFonts w:hAnsi="SimSun" w:cs="Arial" w:hint="eastAsia"/>
          <w:color w:val="2F5496" w:themeColor="accent1" w:themeShade="BF"/>
          <w:sz w:val="20"/>
          <w:szCs w:val="20"/>
        </w:rPr>
        <w:t>瑞郎</w:t>
      </w:r>
      <w:r w:rsidRPr="00E775A9">
        <w:rPr>
          <w:rFonts w:hAnsi="SimSun" w:cs="Arial" w:hint="eastAsia"/>
          <w:color w:val="2F5496" w:themeColor="accent1" w:themeShade="BF"/>
          <w:sz w:val="20"/>
          <w:szCs w:val="20"/>
        </w:rPr>
        <w:t>）</w:t>
      </w:r>
      <w:bookmarkEnd w:id="332"/>
    </w:p>
    <w:tbl>
      <w:tblPr>
        <w:tblStyle w:val="GridTable4-Accent11"/>
        <w:tblW w:w="8947" w:type="dxa"/>
        <w:jc w:val="center"/>
        <w:tblLayout w:type="fixed"/>
        <w:tblLook w:val="04A0" w:firstRow="1" w:lastRow="0" w:firstColumn="1" w:lastColumn="0" w:noHBand="0" w:noVBand="1"/>
      </w:tblPr>
      <w:tblGrid>
        <w:gridCol w:w="2683"/>
        <w:gridCol w:w="1105"/>
        <w:gridCol w:w="975"/>
        <w:gridCol w:w="1117"/>
        <w:gridCol w:w="975"/>
        <w:gridCol w:w="1117"/>
        <w:gridCol w:w="975"/>
      </w:tblGrid>
      <w:tr w:rsidR="00EA5678" w:rsidRPr="00E775A9" w14:paraId="58A16D02" w14:textId="77777777" w:rsidTr="00BB2DF3">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683" w:type="dxa"/>
          </w:tcPr>
          <w:p w14:paraId="7BBDEA9C" w14:textId="77777777" w:rsidR="00EA5678" w:rsidRPr="00E775A9" w:rsidRDefault="00215138" w:rsidP="00BB2DF3">
            <w:pPr>
              <w:pStyle w:val="ListParagraph"/>
              <w:spacing w:afterLines="0" w:after="0"/>
              <w:rPr>
                <w:rFonts w:hAnsi="SimSun" w:cs="Arial"/>
                <w:b w:val="0"/>
                <w:bCs w:val="0"/>
                <w:lang w:eastAsia="zh-CN"/>
              </w:rPr>
            </w:pPr>
            <w:r w:rsidRPr="00E775A9">
              <w:rPr>
                <w:rFonts w:hAnsi="SimSun" w:cs="Arial" w:hint="eastAsia"/>
                <w:lang w:eastAsia="zh-CN"/>
              </w:rPr>
              <w:t>来源</w:t>
            </w:r>
          </w:p>
        </w:tc>
        <w:tc>
          <w:tcPr>
            <w:tcW w:w="2080" w:type="dxa"/>
            <w:gridSpan w:val="2"/>
          </w:tcPr>
          <w:p w14:paraId="3FDE6C2A" w14:textId="77777777" w:rsidR="00EA5678" w:rsidRPr="00E775A9" w:rsidRDefault="00215138" w:rsidP="00BB2DF3">
            <w:pPr>
              <w:pStyle w:val="ListParagraph"/>
              <w:spacing w:afterLines="0" w:after="0"/>
              <w:cnfStyle w:val="100000000000" w:firstRow="1" w:lastRow="0" w:firstColumn="0" w:lastColumn="0" w:oddVBand="0" w:evenVBand="0" w:oddHBand="0" w:evenHBand="0" w:firstRowFirstColumn="0" w:firstRowLastColumn="0" w:lastRowFirstColumn="0" w:lastRowLastColumn="0"/>
              <w:rPr>
                <w:rFonts w:hAnsi="SimSun" w:cs="Arial"/>
                <w:b w:val="0"/>
                <w:bCs w:val="0"/>
                <w:lang w:eastAsia="zh-CN"/>
              </w:rPr>
            </w:pPr>
            <w:r w:rsidRPr="00E775A9">
              <w:rPr>
                <w:rFonts w:hAnsi="SimSun" w:cs="Arial" w:hint="eastAsia"/>
                <w:lang w:eastAsia="zh-CN"/>
              </w:rPr>
              <w:t>2016/17</w:t>
            </w:r>
          </w:p>
        </w:tc>
        <w:tc>
          <w:tcPr>
            <w:tcW w:w="2092" w:type="dxa"/>
            <w:gridSpan w:val="2"/>
          </w:tcPr>
          <w:p w14:paraId="52E86D16" w14:textId="77777777" w:rsidR="00EA5678" w:rsidRPr="00E775A9" w:rsidRDefault="00215138" w:rsidP="00BB2DF3">
            <w:pPr>
              <w:pStyle w:val="ListParagraph"/>
              <w:spacing w:afterLines="0" w:after="0"/>
              <w:cnfStyle w:val="100000000000" w:firstRow="1" w:lastRow="0" w:firstColumn="0" w:lastColumn="0" w:oddVBand="0" w:evenVBand="0" w:oddHBand="0" w:evenHBand="0" w:firstRowFirstColumn="0" w:firstRowLastColumn="0" w:lastRowFirstColumn="0" w:lastRowLastColumn="0"/>
              <w:rPr>
                <w:rFonts w:hAnsi="SimSun" w:cs="Arial"/>
                <w:b w:val="0"/>
                <w:bCs w:val="0"/>
                <w:lang w:eastAsia="zh-CN"/>
              </w:rPr>
            </w:pPr>
            <w:r w:rsidRPr="00E775A9">
              <w:rPr>
                <w:rFonts w:hAnsi="SimSun" w:cs="Arial" w:hint="eastAsia"/>
                <w:lang w:eastAsia="zh-CN"/>
              </w:rPr>
              <w:t>2018/19</w:t>
            </w:r>
          </w:p>
        </w:tc>
        <w:tc>
          <w:tcPr>
            <w:tcW w:w="2092" w:type="dxa"/>
            <w:gridSpan w:val="2"/>
          </w:tcPr>
          <w:p w14:paraId="39ADB910" w14:textId="77777777" w:rsidR="00EA5678" w:rsidRPr="00E775A9" w:rsidRDefault="00215138" w:rsidP="00BB2DF3">
            <w:pPr>
              <w:pStyle w:val="ListParagraph"/>
              <w:spacing w:afterLines="0" w:after="0"/>
              <w:cnfStyle w:val="100000000000" w:firstRow="1" w:lastRow="0" w:firstColumn="0" w:lastColumn="0" w:oddVBand="0" w:evenVBand="0" w:oddHBand="0" w:evenHBand="0" w:firstRowFirstColumn="0" w:firstRowLastColumn="0" w:lastRowFirstColumn="0" w:lastRowLastColumn="0"/>
              <w:rPr>
                <w:rFonts w:hAnsi="SimSun" w:cs="Arial"/>
                <w:b w:val="0"/>
                <w:bCs w:val="0"/>
                <w:lang w:eastAsia="zh-CN"/>
              </w:rPr>
            </w:pPr>
            <w:r w:rsidRPr="00E775A9">
              <w:rPr>
                <w:rFonts w:hAnsi="SimSun" w:cs="Arial" w:hint="eastAsia"/>
                <w:lang w:eastAsia="zh-CN"/>
              </w:rPr>
              <w:t>2020/21</w:t>
            </w:r>
          </w:p>
        </w:tc>
      </w:tr>
      <w:tr w:rsidR="00EA5678" w:rsidRPr="00E775A9" w14:paraId="054F28D1" w14:textId="77777777" w:rsidTr="00BB2DF3">
        <w:trPr>
          <w:jc w:val="center"/>
        </w:trPr>
        <w:tc>
          <w:tcPr>
            <w:cnfStyle w:val="001000000000" w:firstRow="0" w:lastRow="0" w:firstColumn="1" w:lastColumn="0" w:oddVBand="0" w:evenVBand="0" w:oddHBand="0" w:evenHBand="0" w:firstRowFirstColumn="0" w:firstRowLastColumn="0" w:lastRowFirstColumn="0" w:lastRowLastColumn="0"/>
            <w:tcW w:w="2683" w:type="dxa"/>
            <w:shd w:val="clear" w:color="auto" w:fill="D9E2F3" w:themeFill="accent1" w:themeFillTint="33"/>
          </w:tcPr>
          <w:p w14:paraId="43DFC988" w14:textId="77777777" w:rsidR="00EA5678" w:rsidRPr="00E775A9" w:rsidRDefault="00EA5678" w:rsidP="00BB2DF3">
            <w:pPr>
              <w:pStyle w:val="ListParagraph"/>
              <w:spacing w:afterLines="0" w:after="0"/>
              <w:rPr>
                <w:rFonts w:hAnsi="SimSun" w:cs="Arial"/>
                <w:b w:val="0"/>
                <w:bCs w:val="0"/>
                <w:lang w:eastAsia="zh-CN"/>
              </w:rPr>
            </w:pPr>
          </w:p>
        </w:tc>
        <w:tc>
          <w:tcPr>
            <w:tcW w:w="1105" w:type="dxa"/>
            <w:shd w:val="clear" w:color="auto" w:fill="D9E2F3" w:themeFill="accent1" w:themeFillTint="33"/>
          </w:tcPr>
          <w:p w14:paraId="7B433E25"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金额</w:t>
            </w:r>
          </w:p>
        </w:tc>
        <w:tc>
          <w:tcPr>
            <w:tcW w:w="975" w:type="dxa"/>
            <w:shd w:val="clear" w:color="auto" w:fill="D9E2F3" w:themeFill="accent1" w:themeFillTint="33"/>
          </w:tcPr>
          <w:p w14:paraId="5DB4062E"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w:t>
            </w:r>
          </w:p>
        </w:tc>
        <w:tc>
          <w:tcPr>
            <w:tcW w:w="1117" w:type="dxa"/>
            <w:shd w:val="clear" w:color="auto" w:fill="D9E2F3" w:themeFill="accent1" w:themeFillTint="33"/>
          </w:tcPr>
          <w:p w14:paraId="5E5DEC8C"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金额</w:t>
            </w:r>
          </w:p>
        </w:tc>
        <w:tc>
          <w:tcPr>
            <w:tcW w:w="975" w:type="dxa"/>
            <w:shd w:val="clear" w:color="auto" w:fill="D9E2F3" w:themeFill="accent1" w:themeFillTint="33"/>
          </w:tcPr>
          <w:p w14:paraId="5448AEE5"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w:t>
            </w:r>
          </w:p>
        </w:tc>
        <w:tc>
          <w:tcPr>
            <w:tcW w:w="1117" w:type="dxa"/>
            <w:shd w:val="clear" w:color="auto" w:fill="D9E2F3" w:themeFill="accent1" w:themeFillTint="33"/>
          </w:tcPr>
          <w:p w14:paraId="036A6096"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金额</w:t>
            </w:r>
          </w:p>
        </w:tc>
        <w:tc>
          <w:tcPr>
            <w:tcW w:w="975" w:type="dxa"/>
            <w:shd w:val="clear" w:color="auto" w:fill="D9E2F3" w:themeFill="accent1" w:themeFillTint="33"/>
          </w:tcPr>
          <w:p w14:paraId="2308025B"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w:t>
            </w:r>
          </w:p>
        </w:tc>
      </w:tr>
      <w:tr w:rsidR="00EA5678" w:rsidRPr="00E775A9" w14:paraId="2A3DA91A" w14:textId="77777777" w:rsidTr="00BB2DF3">
        <w:trPr>
          <w:jc w:val="center"/>
        </w:trPr>
        <w:tc>
          <w:tcPr>
            <w:cnfStyle w:val="001000000000" w:firstRow="0" w:lastRow="0" w:firstColumn="1" w:lastColumn="0" w:oddVBand="0" w:evenVBand="0" w:oddHBand="0" w:evenHBand="0" w:firstRowFirstColumn="0" w:firstRowLastColumn="0" w:lastRowFirstColumn="0" w:lastRowLastColumn="0"/>
            <w:tcW w:w="2683" w:type="dxa"/>
          </w:tcPr>
          <w:p w14:paraId="48DD7F8A" w14:textId="77777777" w:rsidR="00EA5678" w:rsidRPr="00E775A9" w:rsidRDefault="00215138" w:rsidP="00BB2DF3">
            <w:pPr>
              <w:pStyle w:val="ListParagraph"/>
              <w:spacing w:afterLines="0" w:after="0"/>
              <w:rPr>
                <w:rFonts w:hAnsi="SimSun" w:cs="Arial"/>
                <w:b w:val="0"/>
                <w:bCs w:val="0"/>
                <w:lang w:eastAsia="zh-CN"/>
              </w:rPr>
            </w:pPr>
            <w:r w:rsidRPr="00E775A9">
              <w:rPr>
                <w:rFonts w:hAnsi="SimSun" w:cs="Arial" w:hint="eastAsia"/>
                <w:lang w:eastAsia="zh-CN"/>
              </w:rPr>
              <w:t>PCT</w:t>
            </w:r>
          </w:p>
        </w:tc>
        <w:tc>
          <w:tcPr>
            <w:tcW w:w="1105" w:type="dxa"/>
          </w:tcPr>
          <w:p w14:paraId="7472B203"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575.9</w:t>
            </w:r>
          </w:p>
        </w:tc>
        <w:tc>
          <w:tcPr>
            <w:tcW w:w="975" w:type="dxa"/>
          </w:tcPr>
          <w:p w14:paraId="6F2417F8"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76.1</w:t>
            </w:r>
          </w:p>
        </w:tc>
        <w:tc>
          <w:tcPr>
            <w:tcW w:w="1117" w:type="dxa"/>
          </w:tcPr>
          <w:p w14:paraId="56B88119"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634.1</w:t>
            </w:r>
          </w:p>
        </w:tc>
        <w:tc>
          <w:tcPr>
            <w:tcW w:w="975" w:type="dxa"/>
          </w:tcPr>
          <w:p w14:paraId="7F3D8D98"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76.4</w:t>
            </w:r>
          </w:p>
        </w:tc>
        <w:tc>
          <w:tcPr>
            <w:tcW w:w="1117" w:type="dxa"/>
          </w:tcPr>
          <w:p w14:paraId="776E0789"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665.6</w:t>
            </w:r>
          </w:p>
        </w:tc>
        <w:tc>
          <w:tcPr>
            <w:tcW w:w="975" w:type="dxa"/>
          </w:tcPr>
          <w:p w14:paraId="532414C5"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75.4</w:t>
            </w:r>
          </w:p>
        </w:tc>
      </w:tr>
      <w:tr w:rsidR="00EA5678" w:rsidRPr="00E775A9" w14:paraId="236A8178" w14:textId="77777777" w:rsidTr="00BB2DF3">
        <w:trPr>
          <w:jc w:val="center"/>
        </w:trPr>
        <w:tc>
          <w:tcPr>
            <w:cnfStyle w:val="001000000000" w:firstRow="0" w:lastRow="0" w:firstColumn="1" w:lastColumn="0" w:oddVBand="0" w:evenVBand="0" w:oddHBand="0" w:evenHBand="0" w:firstRowFirstColumn="0" w:firstRowLastColumn="0" w:lastRowFirstColumn="0" w:lastRowLastColumn="0"/>
            <w:tcW w:w="2683" w:type="dxa"/>
            <w:shd w:val="clear" w:color="auto" w:fill="D9E2F3" w:themeFill="accent1" w:themeFillTint="33"/>
          </w:tcPr>
          <w:p w14:paraId="1A8D14A0" w14:textId="77777777" w:rsidR="00EA5678" w:rsidRPr="00E775A9" w:rsidRDefault="00215138" w:rsidP="00BB2DF3">
            <w:pPr>
              <w:pStyle w:val="ListParagraph"/>
              <w:spacing w:afterLines="0" w:after="0"/>
              <w:rPr>
                <w:rFonts w:hAnsi="SimSun" w:cs="Arial"/>
                <w:b w:val="0"/>
                <w:bCs w:val="0"/>
                <w:lang w:eastAsia="zh-CN"/>
              </w:rPr>
            </w:pPr>
            <w:r w:rsidRPr="00E775A9">
              <w:rPr>
                <w:rFonts w:hAnsi="SimSun" w:cs="Arial" w:hint="eastAsia"/>
                <w:lang w:eastAsia="zh-CN"/>
              </w:rPr>
              <w:t>马德里</w:t>
            </w:r>
          </w:p>
        </w:tc>
        <w:tc>
          <w:tcPr>
            <w:tcW w:w="1105" w:type="dxa"/>
            <w:shd w:val="clear" w:color="auto" w:fill="D9E2F3" w:themeFill="accent1" w:themeFillTint="33"/>
          </w:tcPr>
          <w:p w14:paraId="315D1139"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128.8</w:t>
            </w:r>
          </w:p>
        </w:tc>
        <w:tc>
          <w:tcPr>
            <w:tcW w:w="975" w:type="dxa"/>
            <w:shd w:val="clear" w:color="auto" w:fill="D9E2F3" w:themeFill="accent1" w:themeFillTint="33"/>
          </w:tcPr>
          <w:p w14:paraId="5A6A7C0A"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17.0</w:t>
            </w:r>
          </w:p>
        </w:tc>
        <w:tc>
          <w:tcPr>
            <w:tcW w:w="1117" w:type="dxa"/>
            <w:shd w:val="clear" w:color="auto" w:fill="D9E2F3" w:themeFill="accent1" w:themeFillTint="33"/>
          </w:tcPr>
          <w:p w14:paraId="42257EA6"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140.8</w:t>
            </w:r>
          </w:p>
        </w:tc>
        <w:tc>
          <w:tcPr>
            <w:tcW w:w="975" w:type="dxa"/>
            <w:shd w:val="clear" w:color="auto" w:fill="D9E2F3" w:themeFill="accent1" w:themeFillTint="33"/>
          </w:tcPr>
          <w:p w14:paraId="3378792D"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17.0</w:t>
            </w:r>
          </w:p>
        </w:tc>
        <w:tc>
          <w:tcPr>
            <w:tcW w:w="1117" w:type="dxa"/>
            <w:shd w:val="clear" w:color="auto" w:fill="D9E2F3" w:themeFill="accent1" w:themeFillTint="33"/>
          </w:tcPr>
          <w:p w14:paraId="2FCD8924"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162.0</w:t>
            </w:r>
          </w:p>
        </w:tc>
        <w:tc>
          <w:tcPr>
            <w:tcW w:w="975" w:type="dxa"/>
            <w:shd w:val="clear" w:color="auto" w:fill="D9E2F3" w:themeFill="accent1" w:themeFillTint="33"/>
          </w:tcPr>
          <w:p w14:paraId="7B130317"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18.4</w:t>
            </w:r>
          </w:p>
        </w:tc>
      </w:tr>
      <w:tr w:rsidR="00EA5678" w:rsidRPr="00E775A9" w14:paraId="416AE660" w14:textId="77777777" w:rsidTr="00BB2DF3">
        <w:trPr>
          <w:jc w:val="center"/>
        </w:trPr>
        <w:tc>
          <w:tcPr>
            <w:cnfStyle w:val="001000000000" w:firstRow="0" w:lastRow="0" w:firstColumn="1" w:lastColumn="0" w:oddVBand="0" w:evenVBand="0" w:oddHBand="0" w:evenHBand="0" w:firstRowFirstColumn="0" w:firstRowLastColumn="0" w:lastRowFirstColumn="0" w:lastRowLastColumn="0"/>
            <w:tcW w:w="2683" w:type="dxa"/>
          </w:tcPr>
          <w:p w14:paraId="47F592AA" w14:textId="77777777" w:rsidR="00EA5678" w:rsidRPr="00E775A9" w:rsidRDefault="00215138" w:rsidP="00BB2DF3">
            <w:pPr>
              <w:pStyle w:val="ListParagraph"/>
              <w:spacing w:afterLines="0" w:after="0"/>
              <w:rPr>
                <w:rFonts w:hAnsi="SimSun" w:cs="Arial"/>
                <w:b w:val="0"/>
                <w:bCs w:val="0"/>
                <w:lang w:eastAsia="zh-CN"/>
              </w:rPr>
            </w:pPr>
            <w:r w:rsidRPr="00E775A9">
              <w:rPr>
                <w:rFonts w:hAnsi="SimSun" w:cs="Arial" w:hint="eastAsia"/>
                <w:lang w:eastAsia="zh-CN"/>
              </w:rPr>
              <w:t>海牙</w:t>
            </w:r>
          </w:p>
        </w:tc>
        <w:tc>
          <w:tcPr>
            <w:tcW w:w="1105" w:type="dxa"/>
          </w:tcPr>
          <w:p w14:paraId="330854D5"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10.3</w:t>
            </w:r>
          </w:p>
        </w:tc>
        <w:tc>
          <w:tcPr>
            <w:tcW w:w="975" w:type="dxa"/>
          </w:tcPr>
          <w:p w14:paraId="61AB3762"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1.4</w:t>
            </w:r>
          </w:p>
        </w:tc>
        <w:tc>
          <w:tcPr>
            <w:tcW w:w="1117" w:type="dxa"/>
          </w:tcPr>
          <w:p w14:paraId="007899CD"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11.3</w:t>
            </w:r>
          </w:p>
        </w:tc>
        <w:tc>
          <w:tcPr>
            <w:tcW w:w="975" w:type="dxa"/>
          </w:tcPr>
          <w:p w14:paraId="2DB0EFDE"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1.3</w:t>
            </w:r>
          </w:p>
        </w:tc>
        <w:tc>
          <w:tcPr>
            <w:tcW w:w="1117" w:type="dxa"/>
          </w:tcPr>
          <w:p w14:paraId="77EED96F"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12.6</w:t>
            </w:r>
          </w:p>
        </w:tc>
        <w:tc>
          <w:tcPr>
            <w:tcW w:w="975" w:type="dxa"/>
          </w:tcPr>
          <w:p w14:paraId="21186F19"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1.4</w:t>
            </w:r>
          </w:p>
        </w:tc>
      </w:tr>
      <w:tr w:rsidR="00EA5678" w:rsidRPr="00E775A9" w14:paraId="5789D6F5" w14:textId="77777777" w:rsidTr="00BB2DF3">
        <w:trPr>
          <w:jc w:val="center"/>
        </w:trPr>
        <w:tc>
          <w:tcPr>
            <w:cnfStyle w:val="001000000000" w:firstRow="0" w:lastRow="0" w:firstColumn="1" w:lastColumn="0" w:oddVBand="0" w:evenVBand="0" w:oddHBand="0" w:evenHBand="0" w:firstRowFirstColumn="0" w:firstRowLastColumn="0" w:lastRowFirstColumn="0" w:lastRowLastColumn="0"/>
            <w:tcW w:w="2683" w:type="dxa"/>
            <w:shd w:val="clear" w:color="auto" w:fill="D9E2F3" w:themeFill="accent1" w:themeFillTint="33"/>
          </w:tcPr>
          <w:p w14:paraId="3D14D7FA" w14:textId="77777777" w:rsidR="00EA5678" w:rsidRPr="00E775A9" w:rsidRDefault="00215138" w:rsidP="00BB2DF3">
            <w:pPr>
              <w:pStyle w:val="ListParagraph"/>
              <w:spacing w:afterLines="0" w:after="0"/>
              <w:rPr>
                <w:rFonts w:hAnsi="SimSun" w:cs="Arial"/>
                <w:b w:val="0"/>
                <w:bCs w:val="0"/>
                <w:lang w:eastAsia="zh-CN"/>
              </w:rPr>
            </w:pPr>
            <w:r w:rsidRPr="00E775A9">
              <w:rPr>
                <w:rFonts w:hAnsi="SimSun" w:cs="Arial" w:hint="eastAsia"/>
                <w:lang w:eastAsia="zh-CN"/>
              </w:rPr>
              <w:t>里斯本</w:t>
            </w:r>
          </w:p>
        </w:tc>
        <w:tc>
          <w:tcPr>
            <w:tcW w:w="1105" w:type="dxa"/>
            <w:shd w:val="clear" w:color="auto" w:fill="D9E2F3" w:themeFill="accent1" w:themeFillTint="33"/>
          </w:tcPr>
          <w:p w14:paraId="63AE6943"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0.0</w:t>
            </w:r>
          </w:p>
        </w:tc>
        <w:tc>
          <w:tcPr>
            <w:tcW w:w="975" w:type="dxa"/>
            <w:shd w:val="clear" w:color="auto" w:fill="D9E2F3" w:themeFill="accent1" w:themeFillTint="33"/>
          </w:tcPr>
          <w:p w14:paraId="35090835" w14:textId="77777777" w:rsidR="00EA5678" w:rsidRPr="00E775A9" w:rsidRDefault="00EA567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p>
        </w:tc>
        <w:tc>
          <w:tcPr>
            <w:tcW w:w="1117" w:type="dxa"/>
            <w:shd w:val="clear" w:color="auto" w:fill="D9E2F3" w:themeFill="accent1" w:themeFillTint="33"/>
          </w:tcPr>
          <w:p w14:paraId="368C9D11"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0.0</w:t>
            </w:r>
          </w:p>
        </w:tc>
        <w:tc>
          <w:tcPr>
            <w:tcW w:w="975" w:type="dxa"/>
            <w:shd w:val="clear" w:color="auto" w:fill="D9E2F3" w:themeFill="accent1" w:themeFillTint="33"/>
          </w:tcPr>
          <w:p w14:paraId="4B725769" w14:textId="77777777" w:rsidR="00EA5678" w:rsidRPr="00E775A9" w:rsidRDefault="00EA567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p>
        </w:tc>
        <w:tc>
          <w:tcPr>
            <w:tcW w:w="1117" w:type="dxa"/>
            <w:shd w:val="clear" w:color="auto" w:fill="D9E2F3" w:themeFill="accent1" w:themeFillTint="33"/>
          </w:tcPr>
          <w:p w14:paraId="7C9046DC" w14:textId="77777777" w:rsidR="00EA5678" w:rsidRPr="00E775A9" w:rsidRDefault="00EA567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p>
        </w:tc>
        <w:tc>
          <w:tcPr>
            <w:tcW w:w="975" w:type="dxa"/>
            <w:shd w:val="clear" w:color="auto" w:fill="D9E2F3" w:themeFill="accent1" w:themeFillTint="33"/>
          </w:tcPr>
          <w:p w14:paraId="45FB5F75" w14:textId="77777777" w:rsidR="00EA5678" w:rsidRPr="00E775A9" w:rsidRDefault="00EA567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p>
        </w:tc>
      </w:tr>
      <w:tr w:rsidR="00EA5678" w:rsidRPr="00E775A9" w14:paraId="767E37C9" w14:textId="77777777" w:rsidTr="00BB2DF3">
        <w:trPr>
          <w:jc w:val="center"/>
        </w:trPr>
        <w:tc>
          <w:tcPr>
            <w:cnfStyle w:val="001000000000" w:firstRow="0" w:lastRow="0" w:firstColumn="1" w:lastColumn="0" w:oddVBand="0" w:evenVBand="0" w:oddHBand="0" w:evenHBand="0" w:firstRowFirstColumn="0" w:firstRowLastColumn="0" w:lastRowFirstColumn="0" w:lastRowLastColumn="0"/>
            <w:tcW w:w="2683" w:type="dxa"/>
          </w:tcPr>
          <w:p w14:paraId="5E084B78" w14:textId="77777777" w:rsidR="00EA5678" w:rsidRPr="00E775A9" w:rsidRDefault="00215138" w:rsidP="00BB2DF3">
            <w:pPr>
              <w:pStyle w:val="ListParagraph"/>
              <w:spacing w:afterLines="0" w:after="0"/>
              <w:rPr>
                <w:rFonts w:hAnsi="SimSun" w:cs="Arial"/>
                <w:b w:val="0"/>
                <w:bCs w:val="0"/>
                <w:lang w:eastAsia="zh-CN"/>
              </w:rPr>
            </w:pPr>
            <w:r w:rsidRPr="00E775A9">
              <w:rPr>
                <w:rFonts w:hAnsi="SimSun" w:cs="Arial" w:hint="eastAsia"/>
                <w:lang w:eastAsia="zh-CN"/>
              </w:rPr>
              <w:t>捐助</w:t>
            </w:r>
          </w:p>
        </w:tc>
        <w:tc>
          <w:tcPr>
            <w:tcW w:w="1105" w:type="dxa"/>
          </w:tcPr>
          <w:p w14:paraId="7F442BF5"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34.7</w:t>
            </w:r>
          </w:p>
        </w:tc>
        <w:tc>
          <w:tcPr>
            <w:tcW w:w="975" w:type="dxa"/>
          </w:tcPr>
          <w:p w14:paraId="75574F63"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4.6</w:t>
            </w:r>
          </w:p>
        </w:tc>
        <w:tc>
          <w:tcPr>
            <w:tcW w:w="1117" w:type="dxa"/>
          </w:tcPr>
          <w:p w14:paraId="318D6CB2"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34.8</w:t>
            </w:r>
          </w:p>
        </w:tc>
        <w:tc>
          <w:tcPr>
            <w:tcW w:w="975" w:type="dxa"/>
          </w:tcPr>
          <w:p w14:paraId="198FB984"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4.1</w:t>
            </w:r>
          </w:p>
        </w:tc>
        <w:tc>
          <w:tcPr>
            <w:tcW w:w="1117" w:type="dxa"/>
          </w:tcPr>
          <w:p w14:paraId="39CCB00E"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34.8</w:t>
            </w:r>
          </w:p>
        </w:tc>
        <w:tc>
          <w:tcPr>
            <w:tcW w:w="975" w:type="dxa"/>
          </w:tcPr>
          <w:p w14:paraId="7C8ADE47"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3.9</w:t>
            </w:r>
          </w:p>
        </w:tc>
      </w:tr>
      <w:tr w:rsidR="00EA5678" w:rsidRPr="00E775A9" w14:paraId="77741513" w14:textId="77777777" w:rsidTr="00BB2DF3">
        <w:trPr>
          <w:jc w:val="center"/>
        </w:trPr>
        <w:tc>
          <w:tcPr>
            <w:cnfStyle w:val="001000000000" w:firstRow="0" w:lastRow="0" w:firstColumn="1" w:lastColumn="0" w:oddVBand="0" w:evenVBand="0" w:oddHBand="0" w:evenHBand="0" w:firstRowFirstColumn="0" w:firstRowLastColumn="0" w:lastRowFirstColumn="0" w:lastRowLastColumn="0"/>
            <w:tcW w:w="2683" w:type="dxa"/>
            <w:shd w:val="clear" w:color="auto" w:fill="D9E2F3" w:themeFill="accent1" w:themeFillTint="33"/>
          </w:tcPr>
          <w:p w14:paraId="632F0CBC" w14:textId="77777777" w:rsidR="00EA5678" w:rsidRPr="00E775A9" w:rsidRDefault="00215138" w:rsidP="00BB2DF3">
            <w:pPr>
              <w:pStyle w:val="ListParagraph"/>
              <w:spacing w:afterLines="0" w:after="0"/>
              <w:rPr>
                <w:rFonts w:hAnsi="SimSun" w:cs="Arial"/>
                <w:b w:val="0"/>
                <w:bCs w:val="0"/>
                <w:lang w:eastAsia="zh-CN"/>
              </w:rPr>
            </w:pPr>
            <w:r w:rsidRPr="00E775A9">
              <w:rPr>
                <w:rFonts w:hAnsi="SimSun" w:cs="Arial" w:hint="eastAsia"/>
                <w:lang w:eastAsia="zh-CN"/>
              </w:rPr>
              <w:t>仲裁</w:t>
            </w:r>
          </w:p>
        </w:tc>
        <w:tc>
          <w:tcPr>
            <w:tcW w:w="1105" w:type="dxa"/>
            <w:shd w:val="clear" w:color="auto" w:fill="D9E2F3" w:themeFill="accent1" w:themeFillTint="33"/>
          </w:tcPr>
          <w:p w14:paraId="1F0865BC"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2.5</w:t>
            </w:r>
          </w:p>
        </w:tc>
        <w:tc>
          <w:tcPr>
            <w:tcW w:w="975" w:type="dxa"/>
            <w:shd w:val="clear" w:color="auto" w:fill="D9E2F3" w:themeFill="accent1" w:themeFillTint="33"/>
          </w:tcPr>
          <w:p w14:paraId="2033A42E"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0.3</w:t>
            </w:r>
          </w:p>
        </w:tc>
        <w:tc>
          <w:tcPr>
            <w:tcW w:w="1117" w:type="dxa"/>
            <w:shd w:val="clear" w:color="auto" w:fill="D9E2F3" w:themeFill="accent1" w:themeFillTint="33"/>
          </w:tcPr>
          <w:p w14:paraId="782E4C1A"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3.1</w:t>
            </w:r>
          </w:p>
        </w:tc>
        <w:tc>
          <w:tcPr>
            <w:tcW w:w="975" w:type="dxa"/>
            <w:shd w:val="clear" w:color="auto" w:fill="D9E2F3" w:themeFill="accent1" w:themeFillTint="33"/>
          </w:tcPr>
          <w:p w14:paraId="232A8805"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0.5</w:t>
            </w:r>
          </w:p>
        </w:tc>
        <w:tc>
          <w:tcPr>
            <w:tcW w:w="1117" w:type="dxa"/>
            <w:shd w:val="clear" w:color="auto" w:fill="D9E2F3" w:themeFill="accent1" w:themeFillTint="33"/>
          </w:tcPr>
          <w:p w14:paraId="31B0E3FC"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3.3</w:t>
            </w:r>
          </w:p>
        </w:tc>
        <w:tc>
          <w:tcPr>
            <w:tcW w:w="975" w:type="dxa"/>
            <w:shd w:val="clear" w:color="auto" w:fill="D9E2F3" w:themeFill="accent1" w:themeFillTint="33"/>
          </w:tcPr>
          <w:p w14:paraId="6A270EEA"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0.4</w:t>
            </w:r>
          </w:p>
        </w:tc>
      </w:tr>
      <w:tr w:rsidR="00EA5678" w:rsidRPr="00E775A9" w14:paraId="4063710D" w14:textId="77777777" w:rsidTr="00BB2DF3">
        <w:trPr>
          <w:jc w:val="center"/>
        </w:trPr>
        <w:tc>
          <w:tcPr>
            <w:cnfStyle w:val="001000000000" w:firstRow="0" w:lastRow="0" w:firstColumn="1" w:lastColumn="0" w:oddVBand="0" w:evenVBand="0" w:oddHBand="0" w:evenHBand="0" w:firstRowFirstColumn="0" w:firstRowLastColumn="0" w:lastRowFirstColumn="0" w:lastRowLastColumn="0"/>
            <w:tcW w:w="2683" w:type="dxa"/>
          </w:tcPr>
          <w:p w14:paraId="3B597396" w14:textId="77777777" w:rsidR="00EA5678" w:rsidRPr="00E775A9" w:rsidRDefault="00215138" w:rsidP="00BB2DF3">
            <w:pPr>
              <w:pStyle w:val="ListParagraph"/>
              <w:spacing w:afterLines="0" w:after="0"/>
              <w:rPr>
                <w:rFonts w:hAnsi="SimSun" w:cs="Arial"/>
                <w:b w:val="0"/>
                <w:bCs w:val="0"/>
                <w:lang w:eastAsia="zh-CN"/>
              </w:rPr>
            </w:pPr>
            <w:r w:rsidRPr="00E775A9">
              <w:rPr>
                <w:rFonts w:hAnsi="SimSun" w:cs="Arial" w:hint="eastAsia"/>
                <w:lang w:eastAsia="zh-CN"/>
              </w:rPr>
              <w:t>出版物</w:t>
            </w:r>
          </w:p>
        </w:tc>
        <w:tc>
          <w:tcPr>
            <w:tcW w:w="1105" w:type="dxa"/>
          </w:tcPr>
          <w:p w14:paraId="71B41ABB"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0.3</w:t>
            </w:r>
          </w:p>
        </w:tc>
        <w:tc>
          <w:tcPr>
            <w:tcW w:w="975" w:type="dxa"/>
          </w:tcPr>
          <w:p w14:paraId="25725E96"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0</w:t>
            </w:r>
          </w:p>
        </w:tc>
        <w:tc>
          <w:tcPr>
            <w:tcW w:w="1117" w:type="dxa"/>
          </w:tcPr>
          <w:p w14:paraId="2FA374A3"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0.4</w:t>
            </w:r>
          </w:p>
        </w:tc>
        <w:tc>
          <w:tcPr>
            <w:tcW w:w="975" w:type="dxa"/>
          </w:tcPr>
          <w:p w14:paraId="2CBE6A62" w14:textId="77777777" w:rsidR="00EA5678" w:rsidRPr="00E775A9" w:rsidRDefault="00EA567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p>
        </w:tc>
        <w:tc>
          <w:tcPr>
            <w:tcW w:w="1117" w:type="dxa"/>
          </w:tcPr>
          <w:p w14:paraId="2003EAED"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0.8</w:t>
            </w:r>
          </w:p>
        </w:tc>
        <w:tc>
          <w:tcPr>
            <w:tcW w:w="975" w:type="dxa"/>
          </w:tcPr>
          <w:p w14:paraId="515837D9"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0.1</w:t>
            </w:r>
          </w:p>
        </w:tc>
      </w:tr>
      <w:tr w:rsidR="00EA5678" w:rsidRPr="00E775A9" w14:paraId="72335A84" w14:textId="77777777" w:rsidTr="00BB2DF3">
        <w:trPr>
          <w:jc w:val="center"/>
        </w:trPr>
        <w:tc>
          <w:tcPr>
            <w:cnfStyle w:val="001000000000" w:firstRow="0" w:lastRow="0" w:firstColumn="1" w:lastColumn="0" w:oddVBand="0" w:evenVBand="0" w:oddHBand="0" w:evenHBand="0" w:firstRowFirstColumn="0" w:firstRowLastColumn="0" w:lastRowFirstColumn="0" w:lastRowLastColumn="0"/>
            <w:tcW w:w="2683" w:type="dxa"/>
            <w:shd w:val="clear" w:color="auto" w:fill="D9E2F3" w:themeFill="accent1" w:themeFillTint="33"/>
          </w:tcPr>
          <w:p w14:paraId="41F4C4CF" w14:textId="77777777" w:rsidR="00EA5678" w:rsidRPr="00E775A9" w:rsidRDefault="00215138" w:rsidP="00BB2DF3">
            <w:pPr>
              <w:pStyle w:val="ListParagraph"/>
              <w:spacing w:afterLines="0" w:after="0"/>
              <w:rPr>
                <w:rFonts w:hAnsi="SimSun" w:cs="Arial"/>
                <w:b w:val="0"/>
                <w:bCs w:val="0"/>
                <w:lang w:eastAsia="zh-CN"/>
              </w:rPr>
            </w:pPr>
            <w:r w:rsidRPr="00E775A9">
              <w:rPr>
                <w:rFonts w:hAnsi="SimSun" w:cs="Arial" w:hint="eastAsia"/>
                <w:lang w:eastAsia="zh-CN"/>
              </w:rPr>
              <w:t>杂项收入</w:t>
            </w:r>
          </w:p>
        </w:tc>
        <w:tc>
          <w:tcPr>
            <w:tcW w:w="1105" w:type="dxa"/>
            <w:shd w:val="clear" w:color="auto" w:fill="D9E2F3" w:themeFill="accent1" w:themeFillTint="33"/>
          </w:tcPr>
          <w:p w14:paraId="662EFECE"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3.8</w:t>
            </w:r>
          </w:p>
        </w:tc>
        <w:tc>
          <w:tcPr>
            <w:tcW w:w="975" w:type="dxa"/>
            <w:shd w:val="clear" w:color="auto" w:fill="D9E2F3" w:themeFill="accent1" w:themeFillTint="33"/>
          </w:tcPr>
          <w:p w14:paraId="33F21B39"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0.5</w:t>
            </w:r>
          </w:p>
        </w:tc>
        <w:tc>
          <w:tcPr>
            <w:tcW w:w="1117" w:type="dxa"/>
            <w:shd w:val="clear" w:color="auto" w:fill="D9E2F3" w:themeFill="accent1" w:themeFillTint="33"/>
          </w:tcPr>
          <w:p w14:paraId="6A0B333E"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5.1</w:t>
            </w:r>
          </w:p>
        </w:tc>
        <w:tc>
          <w:tcPr>
            <w:tcW w:w="975" w:type="dxa"/>
            <w:shd w:val="clear" w:color="auto" w:fill="D9E2F3" w:themeFill="accent1" w:themeFillTint="33"/>
          </w:tcPr>
          <w:p w14:paraId="4AB9D40C"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0.6</w:t>
            </w:r>
          </w:p>
        </w:tc>
        <w:tc>
          <w:tcPr>
            <w:tcW w:w="1117" w:type="dxa"/>
            <w:shd w:val="clear" w:color="auto" w:fill="D9E2F3" w:themeFill="accent1" w:themeFillTint="33"/>
          </w:tcPr>
          <w:p w14:paraId="5608BA3B"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3.4</w:t>
            </w:r>
          </w:p>
        </w:tc>
        <w:tc>
          <w:tcPr>
            <w:tcW w:w="975" w:type="dxa"/>
            <w:shd w:val="clear" w:color="auto" w:fill="D9E2F3" w:themeFill="accent1" w:themeFillTint="33"/>
          </w:tcPr>
          <w:p w14:paraId="27DD5C86"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lang w:eastAsia="zh-CN"/>
              </w:rPr>
            </w:pPr>
            <w:r w:rsidRPr="00E775A9">
              <w:rPr>
                <w:rFonts w:hAnsi="SimSun" w:cs="Arial" w:hint="eastAsia"/>
                <w:lang w:eastAsia="zh-CN"/>
              </w:rPr>
              <w:t>0.4</w:t>
            </w:r>
          </w:p>
        </w:tc>
      </w:tr>
      <w:tr w:rsidR="00EA5678" w:rsidRPr="00E775A9" w14:paraId="1E1D6A61" w14:textId="77777777" w:rsidTr="00BB2DF3">
        <w:trPr>
          <w:jc w:val="center"/>
        </w:trPr>
        <w:tc>
          <w:tcPr>
            <w:cnfStyle w:val="001000000000" w:firstRow="0" w:lastRow="0" w:firstColumn="1" w:lastColumn="0" w:oddVBand="0" w:evenVBand="0" w:oddHBand="0" w:evenHBand="0" w:firstRowFirstColumn="0" w:firstRowLastColumn="0" w:lastRowFirstColumn="0" w:lastRowLastColumn="0"/>
            <w:tcW w:w="2683" w:type="dxa"/>
          </w:tcPr>
          <w:p w14:paraId="372471FD" w14:textId="73F94A95" w:rsidR="00EA5678" w:rsidRPr="00E775A9" w:rsidRDefault="00215138" w:rsidP="00BB2DF3">
            <w:pPr>
              <w:pStyle w:val="ListParagraph"/>
              <w:spacing w:afterLines="0" w:after="0"/>
              <w:rPr>
                <w:rFonts w:hAnsi="SimSun" w:cs="Arial"/>
                <w:bCs w:val="0"/>
                <w:lang w:eastAsia="zh-CN"/>
              </w:rPr>
            </w:pPr>
            <w:r w:rsidRPr="00E775A9">
              <w:rPr>
                <w:rFonts w:hAnsi="SimSun" w:cs="Arial" w:hint="eastAsia"/>
                <w:lang w:eastAsia="zh-CN"/>
              </w:rPr>
              <w:t>总计（单位：百万</w:t>
            </w:r>
            <w:r w:rsidR="00862432">
              <w:rPr>
                <w:rFonts w:hAnsi="SimSun" w:cs="Arial" w:hint="eastAsia"/>
                <w:lang w:eastAsia="zh-CN"/>
              </w:rPr>
              <w:t>瑞郎</w:t>
            </w:r>
            <w:r w:rsidRPr="00E775A9">
              <w:rPr>
                <w:rFonts w:hAnsi="SimSun" w:cs="Arial" w:hint="eastAsia"/>
                <w:lang w:eastAsia="zh-CN"/>
              </w:rPr>
              <w:t>）</w:t>
            </w:r>
          </w:p>
        </w:tc>
        <w:tc>
          <w:tcPr>
            <w:tcW w:w="1105" w:type="dxa"/>
          </w:tcPr>
          <w:p w14:paraId="0C35D074"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b/>
                <w:lang w:eastAsia="zh-CN"/>
              </w:rPr>
            </w:pPr>
            <w:r w:rsidRPr="00E775A9">
              <w:rPr>
                <w:rFonts w:hAnsi="SimSun" w:cs="Arial" w:hint="eastAsia"/>
                <w:b/>
                <w:lang w:eastAsia="zh-CN"/>
              </w:rPr>
              <w:t>756.3</w:t>
            </w:r>
          </w:p>
        </w:tc>
        <w:tc>
          <w:tcPr>
            <w:tcW w:w="975" w:type="dxa"/>
          </w:tcPr>
          <w:p w14:paraId="078AA7F1"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b/>
                <w:lang w:eastAsia="zh-CN"/>
              </w:rPr>
            </w:pPr>
            <w:r w:rsidRPr="00E775A9">
              <w:rPr>
                <w:rFonts w:hAnsi="SimSun" w:cs="Arial" w:hint="eastAsia"/>
                <w:b/>
                <w:lang w:eastAsia="zh-CN"/>
              </w:rPr>
              <w:t>100</w:t>
            </w:r>
          </w:p>
        </w:tc>
        <w:tc>
          <w:tcPr>
            <w:tcW w:w="1117" w:type="dxa"/>
          </w:tcPr>
          <w:p w14:paraId="6D598C0F"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b/>
                <w:lang w:eastAsia="zh-CN"/>
              </w:rPr>
            </w:pPr>
            <w:r w:rsidRPr="00E775A9">
              <w:rPr>
                <w:rFonts w:hAnsi="SimSun" w:cs="Arial" w:hint="eastAsia"/>
                <w:b/>
                <w:lang w:eastAsia="zh-CN"/>
              </w:rPr>
              <w:t>829.6</w:t>
            </w:r>
          </w:p>
        </w:tc>
        <w:tc>
          <w:tcPr>
            <w:tcW w:w="975" w:type="dxa"/>
          </w:tcPr>
          <w:p w14:paraId="1F5F0E8B"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b/>
                <w:lang w:eastAsia="zh-CN"/>
              </w:rPr>
            </w:pPr>
            <w:r w:rsidRPr="00E775A9">
              <w:rPr>
                <w:rFonts w:hAnsi="SimSun" w:cs="Arial" w:hint="eastAsia"/>
                <w:b/>
                <w:lang w:eastAsia="zh-CN"/>
              </w:rPr>
              <w:t>100</w:t>
            </w:r>
          </w:p>
        </w:tc>
        <w:tc>
          <w:tcPr>
            <w:tcW w:w="1117" w:type="dxa"/>
          </w:tcPr>
          <w:p w14:paraId="1CBD9DF9"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b/>
                <w:lang w:eastAsia="zh-CN"/>
              </w:rPr>
            </w:pPr>
            <w:r w:rsidRPr="00E775A9">
              <w:rPr>
                <w:rFonts w:hAnsi="SimSun" w:cs="Arial" w:hint="eastAsia"/>
                <w:b/>
                <w:lang w:eastAsia="zh-CN"/>
              </w:rPr>
              <w:t>882.5</w:t>
            </w:r>
          </w:p>
        </w:tc>
        <w:tc>
          <w:tcPr>
            <w:tcW w:w="975" w:type="dxa"/>
          </w:tcPr>
          <w:p w14:paraId="31622B21" w14:textId="77777777" w:rsidR="00EA5678" w:rsidRPr="00E775A9" w:rsidRDefault="00215138" w:rsidP="00BB2DF3">
            <w:pPr>
              <w:pStyle w:val="ListParagraph"/>
              <w:spacing w:afterLines="0" w:after="0"/>
              <w:cnfStyle w:val="000000000000" w:firstRow="0" w:lastRow="0" w:firstColumn="0" w:lastColumn="0" w:oddVBand="0" w:evenVBand="0" w:oddHBand="0" w:evenHBand="0" w:firstRowFirstColumn="0" w:firstRowLastColumn="0" w:lastRowFirstColumn="0" w:lastRowLastColumn="0"/>
              <w:rPr>
                <w:rFonts w:hAnsi="SimSun" w:cs="Arial"/>
                <w:b/>
                <w:lang w:eastAsia="zh-CN"/>
              </w:rPr>
            </w:pPr>
            <w:r w:rsidRPr="00E775A9">
              <w:rPr>
                <w:rFonts w:hAnsi="SimSun" w:cs="Arial" w:hint="eastAsia"/>
                <w:b/>
                <w:lang w:eastAsia="zh-CN"/>
              </w:rPr>
              <w:t>100</w:t>
            </w:r>
          </w:p>
        </w:tc>
      </w:tr>
    </w:tbl>
    <w:p w14:paraId="6986D976" w14:textId="77777777" w:rsidR="00EA5678" w:rsidRPr="00E775A9" w:rsidRDefault="00215138" w:rsidP="00BB2DF3">
      <w:pPr>
        <w:spacing w:afterLines="50" w:after="120" w:line="240" w:lineRule="auto"/>
        <w:ind w:left="187"/>
        <w:rPr>
          <w:rFonts w:hAnsi="SimSun" w:cs="Arial"/>
          <w:sz w:val="20"/>
          <w:szCs w:val="20"/>
        </w:rPr>
      </w:pPr>
      <w:r w:rsidRPr="00E775A9">
        <w:rPr>
          <w:rFonts w:hAnsi="SimSun" w:cs="Arial" w:hint="eastAsia"/>
          <w:sz w:val="20"/>
          <w:szCs w:val="20"/>
        </w:rPr>
        <w:t>来源：2017-2022年产权组织绩效报告</w:t>
      </w:r>
    </w:p>
    <w:p w14:paraId="755175FB" w14:textId="77777777" w:rsidR="00EA5678" w:rsidRPr="00E775A9" w:rsidRDefault="00215138" w:rsidP="00C259B0">
      <w:pPr>
        <w:pStyle w:val="ListParagraph"/>
        <w:numPr>
          <w:ilvl w:val="0"/>
          <w:numId w:val="3"/>
        </w:numPr>
        <w:spacing w:after="120"/>
        <w:ind w:left="0" w:firstLine="0"/>
        <w:rPr>
          <w:rFonts w:hAnsi="SimSun" w:cs="Arial"/>
          <w:b/>
        </w:rPr>
      </w:pPr>
      <w:r w:rsidRPr="00E23D52">
        <w:rPr>
          <w:rFonts w:ascii="KaiTi" w:eastAsia="KaiTi" w:hAnsi="KaiTi" w:cs="Arial" w:hint="eastAsia"/>
          <w:iCs/>
        </w:rPr>
        <w:t>由于COVID-19大流行，技术援助的实施模式发生了变化。</w:t>
      </w:r>
      <w:r w:rsidRPr="00E775A9">
        <w:rPr>
          <w:rFonts w:hAnsi="SimSun" w:cs="Arial" w:hint="eastAsia"/>
        </w:rPr>
        <w:t>产权组织采用了三种提供技术援助的模式：混合、虚拟和实体。一些计划实体开展的活动以虚拟方式实施。据受访的利益攸关方称，向以虚拟方式提供技术援助的过渡节省了成本，并能够更接近受益者。然而，在审查期间，不同的时区、虚拟会议设备不足、信息技术准备有限以及一些成员国缺乏高质量的互联网接入被确定是提供技术援助所面临的挑战。此外，在产权组织技术援助网络研讨会评价报告（CDIP/25/4，2020年3月）中，呼吁将网络研讨会作为产权组织国家特派团等更传统方式的补充活动。</w:t>
      </w:r>
    </w:p>
    <w:p w14:paraId="51281086" w14:textId="09AD1F5C" w:rsidR="00EA5678" w:rsidRPr="00E23D52" w:rsidRDefault="00215138" w:rsidP="00C259B0">
      <w:pPr>
        <w:pStyle w:val="ListParagraph"/>
        <w:numPr>
          <w:ilvl w:val="0"/>
          <w:numId w:val="3"/>
        </w:numPr>
        <w:spacing w:after="120"/>
        <w:ind w:left="0" w:firstLine="0"/>
        <w:rPr>
          <w:rFonts w:ascii="KaiTi" w:eastAsia="KaiTi" w:hAnsi="KaiTi" w:cs="Arial"/>
        </w:rPr>
      </w:pPr>
      <w:r>
        <w:rPr>
          <w:rFonts w:ascii="Arial" w:hAnsi="Arial" w:cs="Arial" w:hint="eastAsia"/>
          <w:i/>
          <w:iCs/>
          <w:noProof/>
        </w:rPr>
        <mc:AlternateContent>
          <mc:Choice Requires="wps">
            <w:drawing>
              <wp:anchor distT="45720" distB="45720" distL="114300" distR="114300" simplePos="0" relativeHeight="251685888" behindDoc="0" locked="0" layoutInCell="1" allowOverlap="1" wp14:anchorId="3B287D8C" wp14:editId="6B407125">
                <wp:simplePos x="0" y="0"/>
                <wp:positionH relativeFrom="margin">
                  <wp:posOffset>3655695</wp:posOffset>
                </wp:positionH>
                <wp:positionV relativeFrom="paragraph">
                  <wp:posOffset>313690</wp:posOffset>
                </wp:positionV>
                <wp:extent cx="2240280" cy="1426845"/>
                <wp:effectExtent l="0" t="0" r="7620" b="1905"/>
                <wp:wrapSquare wrapText="bothSides"/>
                <wp:docPr id="189308303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0280" cy="1426845"/>
                        </a:xfrm>
                        <a:prstGeom prst="rect">
                          <a:avLst/>
                        </a:prstGeom>
                        <a:solidFill>
                          <a:srgbClr val="FFC000">
                            <a:lumMod val="60000"/>
                            <a:lumOff val="40000"/>
                          </a:srgbClr>
                        </a:solidFill>
                        <a:ln w="9525">
                          <a:noFill/>
                          <a:miter lim="800000"/>
                        </a:ln>
                      </wps:spPr>
                      <wps:txbx>
                        <w:txbxContent>
                          <w:p w14:paraId="158B44D1" w14:textId="0533AE17" w:rsidR="00EA5678" w:rsidRDefault="00215138" w:rsidP="00215138">
                            <w:pPr>
                              <w:spacing w:afterLines="50" w:after="120" w:line="340" w:lineRule="atLeast"/>
                              <w:jc w:val="both"/>
                            </w:pPr>
                            <w:bookmarkStart w:id="333" w:name="_Hlk174544386"/>
                            <w:bookmarkStart w:id="334" w:name="_Hlk174544387"/>
                            <w:r>
                              <w:t>审查结果22：信托基金是技术援助的一个资金来源，可以通过提高利用率、加强捐助国之间的交流以及进一步明确各项活动与更高级别的发展成果之间的联系来受益。</w:t>
                            </w:r>
                            <w:bookmarkEnd w:id="333"/>
                            <w:bookmarkEnd w:id="334"/>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3B287D8C" id="_x0000_s1059" type="#_x0000_t202" style="position:absolute;left:0;text-align:left;margin-left:287.85pt;margin-top:24.7pt;width:176.4pt;height:112.35pt;z-index:251685888;visibility:visible;mso-wrap-style:square;mso-height-percent:0;mso-wrap-distance-left:9pt;mso-wrap-distance-top:3.6pt;mso-wrap-distance-right:9pt;mso-wrap-distance-bottom:3.6pt;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" fillcolor="#ffd966" stroked="f">
                <v:textbox>
                  <w:txbxContent>
                    <w:p w14:paraId="158B44D1" w14:textId="0533AE17" w:rsidR="00EA5678" w:rsidRDefault="00215138" w:rsidP="00215138">
                      <w:pPr>
                        <w:spacing w:afterLines="50" w:after="120" w:line="340" w:lineRule="atLeast"/>
                        <w:jc w:val="both"/>
                      </w:pPr>
                      <w:bookmarkStart w:id="369" w:name="_Hlk174544386"/>
                      <w:bookmarkStart w:id="370" w:name="_Hlk174544387"/>
                      <w:r>
                        <w:t>审查结果22：信托基金是技术援助的一个资金来源，可以通过提高利用率、加强捐助国之间的交流以及进一步明确各项活动与更高级别的发展成果之间的联系来受益。</w:t>
                      </w:r>
                      <w:bookmarkEnd w:id="369"/>
                      <w:bookmarkEnd w:id="370"/>
                    </w:p>
                  </w:txbxContent>
                </v:textbox>
                <w10:wrap type="square" anchorx="margin"/>
              </v:shape>
            </w:pict>
          </mc:Fallback>
        </mc:AlternateContent>
      </w:r>
      <w:r w:rsidRPr="00E23D52">
        <w:rPr>
          <w:rFonts w:ascii="KaiTi" w:eastAsia="KaiTi" w:hAnsi="KaiTi" w:cs="Arial" w:hint="eastAsia"/>
          <w:iCs/>
        </w:rPr>
        <w:t>信托基金是技术援助活动的额外资源来源，是对正常预算资源的补充</w:t>
      </w:r>
      <w:r w:rsidRPr="00E775A9">
        <w:rPr>
          <w:rFonts w:hAnsi="SimSun" w:cs="Arial" w:hint="eastAsia"/>
        </w:rPr>
        <w:t>。目前，产权组织管理着巴西、芬兰、法国、意大利、韩国、日本、葡萄牙、西班牙和美国的信托基金。它们涵盖的领域包括：政策咨询、南南合作、知识产权基础设施现代化、在制定和实施知识产权政策方面发展伙伴关系和进行能力建设、创新、技术转让和管理、利用知识产权工具打造当地产品和服务品牌、版权，以及树立尊重知识产权的风尚。审查确认，信托基金并不总是得到充分利用，这给捐助国提出增加资金的理由带来了挑战。此外，据被咨询的成员国（捐助者）称，信托基金国家对如何通过捐助实现发展议程目标的认识有限，捐助国之间的合作也有限。</w:t>
      </w:r>
    </w:p>
    <w:p w14:paraId="090EC5B7" w14:textId="757665C4" w:rsidR="00EA5678" w:rsidRPr="00A23549" w:rsidRDefault="00215138" w:rsidP="00215138">
      <w:pPr>
        <w:pStyle w:val="Heading2"/>
        <w:spacing w:before="240" w:after="120"/>
        <w:rPr>
          <w:rFonts w:cstheme="majorBidi"/>
          <w:b w:val="0"/>
        </w:rPr>
      </w:pPr>
      <w:bookmarkStart w:id="335" w:name="_Toc181695801"/>
      <w:r w:rsidRPr="00A23549">
        <w:rPr>
          <w:rFonts w:cstheme="majorBidi" w:hint="eastAsia"/>
        </w:rPr>
        <w:t>4.4</w:t>
      </w:r>
      <w:r w:rsidRPr="00A23549">
        <w:rPr>
          <w:rFonts w:cstheme="majorBidi"/>
        </w:rPr>
        <w:tab/>
      </w:r>
      <w:r w:rsidRPr="00A23549">
        <w:rPr>
          <w:rFonts w:cstheme="majorBidi" w:hint="eastAsia"/>
        </w:rPr>
        <w:t>可持续性</w:t>
      </w:r>
      <w:bookmarkEnd w:id="335"/>
    </w:p>
    <w:p w14:paraId="16C3B993"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在可持续性方面，审查探讨了以下内容：</w:t>
      </w:r>
    </w:p>
    <w:p w14:paraId="6DB309CD" w14:textId="77777777" w:rsidR="00EA5678" w:rsidRPr="00E775A9" w:rsidRDefault="00215138" w:rsidP="00215138">
      <w:pPr>
        <w:pStyle w:val="ListParagraph"/>
        <w:numPr>
          <w:ilvl w:val="0"/>
          <w:numId w:val="43"/>
        </w:numPr>
        <w:spacing w:after="120"/>
        <w:ind w:left="851" w:hanging="284"/>
        <w:rPr>
          <w:rFonts w:hAnsi="SimSun" w:cs="Arial"/>
        </w:rPr>
      </w:pPr>
      <w:r w:rsidRPr="00E775A9">
        <w:rPr>
          <w:rFonts w:hAnsi="SimSun" w:cs="Arial" w:hint="eastAsia"/>
        </w:rPr>
        <w:t>自产权组织技术援助干预措施实施以来，其效果的可持续程度。</w:t>
      </w:r>
    </w:p>
    <w:p w14:paraId="088BEFAB" w14:textId="77777777" w:rsidR="00EA5678" w:rsidRPr="00E775A9" w:rsidRDefault="00215138" w:rsidP="00215138">
      <w:pPr>
        <w:pStyle w:val="ListParagraph"/>
        <w:numPr>
          <w:ilvl w:val="0"/>
          <w:numId w:val="43"/>
        </w:numPr>
        <w:spacing w:after="120"/>
        <w:ind w:left="851" w:hanging="284"/>
        <w:rPr>
          <w:rFonts w:hAnsi="SimSun" w:cs="Arial"/>
        </w:rPr>
      </w:pPr>
      <w:r w:rsidRPr="00E775A9">
        <w:rPr>
          <w:rFonts w:hAnsi="SimSun" w:cs="Arial" w:hint="eastAsia"/>
        </w:rPr>
        <w:t>产权组织提供的技术援助在多大程度上被保留并纳入相关国家和组织的工作。</w:t>
      </w:r>
    </w:p>
    <w:p w14:paraId="7B761FB3" w14:textId="77777777" w:rsidR="00EA5678" w:rsidRPr="00E775A9" w:rsidRDefault="00215138" w:rsidP="00215138">
      <w:pPr>
        <w:pStyle w:val="ListParagraph"/>
        <w:numPr>
          <w:ilvl w:val="0"/>
          <w:numId w:val="43"/>
        </w:numPr>
        <w:spacing w:after="120"/>
        <w:ind w:left="851" w:hanging="284"/>
        <w:rPr>
          <w:rFonts w:hAnsi="SimSun" w:cs="Arial"/>
        </w:rPr>
      </w:pPr>
      <w:r w:rsidRPr="00E775A9">
        <w:rPr>
          <w:rFonts w:hAnsi="SimSun" w:cs="Arial" w:hint="eastAsia"/>
        </w:rPr>
        <w:t>产权组织如何以可持续的方式，培养一大批具备相关能力的专业人才。</w:t>
      </w:r>
    </w:p>
    <w:p w14:paraId="7DAB1926" w14:textId="5198C405"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2017至2022年的产权组织绩效报告显示，在收支方面，产权组织保持了稳健的财务绩效</w:t>
      </w:r>
      <w:r w:rsidRPr="00E775A9">
        <w:rPr>
          <w:rFonts w:hAnsi="SimSun" w:cs="Arial" w:hint="eastAsia"/>
        </w:rPr>
        <w:t>。这表明其有能力持续资助和扩大技术援助计划。产权组织确定了潜在风险，如经济衰退和网络安全威胁，但这些风险得到了缓解，资金也得到了持续保障。</w:t>
      </w:r>
    </w:p>
    <w:p w14:paraId="27F0C237" w14:textId="77777777" w:rsidR="00EA5678" w:rsidRPr="00E775A9" w:rsidRDefault="00215138" w:rsidP="00C259B0">
      <w:pPr>
        <w:pStyle w:val="ListParagraph"/>
        <w:numPr>
          <w:ilvl w:val="0"/>
          <w:numId w:val="3"/>
        </w:numPr>
        <w:spacing w:after="120"/>
        <w:ind w:left="0" w:firstLine="0"/>
        <w:rPr>
          <w:rFonts w:hAnsi="SimSun" w:cs="Arial"/>
        </w:rPr>
      </w:pPr>
      <w:r>
        <w:rPr>
          <w:rFonts w:ascii="Arial" w:hAnsi="Arial" w:cs="Arial" w:hint="eastAsia"/>
          <w:i/>
          <w:iCs/>
          <w:noProof/>
        </w:rPr>
        <mc:AlternateContent>
          <mc:Choice Requires="wps">
            <w:drawing>
              <wp:anchor distT="45720" distB="45720" distL="114300" distR="114300" simplePos="0" relativeHeight="251693056" behindDoc="0" locked="0" layoutInCell="1" allowOverlap="1" wp14:anchorId="16478A57" wp14:editId="519876E6">
                <wp:simplePos x="0" y="0"/>
                <wp:positionH relativeFrom="margin">
                  <wp:align>right</wp:align>
                </wp:positionH>
                <wp:positionV relativeFrom="paragraph">
                  <wp:posOffset>31115</wp:posOffset>
                </wp:positionV>
                <wp:extent cx="2613660" cy="1263015"/>
                <wp:effectExtent l="0" t="0" r="0" b="0"/>
                <wp:wrapSquare wrapText="bothSides"/>
                <wp:docPr id="680641859"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13660" cy="1263246"/>
                        </a:xfrm>
                        <a:prstGeom prst="rect">
                          <a:avLst/>
                        </a:prstGeom>
                        <a:solidFill>
                          <a:srgbClr val="FFC000">
                            <a:lumMod val="60000"/>
                            <a:lumOff val="40000"/>
                          </a:srgbClr>
                        </a:solidFill>
                        <a:ln w="9525">
                          <a:noFill/>
                          <a:miter lim="800000"/>
                        </a:ln>
                      </wps:spPr>
                      <wps:txbx>
                        <w:txbxContent>
                          <w:p w14:paraId="7D0AE311" w14:textId="77777777" w:rsidR="00EA5678" w:rsidRDefault="00215138" w:rsidP="00215138">
                            <w:pPr>
                              <w:spacing w:afterLines="50" w:after="120" w:line="340" w:lineRule="atLeast"/>
                              <w:jc w:val="both"/>
                            </w:pPr>
                            <w:bookmarkStart w:id="336" w:name="_Hlk174544404"/>
                            <w:bookmarkStart w:id="337" w:name="_Hlk174544405"/>
                            <w:r>
                              <w:t>审查结果23：产权组织成曾成功地在成员国进行长期能力建设：通过基础设施、能力建设和政策咨询加强知识产权局，并在提供技术援助后在成员国持续开展这些工作。</w:t>
                            </w:r>
                            <w:bookmarkEnd w:id="336"/>
                            <w:bookmarkEnd w:id="337"/>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16478A57" id="_x0000_s1060" type="#_x0000_t202" style="position:absolute;left:0;text-align:left;margin-left:154.6pt;margin-top:2.45pt;width:205.8pt;height:99.45pt;z-index:251693056;visibility:visible;mso-wrap-style:square;mso-height-percent:0;mso-wrap-distance-left:9pt;mso-wrap-distance-top:3.6pt;mso-wrap-distance-right:9pt;mso-wrap-distance-bottom:3.6pt;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" fillcolor="#ffd966" stroked="f">
                <v:textbox>
                  <w:txbxContent>
                    <w:p w14:paraId="7D0AE311" w14:textId="77777777" w:rsidR="00EA5678" w:rsidRDefault="00215138" w:rsidP="00215138">
                      <w:pPr>
                        <w:spacing w:afterLines="50" w:after="120" w:line="340" w:lineRule="atLeast"/>
                        <w:jc w:val="both"/>
                      </w:pPr>
                      <w:bookmarkStart w:id="374" w:name="_Hlk174544404"/>
                      <w:bookmarkStart w:id="375" w:name="_Hlk174544405"/>
                      <w:r>
                        <w:t>审查结果23：产权组织成曾成功地在成员国进行长期能力建设：通过基础设施、能力建设和政策咨询加强知识产权局，并在提供技术援助后在成员国持续开展这些工作。</w:t>
                      </w:r>
                      <w:bookmarkEnd w:id="374"/>
                      <w:bookmarkEnd w:id="375"/>
                    </w:p>
                  </w:txbxContent>
                </v:textbox>
                <w10:wrap type="square" anchorx="margin"/>
              </v:shape>
            </w:pict>
          </mc:Fallback>
        </mc:AlternateContent>
      </w:r>
      <w:r w:rsidRPr="00E23D52">
        <w:rPr>
          <w:rFonts w:ascii="KaiTi" w:eastAsia="KaiTi" w:hAnsi="KaiTi" w:cs="Arial" w:hint="eastAsia"/>
          <w:iCs/>
        </w:rPr>
        <w:t>产权组织技术援助的可持续性可以通过审查受益国知识产权制度的持续成果来衡量。</w:t>
      </w:r>
      <w:r w:rsidRPr="00E775A9">
        <w:rPr>
          <w:rFonts w:hAnsi="SimSun" w:cs="Arial" w:hint="eastAsia"/>
        </w:rPr>
        <w:t>这包括评价技术援助计划结束后在知识产权立法、执法和管理实践方面持续取得的进步。以下是一些关键审查结果，证明了产权组织技术援助在某些关键领域的可持续性：</w:t>
      </w:r>
    </w:p>
    <w:p w14:paraId="5A5771C0" w14:textId="77777777" w:rsidR="00EA5678" w:rsidRPr="00E775A9" w:rsidRDefault="00215138" w:rsidP="00215138">
      <w:pPr>
        <w:pStyle w:val="ListParagraph"/>
        <w:numPr>
          <w:ilvl w:val="0"/>
          <w:numId w:val="44"/>
        </w:numPr>
        <w:spacing w:after="120"/>
        <w:ind w:left="924" w:hanging="357"/>
        <w:rPr>
          <w:rFonts w:hAnsi="SimSun" w:cs="Arial"/>
          <w:b/>
        </w:rPr>
      </w:pPr>
      <w:r w:rsidRPr="00E775A9">
        <w:rPr>
          <w:rFonts w:hAnsi="SimSun" w:cs="Arial" w:hint="eastAsia"/>
        </w:rPr>
        <w:t>对专利合作条约（PCT）和商标国际注册马德里体系等产权组织服务的需求持续不断。</w:t>
      </w:r>
    </w:p>
    <w:p w14:paraId="67B3AE4F" w14:textId="6CA4C51C" w:rsidR="00EA5678" w:rsidRPr="00E775A9" w:rsidRDefault="00215138" w:rsidP="00215138">
      <w:pPr>
        <w:pStyle w:val="ListParagraph"/>
        <w:numPr>
          <w:ilvl w:val="0"/>
          <w:numId w:val="44"/>
        </w:numPr>
        <w:spacing w:after="120"/>
        <w:ind w:left="924" w:hanging="357"/>
        <w:rPr>
          <w:rFonts w:hAnsi="SimSun" w:cs="Arial"/>
          <w:b/>
        </w:rPr>
      </w:pPr>
      <w:r w:rsidRPr="00E775A9">
        <w:rPr>
          <w:rFonts w:hAnsi="SimSun" w:cs="Arial" w:hint="eastAsia"/>
        </w:rPr>
        <w:t>产权组织参与了许多能力建设举措，特别关注欠发达国家和区域，帮助他们利用知识产权促进增长和发展。</w:t>
      </w:r>
    </w:p>
    <w:p w14:paraId="73330B8D" w14:textId="77777777" w:rsidR="00EA5678" w:rsidRPr="00E775A9" w:rsidRDefault="00215138" w:rsidP="00215138">
      <w:pPr>
        <w:pStyle w:val="ListParagraph"/>
        <w:numPr>
          <w:ilvl w:val="0"/>
          <w:numId w:val="44"/>
        </w:numPr>
        <w:spacing w:after="120"/>
        <w:ind w:left="924" w:hanging="357"/>
        <w:rPr>
          <w:rFonts w:hAnsi="SimSun" w:cs="Arial"/>
        </w:rPr>
      </w:pPr>
      <w:r w:rsidRPr="00E775A9">
        <w:rPr>
          <w:rFonts w:hAnsi="SimSun" w:cs="Arial" w:hint="eastAsia"/>
        </w:rPr>
        <w:t>专利、商标和外观设计的国际申请数量大幅增加，反映了援助在提高成员国知识产权能力方面的有效性。</w:t>
      </w:r>
    </w:p>
    <w:p w14:paraId="084F0DEC" w14:textId="082AC673" w:rsidR="00EA5678" w:rsidRPr="00E775A9" w:rsidRDefault="00215138" w:rsidP="00215138">
      <w:pPr>
        <w:pStyle w:val="ListParagraph"/>
        <w:numPr>
          <w:ilvl w:val="0"/>
          <w:numId w:val="44"/>
        </w:numPr>
        <w:spacing w:after="120"/>
        <w:ind w:left="924" w:hanging="357"/>
        <w:rPr>
          <w:rFonts w:hAnsi="SimSun" w:cs="Arial"/>
        </w:rPr>
      </w:pPr>
      <w:r w:rsidRPr="00E775A9">
        <w:rPr>
          <w:rFonts w:hAnsi="SimSun" w:cs="Arial" w:hint="eastAsia"/>
        </w:rPr>
        <w:t>在审查期间，产权组织和国际植物新品种保护联盟（UPOV）的条约新增了264个成员国。</w:t>
      </w:r>
    </w:p>
    <w:p w14:paraId="5BD5C736" w14:textId="77777777" w:rsidR="00EA5678" w:rsidRPr="00E775A9" w:rsidRDefault="00215138" w:rsidP="00215138">
      <w:pPr>
        <w:pStyle w:val="ListParagraph"/>
        <w:numPr>
          <w:ilvl w:val="0"/>
          <w:numId w:val="44"/>
        </w:numPr>
        <w:spacing w:after="120"/>
        <w:ind w:left="924" w:hanging="357"/>
        <w:rPr>
          <w:rFonts w:hAnsi="SimSun" w:cs="Arial"/>
        </w:rPr>
      </w:pPr>
      <w:r w:rsidRPr="00E775A9">
        <w:rPr>
          <w:rFonts w:hAnsi="SimSun" w:cs="Arial" w:hint="eastAsia"/>
        </w:rPr>
        <w:t>ePCT和以数字方式获取资源等举措提高了技术援助的效率和影响范围，使其更具可持续性，更加以成果为导向。</w:t>
      </w:r>
    </w:p>
    <w:p w14:paraId="33485077" w14:textId="77777777" w:rsidR="00EA5678" w:rsidRPr="00E775A9" w:rsidRDefault="00215138" w:rsidP="00215138">
      <w:pPr>
        <w:pStyle w:val="ListParagraph"/>
        <w:numPr>
          <w:ilvl w:val="0"/>
          <w:numId w:val="44"/>
        </w:numPr>
        <w:spacing w:after="120"/>
        <w:ind w:left="924" w:hanging="357"/>
        <w:rPr>
          <w:rFonts w:hAnsi="SimSun" w:cs="Arial"/>
          <w:color w:val="000000" w:themeColor="text1"/>
        </w:rPr>
      </w:pPr>
      <w:r w:rsidRPr="00E775A9">
        <w:rPr>
          <w:rFonts w:hAnsi="SimSun" w:cs="Arial" w:hint="eastAsia"/>
        </w:rPr>
        <w:t>知识产权局的持续加强，包括基础设施、</w:t>
      </w:r>
      <w:r w:rsidRPr="00E775A9">
        <w:rPr>
          <w:rFonts w:hAnsi="SimSun" w:cs="Arial" w:hint="eastAsia"/>
          <w:color w:val="000000" w:themeColor="text1"/>
        </w:rPr>
        <w:t>技术和员工能力的改进，表明最初的技术援助带来了持续的益处。</w:t>
      </w:r>
    </w:p>
    <w:p w14:paraId="7843A3A5" w14:textId="77777777" w:rsidR="00EA5678" w:rsidRPr="00E775A9" w:rsidRDefault="00215138" w:rsidP="00215138">
      <w:pPr>
        <w:pStyle w:val="ListParagraph"/>
        <w:numPr>
          <w:ilvl w:val="0"/>
          <w:numId w:val="44"/>
        </w:numPr>
        <w:spacing w:after="120"/>
        <w:ind w:left="924" w:hanging="357"/>
        <w:rPr>
          <w:rFonts w:hAnsi="SimSun" w:cs="Arial"/>
          <w:color w:val="000000" w:themeColor="text1"/>
        </w:rPr>
      </w:pPr>
      <w:r w:rsidRPr="00E775A9">
        <w:rPr>
          <w:rFonts w:hAnsi="SimSun" w:cs="Arial" w:hint="eastAsia"/>
          <w:color w:val="000000" w:themeColor="text1"/>
        </w:rPr>
        <w:t>27%的发展议程项目是先前举措（第二阶段项目）的延续。</w:t>
      </w:r>
    </w:p>
    <w:p w14:paraId="55E9D68B" w14:textId="77777777" w:rsidR="00EA5678" w:rsidRPr="00E775A9" w:rsidRDefault="00215138" w:rsidP="00215138">
      <w:pPr>
        <w:pStyle w:val="ListParagraph"/>
        <w:numPr>
          <w:ilvl w:val="0"/>
          <w:numId w:val="44"/>
        </w:numPr>
        <w:spacing w:after="120"/>
        <w:ind w:left="924" w:hanging="357"/>
        <w:rPr>
          <w:rFonts w:hAnsi="SimSun" w:cs="Arial"/>
          <w:color w:val="000000" w:themeColor="text1"/>
        </w:rPr>
      </w:pPr>
      <w:r w:rsidRPr="00E775A9">
        <w:rPr>
          <w:rFonts w:hAnsi="SimSun" w:cs="Arial" w:hint="eastAsia"/>
          <w:color w:val="000000" w:themeColor="text1"/>
        </w:rPr>
        <w:t>《发展议程》下产生的若干项目已被纳入产权组织计划和预算的主流。</w:t>
      </w:r>
    </w:p>
    <w:p w14:paraId="06D87807" w14:textId="77777777" w:rsidR="00EA5678" w:rsidRPr="00E775A9" w:rsidRDefault="00215138" w:rsidP="00215138">
      <w:pPr>
        <w:pStyle w:val="ListParagraph"/>
        <w:numPr>
          <w:ilvl w:val="0"/>
          <w:numId w:val="44"/>
        </w:numPr>
        <w:spacing w:after="120"/>
        <w:ind w:left="924" w:hanging="357"/>
        <w:rPr>
          <w:rFonts w:hAnsi="SimSun" w:cs="Arial"/>
          <w:color w:val="000000" w:themeColor="text1"/>
        </w:rPr>
      </w:pPr>
      <w:r w:rsidRPr="00E775A9">
        <w:rPr>
          <w:rFonts w:hAnsi="SimSun" w:cs="Arial" w:hint="eastAsia"/>
          <w:color w:val="000000" w:themeColor="text1"/>
        </w:rPr>
        <w:t>WIPO GREEN和IPAS等各项计划得到扩大和加强，有20多个国家正在建立或表示有兴趣建立IPTI。</w:t>
      </w:r>
    </w:p>
    <w:p w14:paraId="39815CBD" w14:textId="77777777" w:rsidR="00EA5678" w:rsidRPr="00E775A9" w:rsidRDefault="00215138" w:rsidP="00C259B0">
      <w:pPr>
        <w:pStyle w:val="ListParagraph"/>
        <w:numPr>
          <w:ilvl w:val="0"/>
          <w:numId w:val="3"/>
        </w:numPr>
        <w:spacing w:after="120"/>
        <w:ind w:left="0" w:firstLine="0"/>
        <w:rPr>
          <w:rFonts w:hAnsi="SimSun" w:cs="Arial"/>
          <w:color w:val="2F5496" w:themeColor="accent1" w:themeShade="BF"/>
          <w:sz w:val="20"/>
          <w:szCs w:val="20"/>
        </w:rPr>
      </w:pPr>
      <w:r w:rsidRPr="00E775A9">
        <w:rPr>
          <w:rFonts w:hAnsi="SimSun" w:cs="Arial" w:hint="eastAsia"/>
        </w:rPr>
        <w:t>根据审查的调查，66.3%的受访者将成员国内部发展的技术专业知识的水平评价为</w:t>
      </w:r>
      <w:r>
        <w:rPr>
          <w:rFonts w:hAnsi="SimSun" w:cs="SimSun" w:hint="eastAsia"/>
        </w:rPr>
        <w:t>“非常高”和“高”。考虑到知识产权领域的技术性和特殊性，知识产权工作人员有在其原知识产权</w:t>
      </w:r>
      <w:r w:rsidRPr="00E775A9">
        <w:rPr>
          <w:rFonts w:hAnsi="SimSun" w:cs="Arial" w:hint="eastAsia"/>
        </w:rPr>
        <w:t>局留任的经历，62.9%的受访者将成员国在产权组织计划的活动结束后纳入技术援助经验/项目的程度评价</w:t>
      </w:r>
      <w:r>
        <w:rPr>
          <w:rFonts w:hAnsi="SimSun" w:cs="SimSun" w:hint="eastAsia"/>
        </w:rPr>
        <w:t>为“高”和“非常高”</w:t>
      </w:r>
      <w:r w:rsidRPr="00E775A9">
        <w:rPr>
          <w:rFonts w:hAnsi="SimSun" w:cs="Arial" w:hint="eastAsia"/>
        </w:rPr>
        <w:t>，这对纳入主流的发展议程项目尤其如此，如IPAS、IPTI和TISC。对</w:t>
      </w:r>
      <w:r>
        <w:rPr>
          <w:rFonts w:hAnsi="SimSun" w:cs="SimSun" w:hint="eastAsia"/>
        </w:rPr>
        <w:t>“通过技术援助得到加强的国家机构由国家预算维持”的陈述给予了“高”和“非常高”评价的调查受</w:t>
      </w:r>
      <w:r w:rsidRPr="00E775A9">
        <w:rPr>
          <w:rFonts w:hAnsi="SimSun" w:cs="Arial" w:hint="eastAsia"/>
        </w:rPr>
        <w:t>访者较少，占56.8%，这表明了一个众所周知的事实，即发展中国家的许多知识产权局在其核心资金的可持续性方面面临挑战（见图表7）。</w:t>
      </w:r>
    </w:p>
    <w:p w14:paraId="32CFA158" w14:textId="58869B35" w:rsidR="00EA5678" w:rsidRPr="00E775A9" w:rsidRDefault="00215138" w:rsidP="00BB2DF3">
      <w:pPr>
        <w:keepNext/>
        <w:spacing w:afterLines="50" w:after="120" w:line="340" w:lineRule="atLeast"/>
        <w:jc w:val="center"/>
        <w:rPr>
          <w:rFonts w:hAnsi="SimSun" w:cs="Arial"/>
          <w:color w:val="2F5496" w:themeColor="accent1" w:themeShade="BF"/>
          <w:sz w:val="20"/>
          <w:szCs w:val="20"/>
        </w:rPr>
      </w:pPr>
      <w:r w:rsidRPr="00E775A9">
        <w:rPr>
          <w:rFonts w:hAnsi="SimSun" w:cs="Arial" w:hint="eastAsia"/>
          <w:color w:val="2F5496" w:themeColor="accent1" w:themeShade="BF"/>
          <w:sz w:val="20"/>
          <w:szCs w:val="20"/>
        </w:rPr>
        <w:t>图表</w:t>
      </w:r>
      <w:r w:rsidRPr="00E775A9">
        <w:rPr>
          <w:rFonts w:hAnsi="SimSun" w:cs="Arial" w:hint="eastAsia"/>
          <w:color w:val="2F5496" w:themeColor="accent1" w:themeShade="BF"/>
          <w:sz w:val="20"/>
          <w:szCs w:val="20"/>
        </w:rPr>
        <w:fldChar w:fldCharType="begin"/>
      </w:r>
      <w:r w:rsidRPr="00E775A9">
        <w:rPr>
          <w:rFonts w:hAnsi="SimSun" w:cs="Arial" w:hint="eastAsia"/>
          <w:color w:val="2F5496" w:themeColor="accent1" w:themeShade="BF"/>
          <w:sz w:val="20"/>
          <w:szCs w:val="20"/>
        </w:rPr>
        <w:instrText xml:space="preserve"> SEQ Graph \* ARABIC </w:instrText>
      </w:r>
      <w:r w:rsidRPr="00E775A9">
        <w:rPr>
          <w:rFonts w:hAnsi="SimSun" w:cs="Arial" w:hint="eastAsia"/>
          <w:color w:val="2F5496" w:themeColor="accent1" w:themeShade="BF"/>
          <w:sz w:val="20"/>
          <w:szCs w:val="20"/>
        </w:rPr>
        <w:fldChar w:fldCharType="separate"/>
      </w:r>
      <w:r w:rsidR="00AA5A99">
        <w:rPr>
          <w:rFonts w:hAnsi="SimSun" w:cs="Arial"/>
          <w:noProof/>
          <w:color w:val="2F5496" w:themeColor="accent1" w:themeShade="BF"/>
          <w:sz w:val="20"/>
          <w:szCs w:val="20"/>
        </w:rPr>
        <w:t>7</w:t>
      </w:r>
      <w:r w:rsidRPr="00E775A9">
        <w:rPr>
          <w:rFonts w:hAnsi="SimSun" w:cs="Arial" w:hint="eastAsia"/>
          <w:color w:val="2F5496" w:themeColor="accent1" w:themeShade="BF"/>
          <w:sz w:val="20"/>
          <w:szCs w:val="20"/>
        </w:rPr>
        <w:fldChar w:fldCharType="end"/>
      </w:r>
      <w:r w:rsidRPr="00E775A9">
        <w:rPr>
          <w:rFonts w:hAnsi="SimSun" w:cs="Arial" w:hint="eastAsia"/>
          <w:color w:val="2F5496" w:themeColor="accent1" w:themeShade="BF"/>
          <w:sz w:val="20"/>
          <w:szCs w:val="20"/>
        </w:rPr>
        <w:t>.评估技术援助可持续性的主要方面</w:t>
      </w:r>
    </w:p>
    <w:p w14:paraId="2BF40CE8" w14:textId="6ECBC62E" w:rsidR="00215138" w:rsidRDefault="00215138" w:rsidP="00BB2DF3">
      <w:pPr>
        <w:spacing w:after="0" w:line="240" w:lineRule="auto"/>
        <w:rPr>
          <w:rFonts w:hAnsi="SimSun" w:cs="Arial"/>
          <w:noProof/>
        </w:rPr>
      </w:pPr>
      <w:r w:rsidRPr="00215138">
        <w:rPr>
          <w:noProof/>
        </w:rPr>
        <w:drawing>
          <wp:inline distT="0" distB="0" distL="0" distR="0" wp14:anchorId="5181BFCB" wp14:editId="26678C07">
            <wp:extent cx="5939790" cy="2356485"/>
            <wp:effectExtent l="0" t="0" r="3810" b="5715"/>
            <wp:docPr id="191795358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939790" cy="2356485"/>
                    </a:xfrm>
                    <a:prstGeom prst="rect">
                      <a:avLst/>
                    </a:prstGeom>
                    <a:noFill/>
                    <a:ln>
                      <a:noFill/>
                    </a:ln>
                  </pic:spPr>
                </pic:pic>
              </a:graphicData>
            </a:graphic>
          </wp:inline>
        </w:drawing>
      </w:r>
    </w:p>
    <w:p w14:paraId="626D68E9" w14:textId="309DAC9F" w:rsidR="00EA5678" w:rsidRPr="00E775A9" w:rsidRDefault="00215138" w:rsidP="00BB2DF3">
      <w:pPr>
        <w:overflowPunct w:val="0"/>
        <w:spacing w:afterLines="50" w:after="120" w:line="240" w:lineRule="auto"/>
        <w:rPr>
          <w:rFonts w:hAnsi="SimSun" w:cs="Arial"/>
        </w:rPr>
      </w:pPr>
      <w:r w:rsidRPr="00E775A9">
        <w:rPr>
          <w:rFonts w:hAnsi="SimSun" w:cs="Arial" w:hint="eastAsia"/>
          <w:sz w:val="20"/>
          <w:szCs w:val="20"/>
        </w:rPr>
        <w:t>来源：审查调查</w:t>
      </w:r>
    </w:p>
    <w:p w14:paraId="1A5E987A" w14:textId="77777777" w:rsidR="00EA5678" w:rsidRPr="00E775A9" w:rsidRDefault="00215138" w:rsidP="00C259B0">
      <w:pPr>
        <w:pStyle w:val="ListParagraph"/>
        <w:numPr>
          <w:ilvl w:val="0"/>
          <w:numId w:val="3"/>
        </w:numPr>
        <w:spacing w:after="120"/>
        <w:ind w:left="0" w:firstLine="0"/>
        <w:rPr>
          <w:rFonts w:hAnsi="SimSun" w:cs="Arial"/>
        </w:rPr>
      </w:pPr>
      <w:r w:rsidRPr="00E23D52">
        <w:rPr>
          <w:rFonts w:ascii="KaiTi" w:eastAsia="KaiTi" w:hAnsi="KaiTi" w:cs="Arial" w:hint="eastAsia"/>
          <w:iCs/>
        </w:rPr>
        <w:t>产权组织的多项能力建设举措侧重于发展中国家和区域，突出技能和知识的转移和保留。</w:t>
      </w:r>
      <w:r w:rsidRPr="00E775A9">
        <w:rPr>
          <w:rFonts w:hAnsi="SimSun" w:cs="Arial" w:hint="eastAsia"/>
        </w:rPr>
        <w:t>这些项目，如量身定制的讲习班、研讨会和现场培训，旨在直接满足各国的需求，确保将知识融入当地实践。例如，IPTI追求的目标之一是协助产权组织成员国发展自己的知识产权培训能力。</w:t>
      </w:r>
    </w:p>
    <w:p w14:paraId="3A0C2E07"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有证据表明，产权组织将继续提供技术援助、后续评估和影响研究。这些研究旨在评价在最初的技术援助之后，技能的长期保留情况和知识产权管理做法的改进情况。报告的积极成果表明，所提供的培训和资源已有效地纳入各国的知识产权框架（2021-2022年产权组织绩效报告，产权组织知识产权门户网站（第124页），载于</w:t>
      </w:r>
      <w:r>
        <w:rPr>
          <w:rFonts w:hAnsi="SimSun" w:cs="SimSun" w:hint="eastAsia"/>
        </w:rPr>
        <w:t>“</w:t>
      </w:r>
      <w:r w:rsidRPr="00E775A9">
        <w:rPr>
          <w:rFonts w:hAnsi="SimSun" w:cs="Arial" w:hint="eastAsia"/>
        </w:rPr>
        <w:t>2022-2023年发展亮点</w:t>
      </w:r>
      <w:r>
        <w:rPr>
          <w:rFonts w:hAnsi="SimSun" w:cs="SimSun" w:hint="eastAsia"/>
        </w:rPr>
        <w:t>——发展活动支出”——系统化统计数据并制定和实施对采用知识</w:t>
      </w:r>
      <w:r w:rsidRPr="00E775A9">
        <w:rPr>
          <w:rFonts w:hAnsi="SimSun" w:cs="Arial" w:hint="eastAsia"/>
        </w:rPr>
        <w:t>产权制度的影响进行评估的方法（第17页），审计和评价数据，包括发展议程项目（第57-58页））。</w:t>
      </w:r>
    </w:p>
    <w:p w14:paraId="004E94BE"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与当地和区域知识产权局建立伙伴关系是产权组织援助融入程度的直接指标。这些知识产权局经常报告称，在与产权组织合作后，效率、处理能力和公共宣传工作都有所提高，这表明所提供的援助得到了有效吸收和利用。</w:t>
      </w:r>
    </w:p>
    <w:p w14:paraId="61ACFA77"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报告经常强调成员国采用技术工具和基础设施的具体事例，如90多个国家采用的IPAS或ePCT系统。在多个报告期内采用和持续使用这些工具明确表明，援助在这些国家得到了保留，并成为这些国家知识产权管理程序的组成部分。</w:t>
      </w:r>
    </w:p>
    <w:p w14:paraId="44117EF9"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最后，264个新加入产权组织和UPOV条约的国家通常会得到培训和立法援助，这表明了成员国对产权组织的长期看法。</w:t>
      </w:r>
    </w:p>
    <w:p w14:paraId="6E40F337"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产权组织绩效报告中的这些要素共同表明，产权组织提供的技术援助已被受援国成功保留和整合，从而持续改进了其知识产权制度和实践。</w:t>
      </w:r>
    </w:p>
    <w:p w14:paraId="4CBF803D"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IPTI和TISC很好地展示了国家机构提供知识产权能力建设的证据。关于2010年创建的IPTI，有证据表明，取得了以下关键成果，并长期保持：a）建立了19个知识产权培训机构；b）开发了120个培训师培训（ToT）模块；c）培训了1,000多名学员培训师，其中53%是女性，47%是男性；d）提供了约9,000项与知识产权有关的培训和技能培养活动；e）截至2023年，受益者人数达520,000人。</w:t>
      </w:r>
      <w:r w:rsidRPr="00E775A9">
        <w:rPr>
          <w:rStyle w:val="FootnoteReference"/>
          <w:rFonts w:hAnsi="SimSun" w:cs="Arial" w:hint="eastAsia"/>
        </w:rPr>
        <w:footnoteReference w:id="17"/>
      </w:r>
    </w:p>
    <w:p w14:paraId="69A7765B"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对于TISC计划，自2009年启动以来，截至2020年，已在90多个国家建立TISC，</w:t>
      </w:r>
      <w:r w:rsidRPr="00E775A9">
        <w:rPr>
          <w:rStyle w:val="FootnoteReference"/>
          <w:rFonts w:hAnsi="SimSun" w:cs="Arial" w:hint="eastAsia"/>
        </w:rPr>
        <w:footnoteReference w:id="18"/>
      </w:r>
      <w:r w:rsidRPr="00E775A9">
        <w:rPr>
          <w:rFonts w:hAnsi="SimSun" w:cs="Arial" w:hint="eastAsia"/>
        </w:rPr>
        <w:t>大大增加了获取技术信息和知识产权服务的机会。它们已成为创新者的重要资源，有助于提高研究质量和创新成果。</w:t>
      </w:r>
    </w:p>
    <w:p w14:paraId="587464DD" w14:textId="77777777" w:rsidR="00EA5678" w:rsidRPr="00E775A9" w:rsidRDefault="00215138" w:rsidP="00215138">
      <w:pPr>
        <w:keepNext/>
        <w:spacing w:afterLines="50" w:after="120" w:line="340" w:lineRule="atLeast"/>
        <w:rPr>
          <w:rFonts w:hAnsi="SimSun" w:cs="Arial"/>
          <w:b/>
        </w:rPr>
      </w:pPr>
      <w:r w:rsidRPr="00E775A9">
        <w:rPr>
          <w:rFonts w:hAnsi="SimSun" w:cs="Arial" w:hint="eastAsia"/>
          <w:b/>
        </w:rPr>
        <w:t>可持续性面临的挑战</w:t>
      </w:r>
    </w:p>
    <w:p w14:paraId="044E4A08" w14:textId="77777777" w:rsidR="00EA5678" w:rsidRPr="00E775A9" w:rsidRDefault="00215138" w:rsidP="00C259B0">
      <w:pPr>
        <w:pStyle w:val="ListParagraph"/>
        <w:numPr>
          <w:ilvl w:val="0"/>
          <w:numId w:val="3"/>
        </w:numPr>
        <w:spacing w:after="120"/>
        <w:ind w:left="0" w:firstLine="0"/>
        <w:rPr>
          <w:rFonts w:hAnsi="SimSun" w:cs="Arial"/>
        </w:rPr>
      </w:pPr>
      <w:r w:rsidRPr="00F77EBB">
        <w:rPr>
          <w:rFonts w:hAnsi="SimSun" w:cs="Arial" w:hint="eastAsia"/>
        </w:rPr>
        <w:t>随着时间的推移，产权组织已经能够持续开展活动，并在加强机构、基础设施和能力建设</w:t>
      </w:r>
      <w:r w:rsidRPr="00E775A9">
        <w:rPr>
          <w:rFonts w:hAnsi="SimSun" w:cs="Arial" w:hint="eastAsia"/>
        </w:rPr>
        <w:t>方面增强了成员国的能力，这些能力已被纳入世界各地的知识产权局。然而，在这个过程中需要考虑的挑战是：</w:t>
      </w:r>
    </w:p>
    <w:p w14:paraId="4A7ABCEB" w14:textId="4F4CA2A3" w:rsidR="00EA5678" w:rsidRPr="00E775A9" w:rsidRDefault="00215138" w:rsidP="00F77EBB">
      <w:pPr>
        <w:pStyle w:val="ListParagraph"/>
        <w:numPr>
          <w:ilvl w:val="0"/>
          <w:numId w:val="47"/>
        </w:numPr>
        <w:spacing w:after="120"/>
        <w:ind w:left="851" w:hanging="284"/>
        <w:rPr>
          <w:rFonts w:hAnsi="SimSun" w:cs="Arial"/>
        </w:rPr>
      </w:pPr>
      <w:r w:rsidRPr="00E775A9">
        <w:rPr>
          <w:rFonts w:hAnsi="SimSun" w:cs="Arial" w:hint="eastAsia"/>
        </w:rPr>
        <w:t>许多国家知识产权战略没有得到实施，这表明在长期维持知识产权政策工作方面存在挑战；</w:t>
      </w:r>
    </w:p>
    <w:p w14:paraId="61AE5D0F" w14:textId="34CAE833" w:rsidR="00EA5678" w:rsidRPr="00E775A9" w:rsidRDefault="00BB2DF3" w:rsidP="00F77EBB">
      <w:pPr>
        <w:pStyle w:val="ListParagraph"/>
        <w:numPr>
          <w:ilvl w:val="0"/>
          <w:numId w:val="47"/>
        </w:numPr>
        <w:spacing w:after="120"/>
        <w:ind w:left="851" w:hanging="284"/>
        <w:rPr>
          <w:rFonts w:hAnsi="SimSun" w:cs="Arial"/>
        </w:rPr>
      </w:pPr>
      <w:r>
        <w:rPr>
          <w:rFonts w:ascii="Arial" w:hAnsi="Arial" w:cs="Arial" w:hint="eastAsia"/>
          <w:i/>
          <w:iCs/>
          <w:noProof/>
        </w:rPr>
        <mc:AlternateContent>
          <mc:Choice Requires="wps">
            <w:drawing>
              <wp:anchor distT="45720" distB="45720" distL="114300" distR="114300" simplePos="0" relativeHeight="251694080" behindDoc="0" locked="0" layoutInCell="1" allowOverlap="1" wp14:anchorId="50725349" wp14:editId="20BE83E0">
                <wp:simplePos x="0" y="0"/>
                <wp:positionH relativeFrom="margin">
                  <wp:posOffset>3676650</wp:posOffset>
                </wp:positionH>
                <wp:positionV relativeFrom="paragraph">
                  <wp:posOffset>285151</wp:posOffset>
                </wp:positionV>
                <wp:extent cx="2240280" cy="1590675"/>
                <wp:effectExtent l="0" t="0" r="7620" b="9525"/>
                <wp:wrapSquare wrapText="bothSides"/>
                <wp:docPr id="56854634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0280" cy="1590675"/>
                        </a:xfrm>
                        <a:prstGeom prst="rect">
                          <a:avLst/>
                        </a:prstGeom>
                        <a:solidFill>
                          <a:srgbClr val="FFC000">
                            <a:lumMod val="60000"/>
                            <a:lumOff val="40000"/>
                          </a:srgbClr>
                        </a:solidFill>
                        <a:ln w="9525">
                          <a:noFill/>
                          <a:miter lim="800000"/>
                        </a:ln>
                      </wps:spPr>
                      <wps:txbx>
                        <w:txbxContent>
                          <w:p w14:paraId="52C7C0CB" w14:textId="2AAA5550" w:rsidR="00EA5678" w:rsidRDefault="00215138" w:rsidP="00F77EBB">
                            <w:pPr>
                              <w:spacing w:afterLines="50" w:after="120" w:line="340" w:lineRule="atLeast"/>
                              <w:jc w:val="both"/>
                            </w:pPr>
                            <w:bookmarkStart w:id="338" w:name="_Hlk174544425"/>
                            <w:bookmarkStart w:id="339" w:name="_Hlk174544424"/>
                            <w:r>
                              <w:t>审查结果24：可持续性方面的挑战包括：由于成员国缺乏资源，部门部委的参与和工作人员流动，政策实施不力；活动和发展议程项目的成果的延续性不明确，这些项目没有纳入本组织的主流。</w:t>
                            </w:r>
                            <w:bookmarkEnd w:id="338"/>
                            <w:bookmarkEnd w:id="339"/>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50725349" id="_x0000_s1061" type="#_x0000_t202" style="position:absolute;left:0;text-align:left;margin-left:289.5pt;margin-top:22.45pt;width:176.4pt;height:125.25pt;z-index:251694080;visibility:visible;mso-wrap-style:square;mso-height-percent:0;mso-wrap-distance-left:9pt;mso-wrap-distance-top:3.6pt;mso-wrap-distance-right:9pt;mso-wrap-distance-bottom:3.6pt;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" fillcolor="#ffd966" stroked="f">
                <v:textbox>
                  <w:txbxContent>
                    <w:p w14:paraId="52C7C0CB" w14:textId="2AAA5550" w:rsidR="00EA5678" w:rsidRDefault="00215138" w:rsidP="00F77EBB">
                      <w:pPr>
                        <w:spacing w:afterLines="50" w:after="120" w:line="340" w:lineRule="atLeast"/>
                        <w:jc w:val="both"/>
                      </w:pPr>
                      <w:bookmarkStart w:id="378" w:name="_Hlk174544425"/>
                      <w:bookmarkStart w:id="379" w:name="_Hlk174544424"/>
                      <w:r>
                        <w:t>审查结果24：可持续性方面的挑战包括：由于成员国缺乏资源，部门部委的参与和工作人员流动，政策实施不力；活动和发展议程项目的成果的延续性不明确，这些项目没有纳入本组织的主流。</w:t>
                      </w:r>
                      <w:bookmarkEnd w:id="378"/>
                      <w:bookmarkEnd w:id="379"/>
                    </w:p>
                  </w:txbxContent>
                </v:textbox>
                <w10:wrap type="square" anchorx="margin"/>
              </v:shape>
            </w:pict>
          </mc:Fallback>
        </mc:AlternateContent>
      </w:r>
      <w:r w:rsidR="00215138" w:rsidRPr="00E775A9">
        <w:rPr>
          <w:rFonts w:hAnsi="SimSun" w:cs="Arial" w:hint="eastAsia"/>
        </w:rPr>
        <w:t>各国知识产权局的领导层流动率高，这使得更难保持可持续性；</w:t>
      </w:r>
    </w:p>
    <w:p w14:paraId="7934F28B" w14:textId="48B076D0" w:rsidR="00EA5678" w:rsidRPr="00E775A9" w:rsidRDefault="00215138" w:rsidP="00F77EBB">
      <w:pPr>
        <w:pStyle w:val="ListParagraph"/>
        <w:numPr>
          <w:ilvl w:val="0"/>
          <w:numId w:val="47"/>
        </w:numPr>
        <w:spacing w:after="120"/>
        <w:ind w:left="851" w:hanging="284"/>
        <w:rPr>
          <w:rFonts w:hAnsi="SimSun" w:cs="Arial"/>
        </w:rPr>
      </w:pPr>
      <w:r w:rsidRPr="00E775A9">
        <w:rPr>
          <w:rFonts w:hAnsi="SimSun" w:cs="Arial" w:hint="eastAsia"/>
        </w:rPr>
        <w:t>没有证据表明，在报告所述期间批准的发展议程项目在所考虑的时间范围内持续采取了行动，不过，产权组织对发展议程项目进行了影响评价，这将有助于确定其未来的可持续性和长期成果；</w:t>
      </w:r>
    </w:p>
    <w:p w14:paraId="7F49C67D" w14:textId="77777777" w:rsidR="00EA5678" w:rsidRPr="00E775A9" w:rsidRDefault="00215138" w:rsidP="00F77EBB">
      <w:pPr>
        <w:pStyle w:val="ListParagraph"/>
        <w:numPr>
          <w:ilvl w:val="0"/>
          <w:numId w:val="47"/>
        </w:numPr>
        <w:spacing w:after="120"/>
        <w:ind w:left="851" w:hanging="284"/>
        <w:rPr>
          <w:rFonts w:hAnsi="SimSun" w:cs="Arial"/>
        </w:rPr>
      </w:pPr>
      <w:r w:rsidRPr="00E775A9">
        <w:rPr>
          <w:rFonts w:hAnsi="SimSun" w:cs="Arial" w:hint="eastAsia"/>
        </w:rPr>
        <w:t>没有证据表明整个产权组织实施的众多当地项目具有可持续性，因为对这些项目进行评估还为时过早；</w:t>
      </w:r>
    </w:p>
    <w:p w14:paraId="4C509D53" w14:textId="77777777" w:rsidR="00EA5678" w:rsidRPr="00E775A9" w:rsidRDefault="00215138" w:rsidP="00F77EBB">
      <w:pPr>
        <w:pStyle w:val="ListParagraph"/>
        <w:numPr>
          <w:ilvl w:val="0"/>
          <w:numId w:val="47"/>
        </w:numPr>
        <w:spacing w:after="120"/>
        <w:ind w:left="851" w:hanging="284"/>
        <w:rPr>
          <w:rFonts w:hAnsi="SimSun" w:cs="Arial"/>
        </w:rPr>
      </w:pPr>
      <w:r w:rsidRPr="00E775A9">
        <w:rPr>
          <w:rFonts w:hAnsi="SimSun" w:cs="Arial" w:hint="eastAsia"/>
        </w:rPr>
        <w:t>目前尚不清楚采纳已收到的立法建议并能够推进其立法框架的国家所占比例；</w:t>
      </w:r>
    </w:p>
    <w:p w14:paraId="4BB052FE" w14:textId="1F8CC8C5" w:rsidR="00EA5678" w:rsidRPr="00E775A9" w:rsidRDefault="00215138" w:rsidP="00F77EBB">
      <w:pPr>
        <w:pStyle w:val="ListParagraph"/>
        <w:numPr>
          <w:ilvl w:val="0"/>
          <w:numId w:val="47"/>
        </w:numPr>
        <w:spacing w:after="120"/>
        <w:ind w:left="851" w:hanging="284"/>
        <w:rPr>
          <w:rFonts w:hAnsi="SimSun" w:cs="Arial"/>
        </w:rPr>
      </w:pPr>
      <w:r w:rsidRPr="00E775A9">
        <w:rPr>
          <w:rFonts w:hAnsi="SimSun" w:cs="Arial" w:hint="eastAsia"/>
        </w:rPr>
        <w:t>其他部委在国家层面对国家知识产权政策的参与不足；</w:t>
      </w:r>
    </w:p>
    <w:p w14:paraId="466CABF2" w14:textId="76FEE4EF" w:rsidR="00EA5678" w:rsidRPr="00E775A9" w:rsidRDefault="00215138" w:rsidP="00F77EBB">
      <w:pPr>
        <w:pStyle w:val="ListParagraph"/>
        <w:numPr>
          <w:ilvl w:val="0"/>
          <w:numId w:val="47"/>
        </w:numPr>
        <w:spacing w:after="120"/>
        <w:ind w:left="851" w:hanging="284"/>
        <w:rPr>
          <w:rFonts w:hAnsi="SimSun" w:cs="Arial"/>
        </w:rPr>
      </w:pPr>
      <w:r w:rsidRPr="00E775A9">
        <w:rPr>
          <w:rFonts w:hAnsi="SimSun" w:cs="Arial" w:hint="eastAsia"/>
        </w:rPr>
        <w:t>目前，技术援助活动主要由产权组织资助。技术援助的共同资助模式可以增强举措完成后的可持续成果。</w:t>
      </w:r>
    </w:p>
    <w:p w14:paraId="520D3C4E" w14:textId="77777777" w:rsidR="00EA5678" w:rsidRPr="00E775A9" w:rsidRDefault="00215138" w:rsidP="00F77EBB">
      <w:pPr>
        <w:pStyle w:val="ListParagraph"/>
        <w:numPr>
          <w:ilvl w:val="0"/>
          <w:numId w:val="47"/>
        </w:numPr>
        <w:spacing w:after="120"/>
        <w:ind w:left="851" w:hanging="284"/>
        <w:rPr>
          <w:rFonts w:hAnsi="SimSun" w:cs="Arial"/>
        </w:rPr>
      </w:pPr>
      <w:r w:rsidRPr="00E775A9">
        <w:rPr>
          <w:rFonts w:hAnsi="SimSun" w:cs="Arial" w:hint="eastAsia"/>
        </w:rPr>
        <w:t>有些项目有当地社区参与，但没有政府参与，这使得项目保持可持续性更加困难；</w:t>
      </w:r>
    </w:p>
    <w:p w14:paraId="60CF4A8F" w14:textId="77777777" w:rsidR="00EA5678" w:rsidRPr="00E775A9" w:rsidRDefault="00215138" w:rsidP="00F77EBB">
      <w:pPr>
        <w:pStyle w:val="ListParagraph"/>
        <w:numPr>
          <w:ilvl w:val="0"/>
          <w:numId w:val="47"/>
        </w:numPr>
        <w:spacing w:after="120"/>
        <w:ind w:left="851" w:hanging="284"/>
        <w:rPr>
          <w:rFonts w:hAnsi="SimSun" w:cs="Arial"/>
        </w:rPr>
      </w:pPr>
      <w:r w:rsidRPr="00E775A9">
        <w:rPr>
          <w:rFonts w:hAnsi="SimSun" w:cs="Arial" w:hint="eastAsia"/>
        </w:rPr>
        <w:t>有许多配套举措，但确保连续性和可持续性的后续行动非常有限。</w:t>
      </w:r>
    </w:p>
    <w:p w14:paraId="0B6C4212"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另一方面，在可持续性方面也有相关的经验教训，包括：a）产权组织的团队与成员国共同起草项目，以确保自主权；b）在许多成员国，除了国家知识产权局之外，还有其他利益攸关方的参与。</w:t>
      </w:r>
    </w:p>
    <w:p w14:paraId="532F5227" w14:textId="70756062" w:rsidR="00EA5678" w:rsidRPr="00A23549" w:rsidRDefault="00F77EBB" w:rsidP="00F77EBB">
      <w:pPr>
        <w:pStyle w:val="Heading2"/>
        <w:spacing w:before="240" w:after="120"/>
        <w:rPr>
          <w:rFonts w:cstheme="majorBidi"/>
        </w:rPr>
      </w:pPr>
      <w:bookmarkStart w:id="340" w:name="_Toc177325248"/>
      <w:bookmarkStart w:id="341" w:name="_Toc177325728"/>
      <w:bookmarkStart w:id="342" w:name="_Toc177325404"/>
      <w:bookmarkStart w:id="343" w:name="_Toc177325087"/>
      <w:bookmarkStart w:id="344" w:name="_Toc177325088"/>
      <w:bookmarkStart w:id="345" w:name="_Toc177324928"/>
      <w:bookmarkStart w:id="346" w:name="_Toc177325245"/>
      <w:bookmarkStart w:id="347" w:name="_Toc177325563"/>
      <w:bookmarkStart w:id="348" w:name="_Toc177324929"/>
      <w:bookmarkStart w:id="349" w:name="_Toc177325407"/>
      <w:bookmarkStart w:id="350" w:name="_Toc177323113"/>
      <w:bookmarkStart w:id="351" w:name="_Toc177324770"/>
      <w:bookmarkStart w:id="352" w:name="_Toc177325564"/>
      <w:bookmarkStart w:id="353" w:name="_Toc177323119"/>
      <w:bookmarkStart w:id="354" w:name="_Toc177325897"/>
      <w:bookmarkStart w:id="355" w:name="_Toc177324772"/>
      <w:bookmarkStart w:id="356" w:name="_Toc177324771"/>
      <w:bookmarkStart w:id="357" w:name="_Toc177325246"/>
      <w:bookmarkStart w:id="358" w:name="_Toc177325729"/>
      <w:bookmarkStart w:id="359" w:name="_Toc177324768"/>
      <w:bookmarkStart w:id="360" w:name="_Toc177324763"/>
      <w:bookmarkStart w:id="361" w:name="_Toc177325892"/>
      <w:bookmarkStart w:id="362" w:name="_Toc177325089"/>
      <w:bookmarkStart w:id="363" w:name="_Toc177324922"/>
      <w:bookmarkStart w:id="364" w:name="_Toc177325567"/>
      <w:bookmarkStart w:id="365" w:name="_Toc177325894"/>
      <w:bookmarkStart w:id="366" w:name="_Toc177324764"/>
      <w:bookmarkStart w:id="367" w:name="_Toc177325405"/>
      <w:bookmarkStart w:id="368" w:name="_Toc177325562"/>
      <w:bookmarkStart w:id="369" w:name="_Toc177323115"/>
      <w:bookmarkStart w:id="370" w:name="_Toc177325247"/>
      <w:bookmarkStart w:id="371" w:name="_Toc177323117"/>
      <w:bookmarkStart w:id="372" w:name="_Toc177324930"/>
      <w:bookmarkStart w:id="373" w:name="_Toc177325561"/>
      <w:bookmarkStart w:id="374" w:name="_Toc177325732"/>
      <w:bookmarkStart w:id="375" w:name="_Toc177323122"/>
      <w:bookmarkStart w:id="376" w:name="_Toc177324931"/>
      <w:bookmarkStart w:id="377" w:name="_Toc177325727"/>
      <w:bookmarkStart w:id="378" w:name="_Toc177324923"/>
      <w:bookmarkStart w:id="379" w:name="_Toc177323114"/>
      <w:bookmarkStart w:id="380" w:name="_Toc177325558"/>
      <w:bookmarkStart w:id="381" w:name="_Toc177325408"/>
      <w:bookmarkStart w:id="382" w:name="_Toc177324926"/>
      <w:bookmarkStart w:id="383" w:name="_Toc177325400"/>
      <w:bookmarkStart w:id="384" w:name="_Toc177325730"/>
      <w:bookmarkStart w:id="385" w:name="_Toc177325242"/>
      <w:bookmarkStart w:id="386" w:name="_Toc177325081"/>
      <w:bookmarkStart w:id="387" w:name="_Toc177325895"/>
      <w:bookmarkStart w:id="388" w:name="_Toc177325406"/>
      <w:bookmarkStart w:id="389" w:name="_Toc177325723"/>
      <w:bookmarkStart w:id="390" w:name="_Toc177323118"/>
      <w:bookmarkStart w:id="391" w:name="_Toc177325083"/>
      <w:bookmarkStart w:id="392" w:name="_Toc177325082"/>
      <w:bookmarkStart w:id="393" w:name="_Toc177325891"/>
      <w:bookmarkStart w:id="394" w:name="_Toc177325401"/>
      <w:bookmarkStart w:id="395" w:name="_Toc177325726"/>
      <w:bookmarkStart w:id="396" w:name="_Toc177325403"/>
      <w:bookmarkStart w:id="397" w:name="_Toc177325090"/>
      <w:bookmarkStart w:id="398" w:name="_Toc177325084"/>
      <w:bookmarkStart w:id="399" w:name="_Toc177324924"/>
      <w:bookmarkStart w:id="400" w:name="_Toc177325889"/>
      <w:bookmarkStart w:id="401" w:name="_Toc177325241"/>
      <w:bookmarkStart w:id="402" w:name="_Toc177325243"/>
      <w:bookmarkStart w:id="403" w:name="_Toc177325890"/>
      <w:bookmarkStart w:id="404" w:name="_Toc177325560"/>
      <w:bookmarkStart w:id="405" w:name="_Toc177325085"/>
      <w:bookmarkStart w:id="406" w:name="_Toc177325559"/>
      <w:bookmarkStart w:id="407" w:name="_Toc177324927"/>
      <w:bookmarkStart w:id="408" w:name="_Toc177325249"/>
      <w:bookmarkStart w:id="409" w:name="_Toc177323121"/>
      <w:bookmarkStart w:id="410" w:name="_Toc177325893"/>
      <w:bookmarkStart w:id="411" w:name="_Toc177324769"/>
      <w:bookmarkStart w:id="412" w:name="_Toc177325566"/>
      <w:bookmarkStart w:id="413" w:name="_Toc177325086"/>
      <w:bookmarkStart w:id="414" w:name="_Toc177323120"/>
      <w:bookmarkStart w:id="415" w:name="_Toc177325565"/>
      <w:bookmarkStart w:id="416" w:name="_Toc177324767"/>
      <w:bookmarkStart w:id="417" w:name="_Toc177325896"/>
      <w:bookmarkStart w:id="418" w:name="_Toc177325731"/>
      <w:bookmarkStart w:id="419" w:name="_Toc177324765"/>
      <w:bookmarkStart w:id="420" w:name="_Toc177324766"/>
      <w:bookmarkStart w:id="421" w:name="_Toc177323116"/>
      <w:bookmarkStart w:id="422" w:name="_Toc177325888"/>
      <w:bookmarkStart w:id="423" w:name="_Toc177325402"/>
      <w:bookmarkStart w:id="424" w:name="_Toc177325725"/>
      <w:bookmarkStart w:id="425" w:name="_Toc177325399"/>
      <w:bookmarkStart w:id="426" w:name="_Toc177325240"/>
      <w:bookmarkStart w:id="427" w:name="_Toc177324925"/>
      <w:bookmarkStart w:id="428" w:name="_Toc177325724"/>
      <w:bookmarkStart w:id="429" w:name="_Toc177325244"/>
      <w:bookmarkStart w:id="430" w:name="_Toc181695802"/>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r w:rsidRPr="00A23549">
        <w:rPr>
          <w:rFonts w:cstheme="majorBidi" w:hint="eastAsia"/>
        </w:rPr>
        <w:t>4.5</w:t>
      </w:r>
      <w:r w:rsidRPr="00A23549">
        <w:rPr>
          <w:rFonts w:cstheme="majorBidi"/>
        </w:rPr>
        <w:tab/>
      </w:r>
      <w:r w:rsidR="00215138" w:rsidRPr="00A23549">
        <w:rPr>
          <w:rFonts w:cstheme="majorBidi" w:hint="eastAsia"/>
        </w:rPr>
        <w:t>影响</w:t>
      </w:r>
      <w:bookmarkEnd w:id="430"/>
    </w:p>
    <w:p w14:paraId="596F830D"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在影响部分，审查探讨了以下内容：</w:t>
      </w:r>
    </w:p>
    <w:p w14:paraId="26035E3E" w14:textId="77777777" w:rsidR="00EA5678" w:rsidRPr="00E775A9" w:rsidRDefault="00215138" w:rsidP="00F77EBB">
      <w:pPr>
        <w:pStyle w:val="ListParagraph"/>
        <w:numPr>
          <w:ilvl w:val="0"/>
          <w:numId w:val="50"/>
        </w:numPr>
        <w:spacing w:after="120"/>
        <w:ind w:left="851" w:hanging="284"/>
        <w:rPr>
          <w:rFonts w:hAnsi="SimSun" w:cs="Arial"/>
        </w:rPr>
      </w:pPr>
      <w:r w:rsidRPr="00E775A9">
        <w:rPr>
          <w:rFonts w:hAnsi="SimSun" w:cs="Arial" w:hint="eastAsia"/>
        </w:rPr>
        <w:t>技术援助干预措施对政策、法律、机构和人力资源技能水平是否有任何积极或消极的影响。</w:t>
      </w:r>
    </w:p>
    <w:p w14:paraId="6A43462A" w14:textId="77777777" w:rsidR="00EA5678" w:rsidRPr="00E775A9" w:rsidRDefault="00215138" w:rsidP="00F77EBB">
      <w:pPr>
        <w:pStyle w:val="ListParagraph"/>
        <w:numPr>
          <w:ilvl w:val="0"/>
          <w:numId w:val="50"/>
        </w:numPr>
        <w:spacing w:after="120"/>
        <w:ind w:left="851" w:hanging="284"/>
        <w:rPr>
          <w:rFonts w:hAnsi="SimSun" w:cs="Arial"/>
        </w:rPr>
      </w:pPr>
      <w:r w:rsidRPr="00E775A9">
        <w:rPr>
          <w:rFonts w:hAnsi="SimSun" w:cs="Arial" w:hint="eastAsia"/>
        </w:rPr>
        <w:t>增强或限制当地技术援助干预措施的有效性和影响的因素和条件。</w:t>
      </w:r>
    </w:p>
    <w:p w14:paraId="31E7AAB3" w14:textId="77777777" w:rsidR="00EA5678" w:rsidRPr="00E775A9" w:rsidRDefault="00215138" w:rsidP="00F77EBB">
      <w:pPr>
        <w:pStyle w:val="ListParagraph"/>
        <w:numPr>
          <w:ilvl w:val="0"/>
          <w:numId w:val="50"/>
        </w:numPr>
        <w:spacing w:after="120"/>
        <w:ind w:left="851" w:hanging="284"/>
        <w:rPr>
          <w:rFonts w:hAnsi="SimSun" w:cs="Arial"/>
        </w:rPr>
      </w:pPr>
      <w:r w:rsidRPr="00E775A9">
        <w:rPr>
          <w:rFonts w:hAnsi="SimSun" w:cs="Arial" w:hint="eastAsia"/>
        </w:rPr>
        <w:t>任何技术援助干预措施导致了意想不到的后果或影响的情况。</w:t>
      </w:r>
    </w:p>
    <w:p w14:paraId="1F8C6F05" w14:textId="77777777" w:rsidR="00EA5678" w:rsidRPr="00E775A9" w:rsidRDefault="00215138" w:rsidP="00F77EBB">
      <w:pPr>
        <w:pStyle w:val="ListParagraph"/>
        <w:numPr>
          <w:ilvl w:val="0"/>
          <w:numId w:val="50"/>
        </w:numPr>
        <w:spacing w:after="120"/>
        <w:ind w:left="851" w:hanging="284"/>
        <w:rPr>
          <w:rFonts w:hAnsi="SimSun" w:cs="Arial"/>
        </w:rPr>
      </w:pPr>
      <w:r w:rsidRPr="00E775A9">
        <w:rPr>
          <w:rFonts w:hAnsi="SimSun" w:cs="Arial" w:hint="eastAsia"/>
        </w:rPr>
        <w:t>其他利益攸关方（如政府、知识产权局、高校、研发机构、非政府组织和民间社会）在产生影响方面的作用。</w:t>
      </w:r>
    </w:p>
    <w:p w14:paraId="698BCC0F" w14:textId="2BA1ADF2" w:rsidR="00EA5678" w:rsidRPr="00E775A9" w:rsidRDefault="00215138" w:rsidP="00C259B0">
      <w:pPr>
        <w:pStyle w:val="ListParagraph"/>
        <w:numPr>
          <w:ilvl w:val="0"/>
          <w:numId w:val="3"/>
        </w:numPr>
        <w:spacing w:after="120"/>
        <w:ind w:left="0" w:firstLine="0"/>
        <w:rPr>
          <w:rFonts w:hAnsi="SimSun" w:cs="Arial"/>
        </w:rPr>
      </w:pPr>
      <w:r>
        <w:rPr>
          <w:rFonts w:ascii="Arial" w:hAnsi="Arial" w:cs="Arial" w:hint="eastAsia"/>
          <w:i/>
          <w:iCs/>
          <w:noProof/>
        </w:rPr>
        <mc:AlternateContent>
          <mc:Choice Requires="wps">
            <w:drawing>
              <wp:anchor distT="45720" distB="45720" distL="114300" distR="114300" simplePos="0" relativeHeight="251695104" behindDoc="0" locked="0" layoutInCell="1" allowOverlap="1" wp14:anchorId="7B600A16" wp14:editId="7BAABB90">
                <wp:simplePos x="0" y="0"/>
                <wp:positionH relativeFrom="margin">
                  <wp:posOffset>3665634</wp:posOffset>
                </wp:positionH>
                <wp:positionV relativeFrom="paragraph">
                  <wp:posOffset>787400</wp:posOffset>
                </wp:positionV>
                <wp:extent cx="2240280" cy="998220"/>
                <wp:effectExtent l="0" t="0" r="7620" b="0"/>
                <wp:wrapSquare wrapText="bothSides"/>
                <wp:docPr id="1641272735"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0280" cy="998220"/>
                        </a:xfrm>
                        <a:prstGeom prst="rect">
                          <a:avLst/>
                        </a:prstGeom>
                        <a:solidFill>
                          <a:srgbClr val="FFC000">
                            <a:lumMod val="60000"/>
                            <a:lumOff val="40000"/>
                          </a:srgbClr>
                        </a:solidFill>
                        <a:ln w="9525">
                          <a:noFill/>
                          <a:miter lim="800000"/>
                        </a:ln>
                      </wps:spPr>
                      <wps:txbx>
                        <w:txbxContent>
                          <w:p w14:paraId="1F10AD42" w14:textId="6397B74D" w:rsidR="00EA5678" w:rsidRDefault="00215138" w:rsidP="00F77EBB">
                            <w:pPr>
                              <w:spacing w:afterLines="50" w:after="120" w:line="340" w:lineRule="atLeast"/>
                              <w:jc w:val="both"/>
                            </w:pPr>
                            <w:bookmarkStart w:id="431" w:name="_Hlk174544445"/>
                            <w:bookmarkStart w:id="432" w:name="_Hlk174544446"/>
                            <w:r>
                              <w:t>审查结果25：产权组织是建立全球知识产权体系和使发展中国家利用全球知识产权体系的关键，成员国普遍认可这一点。</w:t>
                            </w:r>
                            <w:bookmarkEnd w:id="431"/>
                            <w:bookmarkEnd w:id="432"/>
                          </w:p>
                        </w:txbxContent>
                      </wps:txbx>
                      <wps:bodyPr rot="0" vert="horz" wrap="square" lIns="91440" tIns="45720" rIns="91440" bIns="45720" anchor="t" anchorCtr="0">
                        <a:noAutofit/>
                      </wps:bodyPr>
                    </wps:wsp>
                  </a:graphicData>
                </a:graphic>
              </wp:anchor>
            </w:drawing>
          </mc:Choice>
          <mc:Fallback>
            <w:pict>
              <v:shape w14:anchorId="7B600A16" id="_x0000_s1062" type="#_x0000_t202" style="position:absolute;left:0;text-align:left;margin-left:288.65pt;margin-top:62pt;width:176.4pt;height:78.6pt;z-index:251695104;visibility:visible;mso-wrap-style:square;mso-wrap-distance-left:9pt;mso-wrap-distance-top:3.6pt;mso-wrap-distance-right:9pt;mso-wrap-distance-bottom:3.6pt;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" fillcolor="#ffd966" stroked="f">
                <v:textbox>
                  <w:txbxContent>
                    <w:p w14:paraId="1F10AD42" w14:textId="6397B74D" w:rsidR="00EA5678" w:rsidRDefault="00215138" w:rsidP="00F77EBB">
                      <w:pPr>
                        <w:spacing w:afterLines="50" w:after="120" w:line="340" w:lineRule="atLeast"/>
                        <w:jc w:val="both"/>
                      </w:pPr>
                      <w:bookmarkStart w:id="473" w:name="_Hlk174544445"/>
                      <w:bookmarkStart w:id="474" w:name="_Hlk174544446"/>
                      <w:r>
                        <w:t>审查结果25：产权组织是建立全球知识产权体系和使发展中国家利用全球知识产权体系的关键，成员国普遍认可这一点。</w:t>
                      </w:r>
                      <w:bookmarkEnd w:id="473"/>
                      <w:bookmarkEnd w:id="474"/>
                    </w:p>
                  </w:txbxContent>
                </v:textbox>
                <w10:wrap type="square" anchorx="margin"/>
              </v:shape>
            </w:pict>
          </mc:Fallback>
        </mc:AlternateContent>
      </w:r>
      <w:r w:rsidRPr="00E23D52">
        <w:rPr>
          <w:rFonts w:ascii="KaiTi" w:eastAsia="KaiTi" w:hAnsi="KaiTi" w:cs="Arial" w:hint="eastAsia"/>
          <w:iCs/>
        </w:rPr>
        <w:t>难以广泛评估技术援助的影响，因为国家知识产权战略、立法援助、发展议程项目、能力建设和许多其他倡议只能在中期而不是在发生后立即显示影响层面的结果</w:t>
      </w:r>
      <w:r w:rsidRPr="00E775A9">
        <w:rPr>
          <w:rFonts w:hAnsi="SimSun" w:cs="Arial" w:hint="eastAsia"/>
        </w:rPr>
        <w:t>。此外，需要进行更严格的影响评估，设计重点更突出，只关注技术援助的一个计划或维度。然而，从与成员国的磋商中可以清楚地看到，在能力建设、基础设施和制定国家知识产权战略方面取得了显著成果。有些国家是技术援助的倡导者（非常积极参与产权组织的工作），有明确的年度工作计划，可以提供长期持续的援助。产权组织已经能够：a）通过必要的基础设施来构建知识产权管理工作的结构；b）加强倾向于终身职业的知识产权官员的能力；c）吸引青年等新群体参与，并在一些成员国推广教育政策；d）提高各区域成员国妇女在知识产权领域的地位，从而为妇女制定具体政策；e）向成员国提供多种语言指导，使更多的利益攸关方受益。产权组织是建立全球知识产权体系和使发展中国家利用全球知识产权体系的关键。</w:t>
      </w:r>
    </w:p>
    <w:p w14:paraId="332052F6" w14:textId="749ADFF9"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确定了一些有助于提高技术援助在成员国的影响和有效性的因素。它们是：a）国家在产权组织内的承诺和积极参与；b）与成员国制定结构化的年度计划；c）长期的持续支持；d）国家顾问的参与；e）区域司的领导和协调；f）国家知识产权战略、基础设施和能力建设的组合包。有些国家被确定为技术援助的倡导者，它们与产权组织有着长期的合作关系，这有助于它们长期获得持续的支持。这些国家通常参与产权组织大会和其他会议，并坚定地致力于在国家层面维持产权组织的支持，将自己的资源投入到所开展的工作中。在这些提高技术援助效率的案例中，确定了一些模式：a）技术援助结构良好，有年度工作计划，有助于遵守目标和协议；b）这些国家拥有敬业的工作人员和国家专业人员，从而为可持续性创造了条件；c）这些技术援助倡导者受益于一揽子技术援助干预措施，其中往往包括IPAS、TISC、国家知识产权战略、IPTI和其他举措；d）在这些倡导国家中，只有一项建议是审查年度工作计划，制定更可行的时间表，因为高层批准所需的时间可能比最初预期的要长。</w:t>
      </w:r>
    </w:p>
    <w:p w14:paraId="7A1B7657" w14:textId="77777777" w:rsidR="00EA5678" w:rsidRPr="00E23D52" w:rsidRDefault="00215138" w:rsidP="00F77EBB">
      <w:pPr>
        <w:keepNext/>
        <w:spacing w:afterLines="50" w:after="120" w:line="320" w:lineRule="atLeast"/>
        <w:rPr>
          <w:rFonts w:ascii="KaiTi" w:eastAsia="KaiTi" w:hAnsi="KaiTi" w:cs="Arial"/>
          <w:b/>
          <w:iCs/>
        </w:rPr>
      </w:pPr>
      <w:r w:rsidRPr="00E23D52">
        <w:rPr>
          <w:rFonts w:ascii="KaiTi" w:eastAsia="KaiTi" w:hAnsi="KaiTi" w:cs="Arial" w:hint="eastAsia"/>
          <w:b/>
          <w:iCs/>
        </w:rPr>
        <w:t>意外后果或影响</w:t>
      </w:r>
    </w:p>
    <w:p w14:paraId="27729302" w14:textId="027CD265" w:rsidR="00EA5678" w:rsidRPr="00E775A9" w:rsidRDefault="00215138" w:rsidP="00C259B0">
      <w:pPr>
        <w:pStyle w:val="ListParagraph"/>
        <w:numPr>
          <w:ilvl w:val="0"/>
          <w:numId w:val="3"/>
        </w:numPr>
        <w:spacing w:after="120"/>
        <w:ind w:left="0" w:firstLine="0"/>
        <w:rPr>
          <w:rFonts w:hAnsi="SimSun" w:cs="Arial"/>
        </w:rPr>
      </w:pPr>
      <w:r>
        <w:rPr>
          <w:rFonts w:ascii="Arial" w:hAnsi="Arial" w:cs="Arial" w:hint="eastAsia"/>
          <w:i/>
          <w:iCs/>
          <w:noProof/>
        </w:rPr>
        <mc:AlternateContent>
          <mc:Choice Requires="wps">
            <w:drawing>
              <wp:anchor distT="45720" distB="45720" distL="114300" distR="114300" simplePos="0" relativeHeight="251696128" behindDoc="0" locked="0" layoutInCell="1" allowOverlap="1" wp14:anchorId="17738184" wp14:editId="1C83BF88">
                <wp:simplePos x="0" y="0"/>
                <wp:positionH relativeFrom="margin">
                  <wp:posOffset>3697568</wp:posOffset>
                </wp:positionH>
                <wp:positionV relativeFrom="paragraph">
                  <wp:posOffset>485775</wp:posOffset>
                </wp:positionV>
                <wp:extent cx="2240280" cy="1188720"/>
                <wp:effectExtent l="0" t="0" r="7620" b="0"/>
                <wp:wrapSquare wrapText="bothSides"/>
                <wp:docPr id="51802468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40280" cy="1188720"/>
                        </a:xfrm>
                        <a:prstGeom prst="rect">
                          <a:avLst/>
                        </a:prstGeom>
                        <a:solidFill>
                          <a:srgbClr val="FFC000">
                            <a:lumMod val="60000"/>
                            <a:lumOff val="40000"/>
                          </a:srgbClr>
                        </a:solidFill>
                        <a:ln w="9525">
                          <a:noFill/>
                          <a:miter lim="800000"/>
                        </a:ln>
                      </wps:spPr>
                      <wps:txbx>
                        <w:txbxContent>
                          <w:p w14:paraId="18031079" w14:textId="77777777" w:rsidR="00EA5678" w:rsidRDefault="00215138" w:rsidP="00F77EBB">
                            <w:pPr>
                              <w:spacing w:afterLines="50" w:after="120" w:line="340" w:lineRule="atLeast"/>
                              <w:jc w:val="both"/>
                            </w:pPr>
                            <w:bookmarkStart w:id="433" w:name="_Hlk174544468"/>
                            <w:bookmarkStart w:id="434" w:name="_Hlk174544469"/>
                            <w:r>
                              <w:t>审查结果26：COVID-19一揽子应对方案惠及40个成员国，这是产权组织内部不同部门之间进行协调，以应对产权组织能够迅速作出反应的危机的良好范例。</w:t>
                            </w:r>
                            <w:bookmarkEnd w:id="433"/>
                            <w:bookmarkEnd w:id="434"/>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17738184" id="_x0000_s1063" type="#_x0000_t202" style="position:absolute;left:0;text-align:left;margin-left:291.15pt;margin-top:38.25pt;width:176.4pt;height:93.6pt;z-index:251696128;visibility:visible;mso-wrap-style:square;mso-height-percent:0;mso-wrap-distance-left:9pt;mso-wrap-distance-top:3.6pt;mso-wrap-distance-right:9pt;mso-wrap-distance-bottom:3.6pt;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" fillcolor="#ffd966" stroked="f">
                <v:textbox>
                  <w:txbxContent>
                    <w:p w14:paraId="18031079" w14:textId="77777777" w:rsidR="00EA5678" w:rsidRDefault="00215138" w:rsidP="00F77EBB">
                      <w:pPr>
                        <w:spacing w:afterLines="50" w:after="120" w:line="340" w:lineRule="atLeast"/>
                        <w:jc w:val="both"/>
                      </w:pPr>
                      <w:bookmarkStart w:id="477" w:name="_Hlk174544468"/>
                      <w:bookmarkStart w:id="478" w:name="_Hlk174544469"/>
                      <w:r>
                        <w:t>审查结果26：COVID-19一揽子应对方案惠及40个成员国，这是产权组织内部不同部门之间进行协调，以应对产权组织能够迅速</w:t>
                      </w:r>
                      <w:proofErr w:type="gramStart"/>
                      <w:r>
                        <w:t>作出</w:t>
                      </w:r>
                      <w:proofErr w:type="gramEnd"/>
                      <w:r>
                        <w:t>反应的危机的良好范例。</w:t>
                      </w:r>
                      <w:bookmarkEnd w:id="477"/>
                      <w:bookmarkEnd w:id="478"/>
                    </w:p>
                  </w:txbxContent>
                </v:textbox>
                <w10:wrap type="square" anchorx="margin"/>
              </v:shape>
            </w:pict>
          </mc:Fallback>
        </mc:AlternateContent>
      </w:r>
      <w:r w:rsidRPr="00E775A9">
        <w:rPr>
          <w:rFonts w:hAnsi="SimSun" w:cs="Arial" w:hint="eastAsia"/>
        </w:rPr>
        <w:t>在COVID-19期间，产权组织推出了COVID-19一揽子应对方案，该方案于2021年10月获得批准。该一揽子方案旨在帮助成员国在大流行后更好地重建，利用知识产权推动可持续的经济复苏。分配的资源为300万</w:t>
      </w:r>
      <w:r w:rsidR="00862432">
        <w:rPr>
          <w:rFonts w:hAnsi="SimSun" w:cs="Arial" w:hint="eastAsia"/>
        </w:rPr>
        <w:t>瑞郎</w:t>
      </w:r>
      <w:r w:rsidRPr="00E775A9">
        <w:rPr>
          <w:rFonts w:hAnsi="SimSun" w:cs="Arial" w:hint="eastAsia"/>
        </w:rPr>
        <w:t>。这意味着要有一种由WIPO学院管理</w:t>
      </w:r>
      <w:r>
        <w:rPr>
          <w:rFonts w:hAnsi="SimSun" w:cs="SimSun" w:hint="eastAsia"/>
        </w:rPr>
        <w:t>的“产权组织总动员”方法。涵盖不同</w:t>
      </w:r>
      <w:r w:rsidRPr="00E775A9">
        <w:rPr>
          <w:rFonts w:hAnsi="SimSun" w:cs="Arial" w:hint="eastAsia"/>
        </w:rPr>
        <w:t>领域：1.伙伴关系与产权组织-世贸组织-世卫组织三方合作；2.立法和政策咨询；3.创新和技术转让；4.知识产权争端解决；以及5.培训和能力建设（包括通过IPTI）。总共约有40个国家受益，根据其提议和需求，受益金额各不相同。与此相关的是对COVID-19疫苗和药物创新决定因素研究的支持，以及对中小企业的支持，以便它们能够在大流行期间应对。该一揽子方案的期限延长至2024/2025年，并冠以</w:t>
      </w:r>
      <w:r>
        <w:rPr>
          <w:rFonts w:hAnsi="SimSun" w:cs="SimSun" w:hint="eastAsia"/>
        </w:rPr>
        <w:t>“重建基金”</w:t>
      </w:r>
      <w:r w:rsidRPr="00E775A9">
        <w:rPr>
          <w:rFonts w:hAnsi="SimSun" w:cs="Arial" w:hint="eastAsia"/>
        </w:rPr>
        <w:t>的名称，以使第一轮资助的项目具有连续性。世卫组织是这一过程中的相关伙伴。这一机制的一个突出特点是协调过程，每季度都有一个工作组会议。不同部门参与其中。参与该基金的产权组织部门表示，协调工作非常顺利。这是产权组织在大流行期间的适应能力和内部协作的良好范例。该基金在本组织内部具有高层领导，有真正的需要，而且是基于成员国的要求设立的。该基金的支出率为95%。</w:t>
      </w:r>
    </w:p>
    <w:p w14:paraId="7D7A266A" w14:textId="748F4319" w:rsidR="00EA5678" w:rsidRPr="00E23D52" w:rsidRDefault="00215138" w:rsidP="00F77EBB">
      <w:pPr>
        <w:keepNext/>
        <w:spacing w:afterLines="50" w:after="120" w:line="320" w:lineRule="atLeast"/>
        <w:rPr>
          <w:rFonts w:ascii="KaiTi" w:eastAsia="KaiTi" w:hAnsi="KaiTi" w:cs="Arial"/>
          <w:b/>
          <w:iCs/>
        </w:rPr>
      </w:pPr>
      <w:r w:rsidRPr="00E23D52">
        <w:rPr>
          <w:rFonts w:ascii="KaiTi" w:eastAsia="KaiTi" w:hAnsi="KaiTi" w:cs="Arial" w:hint="eastAsia"/>
          <w:b/>
          <w:iCs/>
        </w:rPr>
        <w:t>其他利益攸关方的角色</w:t>
      </w:r>
    </w:p>
    <w:p w14:paraId="52209C1B" w14:textId="77777777" w:rsidR="00EA5678" w:rsidRPr="00E775A9" w:rsidRDefault="00215138" w:rsidP="00C259B0">
      <w:pPr>
        <w:pStyle w:val="ListParagraph"/>
        <w:numPr>
          <w:ilvl w:val="0"/>
          <w:numId w:val="3"/>
        </w:numPr>
        <w:spacing w:after="120"/>
        <w:ind w:left="0" w:firstLine="0"/>
        <w:rPr>
          <w:rFonts w:hAnsi="SimSun" w:cs="Arial"/>
        </w:rPr>
      </w:pPr>
      <w:r>
        <w:rPr>
          <w:rFonts w:ascii="Arial" w:hAnsi="Arial" w:cs="Arial" w:hint="eastAsia"/>
          <w:noProof/>
        </w:rPr>
        <mc:AlternateContent>
          <mc:Choice Requires="wps">
            <w:drawing>
              <wp:anchor distT="45720" distB="45720" distL="114300" distR="114300" simplePos="0" relativeHeight="251698176" behindDoc="1" locked="0" layoutInCell="1" allowOverlap="1" wp14:anchorId="3A13035D" wp14:editId="24E6AF00">
                <wp:simplePos x="0" y="0"/>
                <wp:positionH relativeFrom="margin">
                  <wp:posOffset>3359543</wp:posOffset>
                </wp:positionH>
                <wp:positionV relativeFrom="paragraph">
                  <wp:posOffset>1183005</wp:posOffset>
                </wp:positionV>
                <wp:extent cx="2545080" cy="914400"/>
                <wp:effectExtent l="0" t="0" r="26670" b="19050"/>
                <wp:wrapTight wrapText="bothSides">
                  <wp:wrapPolygon edited="0">
                    <wp:start x="0" y="0"/>
                    <wp:lineTo x="0" y="21600"/>
                    <wp:lineTo x="21665" y="21600"/>
                    <wp:lineTo x="21665" y="0"/>
                    <wp:lineTo x="0" y="0"/>
                  </wp:wrapPolygon>
                </wp:wrapTight>
                <wp:docPr id="324790683"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45080" cy="914400"/>
                        </a:xfrm>
                        <a:prstGeom prst="rect">
                          <a:avLst/>
                        </a:prstGeom>
                        <a:solidFill>
                          <a:srgbClr val="4472C4">
                            <a:lumMod val="50000"/>
                          </a:srgbClr>
                        </a:solidFill>
                        <a:ln w="9525">
                          <a:solidFill>
                            <a:srgbClr val="000000"/>
                          </a:solidFill>
                          <a:miter lim="800000"/>
                        </a:ln>
                      </wps:spPr>
                      <wps:txbx>
                        <w:txbxContent>
                          <w:p w14:paraId="181D6E5E" w14:textId="77777777" w:rsidR="00EA5678" w:rsidRPr="00F77EBB" w:rsidRDefault="00215138" w:rsidP="00F77EBB">
                            <w:pPr>
                              <w:spacing w:afterLines="50" w:after="120" w:line="340" w:lineRule="atLeast"/>
                              <w:jc w:val="center"/>
                              <w:rPr>
                                <w:rFonts w:hAnsi="SimSun"/>
                              </w:rPr>
                            </w:pPr>
                            <w:r w:rsidRPr="00F77EBB">
                              <w:rPr>
                                <w:rFonts w:hAnsi="SimSun"/>
                              </w:rPr>
                              <w:t>“产权组织的这项工作非常出色（与中小企业和其他行为体的合作）”</w:t>
                            </w:r>
                          </w:p>
                          <w:p w14:paraId="3C1FC6E5" w14:textId="77777777" w:rsidR="00EA5678" w:rsidRPr="00F77EBB" w:rsidRDefault="00215138" w:rsidP="00F77EBB">
                            <w:pPr>
                              <w:spacing w:afterLines="50" w:after="120" w:line="340" w:lineRule="atLeast"/>
                              <w:jc w:val="center"/>
                              <w:rPr>
                                <w:rFonts w:hAnsi="SimSun"/>
                              </w:rPr>
                            </w:pPr>
                            <w:r w:rsidRPr="00F77EBB">
                              <w:rPr>
                                <w:rFonts w:hAnsi="SimSun"/>
                              </w:rPr>
                              <w:t>产权组织的合作伙伴</w:t>
                            </w: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3A13035D" id="_x0000_s1064" type="#_x0000_t202" style="position:absolute;left:0;text-align:left;margin-left:264.55pt;margin-top:93.15pt;width:200.4pt;height:1in;z-index:-251618304;visibility:visible;mso-wrap-style:square;mso-height-percent:0;mso-wrap-distance-left:9pt;mso-wrap-distance-top:3.6pt;mso-wrap-distance-right:9pt;mso-wrap-distance-bottom:3.6pt;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" fillcolor="#203864">
                <v:textbox>
                  <w:txbxContent>
                    <w:p w14:paraId="181D6E5E" w14:textId="77777777" w:rsidR="00EA5678" w:rsidRPr="00F77EBB" w:rsidRDefault="00215138" w:rsidP="00F77EBB">
                      <w:pPr>
                        <w:spacing w:afterLines="50" w:after="120" w:line="340" w:lineRule="atLeast"/>
                        <w:jc w:val="center"/>
                        <w:rPr>
                          <w:rFonts w:hAnsi="SimSun"/>
                        </w:rPr>
                      </w:pPr>
                      <w:r w:rsidRPr="00F77EBB">
                        <w:rPr>
                          <w:rFonts w:hAnsi="SimSun"/>
                        </w:rPr>
                        <w:t>“产权组织的这项工作非常出色（与中小企业和其他行为体的合作）”</w:t>
                      </w:r>
                    </w:p>
                    <w:p w14:paraId="3C1FC6E5" w14:textId="77777777" w:rsidR="00EA5678" w:rsidRPr="00F77EBB" w:rsidRDefault="00215138" w:rsidP="00F77EBB">
                      <w:pPr>
                        <w:spacing w:afterLines="50" w:after="120" w:line="340" w:lineRule="atLeast"/>
                        <w:jc w:val="center"/>
                        <w:rPr>
                          <w:rFonts w:hAnsi="SimSun"/>
                        </w:rPr>
                      </w:pPr>
                      <w:r w:rsidRPr="00F77EBB">
                        <w:rPr>
                          <w:rFonts w:hAnsi="SimSun"/>
                        </w:rPr>
                        <w:t>产权组织的合作伙伴</w:t>
                      </w:r>
                    </w:p>
                  </w:txbxContent>
                </v:textbox>
                <w10:wrap type="tight" anchorx="margin"/>
              </v:shape>
            </w:pict>
          </mc:Fallback>
        </mc:AlternateContent>
      </w:r>
      <w:r w:rsidRPr="00E23D52">
        <w:rPr>
          <w:rFonts w:ascii="KaiTi" w:eastAsia="KaiTi" w:hAnsi="KaiTi" w:cs="Arial" w:hint="eastAsia"/>
          <w:iCs/>
        </w:rPr>
        <w:t>在审查期间，产权组织与联合国各机构、区域组织和民间社会组织合作。这种更广泛的参与是产权组织当前发展方向的一部分，其结果也是通过了一项伙伴关系战略。</w:t>
      </w:r>
      <w:r w:rsidRPr="00E775A9">
        <w:rPr>
          <w:rFonts w:hAnsi="SimSun" w:cs="Arial" w:hint="eastAsia"/>
        </w:rPr>
        <w:t>这也是2011年审查提出的要求。总的来说，用一位受访的合作伙伴的话来说，产权组织现在对与其他组织合作持非常开放的态度。产权组织和其他联合国机构之间的关系使双方在共同关心的领域发挥了协同作用。一个良好范例是与联合国世旅组织的关系，2021年发布了</w:t>
      </w:r>
      <w:r>
        <w:rPr>
          <w:rFonts w:hAnsi="SimSun" w:cs="SimSun" w:hint="eastAsia"/>
        </w:rPr>
        <w:t>出版物“知识产权助推旅游业发展”，这是该领域的一份重要文件。知识产权在旅游领域并不太为人所知，该出版物有助于确定加强旅游业和造福当地社区的方法。另一个伙伴关系的例子是在“非洲大学、研究和发展机构有效利用知识产权制度的知识产权政策和战略制定指南”项目框架</w:t>
      </w:r>
      <w:r w:rsidRPr="00E775A9">
        <w:rPr>
          <w:rFonts w:hAnsi="SimSun" w:cs="Arial" w:hint="eastAsia"/>
        </w:rPr>
        <w:t>内与ARIPO建立的伙伴关系。这项工作于2017年启动并完成，最终ARIPO成员国通过了该指南。有了经批准的指南，非洲的若干所大学在制定机构知识产权政策方面得到了支持。</w:t>
      </w:r>
    </w:p>
    <w:p w14:paraId="48118B5A" w14:textId="77777777" w:rsidR="00EA5678" w:rsidRPr="00E775A9" w:rsidRDefault="00215138" w:rsidP="00C259B0">
      <w:pPr>
        <w:pStyle w:val="ListParagraph"/>
        <w:numPr>
          <w:ilvl w:val="0"/>
          <w:numId w:val="3"/>
        </w:numPr>
        <w:spacing w:after="120"/>
        <w:ind w:left="0" w:firstLine="0"/>
        <w:rPr>
          <w:rFonts w:hAnsi="SimSun" w:cs="Arial"/>
        </w:rPr>
      </w:pPr>
      <w:r>
        <w:rPr>
          <w:rFonts w:ascii="Arial" w:hAnsi="Arial" w:cs="Arial" w:hint="eastAsia"/>
          <w:i/>
          <w:iCs/>
          <w:noProof/>
        </w:rPr>
        <mc:AlternateContent>
          <mc:Choice Requires="wps">
            <w:drawing>
              <wp:anchor distT="45720" distB="45720" distL="114300" distR="114300" simplePos="0" relativeHeight="251699200" behindDoc="0" locked="0" layoutInCell="1" allowOverlap="1" wp14:anchorId="4A19EB7B" wp14:editId="60557145">
                <wp:simplePos x="0" y="0"/>
                <wp:positionH relativeFrom="margin">
                  <wp:posOffset>3242945</wp:posOffset>
                </wp:positionH>
                <wp:positionV relativeFrom="paragraph">
                  <wp:posOffset>741680</wp:posOffset>
                </wp:positionV>
                <wp:extent cx="2659380" cy="1870710"/>
                <wp:effectExtent l="0" t="0" r="7620" b="0"/>
                <wp:wrapSquare wrapText="bothSides"/>
                <wp:docPr id="2092745772"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9380" cy="1870710"/>
                        </a:xfrm>
                        <a:prstGeom prst="rect">
                          <a:avLst/>
                        </a:prstGeom>
                        <a:solidFill>
                          <a:srgbClr val="FFC000">
                            <a:lumMod val="60000"/>
                            <a:lumOff val="40000"/>
                          </a:srgbClr>
                        </a:solidFill>
                        <a:ln w="9525">
                          <a:noFill/>
                          <a:miter lim="800000"/>
                        </a:ln>
                      </wps:spPr>
                      <wps:txbx>
                        <w:txbxContent>
                          <w:p w14:paraId="5C4940E4" w14:textId="4E5FEBA0" w:rsidR="00EA5678" w:rsidRDefault="00215138" w:rsidP="00F77EBB">
                            <w:pPr>
                              <w:spacing w:afterLines="50" w:after="120" w:line="340" w:lineRule="atLeast"/>
                              <w:jc w:val="both"/>
                            </w:pPr>
                            <w:bookmarkStart w:id="435" w:name="_Hlk174544495"/>
                            <w:bookmarkStart w:id="436" w:name="_Hlk174544494"/>
                            <w:r>
                              <w:t>审查结果27：产权组织与联合国机构、民间社会组织和区域组织成功开展了合作，在不同领域创造了价值，并将知识产权与发展联系起来。挑战在于使可用信息更容易浏览。浏览产权组织网站查找相关数据并不总是那么容易。此外，还需要对联合培训活动的实施进行微调。</w:t>
                            </w:r>
                            <w:bookmarkEnd w:id="435"/>
                            <w:bookmarkEnd w:id="436"/>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4A19EB7B" id="_x0000_s1065" type="#_x0000_t202" style="position:absolute;left:0;text-align:left;margin-left:255.35pt;margin-top:58.4pt;width:209.4pt;height:147.3pt;z-index:251699200;visibility:visible;mso-wrap-style:square;mso-height-percent:0;mso-wrap-distance-left:9pt;mso-wrap-distance-top:3.6pt;mso-wrap-distance-right:9pt;mso-wrap-distance-bottom:3.6pt;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" fillcolor="#ffd966" stroked="f">
                <v:textbox>
                  <w:txbxContent>
                    <w:p w14:paraId="5C4940E4" w14:textId="4E5FEBA0" w:rsidR="00EA5678" w:rsidRDefault="00215138" w:rsidP="00F77EBB">
                      <w:pPr>
                        <w:spacing w:afterLines="50" w:after="120" w:line="340" w:lineRule="atLeast"/>
                        <w:jc w:val="both"/>
                      </w:pPr>
                      <w:bookmarkStart w:id="481" w:name="_Hlk174544495"/>
                      <w:bookmarkStart w:id="482" w:name="_Hlk174544494"/>
                      <w:r>
                        <w:t>审查结果27：产权组织与联合国机构、民间社会组织和区域组织成功开展了合作，在不同领域创造了价值，并将知识产权与发展联系起来。挑战在于使可用信息更容易浏览。浏览产权组织网站查找相关数据并不总是那么容易。此外，还需要对联合培训活动的实施进行微调。</w:t>
                      </w:r>
                      <w:bookmarkEnd w:id="481"/>
                      <w:bookmarkEnd w:id="482"/>
                    </w:p>
                  </w:txbxContent>
                </v:textbox>
                <w10:wrap type="square" anchorx="margin"/>
              </v:shape>
            </w:pict>
          </mc:Fallback>
        </mc:AlternateContent>
      </w:r>
      <w:r w:rsidRPr="00E23D52">
        <w:rPr>
          <w:rFonts w:ascii="KaiTi" w:eastAsia="KaiTi" w:hAnsi="KaiTi" w:cs="Arial" w:hint="eastAsia"/>
          <w:iCs/>
        </w:rPr>
        <w:t>审查确定了与国际复制权组织联合会（IFRRO）针对非洲集体管理组织的成功合作</w:t>
      </w:r>
      <w:r w:rsidRPr="00E775A9">
        <w:rPr>
          <w:rFonts w:hAnsi="SimSun" w:cs="Arial" w:hint="eastAsia"/>
        </w:rPr>
        <w:t>。在这种伙伴关系中，顾问费用由双方分摊，两个组织与成员国合作，向集体管理组织（CMO）提供技术援助。这是一次成功的经验，但没有得到足够的宣传。自2017年以来，产权组织-IFRRO联合项目在非洲</w:t>
      </w:r>
      <w:r w:rsidRPr="00E23D52">
        <w:rPr>
          <w:rFonts w:ascii="KaiTi" w:eastAsia="KaiTi" w:hAnsi="KaiTi" w:cs="Arial" w:hint="eastAsia"/>
        </w:rPr>
        <w:t>取得的成就包括：a）布基纳法索</w:t>
      </w:r>
      <w:r w:rsidRPr="00E23D52">
        <w:rPr>
          <w:rFonts w:ascii="KaiTi" w:eastAsia="KaiTi" w:hAnsi="KaiTi" w:cs="Arial" w:hint="eastAsia"/>
          <w:iCs/>
        </w:rPr>
        <w:t>、斯威士兰、摩洛哥和尼日利亚</w:t>
      </w:r>
      <w:r w:rsidRPr="00E775A9">
        <w:rPr>
          <w:rFonts w:hAnsi="SimSun" w:cs="Arial" w:hint="eastAsia"/>
        </w:rPr>
        <w:t>修改了版权法，纳入了关于文本和图像作品集体管理的规定；b）</w:t>
      </w:r>
      <w:r w:rsidRPr="00E23D52">
        <w:rPr>
          <w:rFonts w:ascii="KaiTi" w:eastAsia="KaiTi" w:hAnsi="KaiTi" w:cs="Arial" w:hint="eastAsia"/>
          <w:iCs/>
        </w:rPr>
        <w:t>布基纳法索、科特迪瓦、马达加斯加、摩洛哥、尼日利亚、塞内加尔和突尼斯</w:t>
      </w:r>
      <w:r w:rsidRPr="00E775A9">
        <w:rPr>
          <w:rFonts w:hAnsi="SimSun" w:cs="Arial" w:hint="eastAsia"/>
        </w:rPr>
        <w:t>颁布法律，落实文字和图像作品作者和出版商的报酬规定；c）除</w:t>
      </w:r>
      <w:r w:rsidRPr="00E23D52">
        <w:rPr>
          <w:rFonts w:ascii="KaiTi" w:eastAsia="KaiTi" w:hAnsi="KaiTi" w:cs="Arial" w:hint="eastAsia"/>
          <w:iCs/>
        </w:rPr>
        <w:t>加纳、马拉维和南非</w:t>
      </w:r>
      <w:r w:rsidRPr="00E775A9">
        <w:rPr>
          <w:rFonts w:hAnsi="SimSun" w:cs="Arial" w:hint="eastAsia"/>
        </w:rPr>
        <w:t>外，</w:t>
      </w:r>
      <w:r w:rsidRPr="00E23D52">
        <w:rPr>
          <w:rFonts w:ascii="KaiTi" w:eastAsia="KaiTi" w:hAnsi="KaiTi" w:cs="Arial" w:hint="eastAsia"/>
        </w:rPr>
        <w:t>博茨瓦纳、</w:t>
      </w:r>
      <w:r w:rsidRPr="00E23D52">
        <w:rPr>
          <w:rFonts w:ascii="KaiTi" w:eastAsia="KaiTi" w:hAnsi="KaiTi" w:cs="Arial" w:hint="eastAsia"/>
          <w:iCs/>
        </w:rPr>
        <w:t>布基纳法索</w:t>
      </w:r>
      <w:r w:rsidRPr="00E23D52">
        <w:rPr>
          <w:rFonts w:ascii="KaiTi" w:eastAsia="KaiTi" w:hAnsi="KaiTi" w:cs="Arial" w:hint="eastAsia"/>
        </w:rPr>
        <w:t>、喀麦隆、赞比亚和</w:t>
      </w:r>
      <w:r w:rsidRPr="00E23D52">
        <w:rPr>
          <w:rFonts w:ascii="KaiTi" w:eastAsia="KaiTi" w:hAnsi="KaiTi" w:cs="Arial" w:hint="eastAsia"/>
          <w:iCs/>
        </w:rPr>
        <w:t>桑给巴尔</w:t>
      </w:r>
      <w:r w:rsidRPr="00E775A9">
        <w:rPr>
          <w:rFonts w:hAnsi="SimSun" w:cs="Arial" w:hint="eastAsia"/>
        </w:rPr>
        <w:t>建立了复印许可初创企业；d）</w:t>
      </w:r>
      <w:r w:rsidRPr="00E23D52">
        <w:rPr>
          <w:rFonts w:ascii="KaiTi" w:eastAsia="KaiTi" w:hAnsi="KaiTi" w:cs="Arial" w:hint="eastAsia"/>
          <w:iCs/>
        </w:rPr>
        <w:t>突尼斯</w:t>
      </w:r>
      <w:r w:rsidRPr="00E775A9">
        <w:rPr>
          <w:rFonts w:hAnsi="SimSun" w:cs="Arial" w:hint="eastAsia"/>
        </w:rPr>
        <w:t>签署了阿拉伯语国家首个复印许可；e）</w:t>
      </w:r>
      <w:r w:rsidRPr="00E23D52">
        <w:rPr>
          <w:rFonts w:ascii="KaiTi" w:eastAsia="KaiTi" w:hAnsi="KaiTi" w:cs="Arial" w:hint="eastAsia"/>
          <w:iCs/>
        </w:rPr>
        <w:t>阿尔及利亚、布基纳法索、喀麦隆、加纳、马拉维、南非、博茨瓦纳、科特迪瓦、摩洛哥、赞比亚和桑给巴尔</w:t>
      </w:r>
      <w:r w:rsidRPr="00E775A9">
        <w:rPr>
          <w:rFonts w:hAnsi="SimSun" w:cs="Arial" w:hint="eastAsia"/>
        </w:rPr>
        <w:t>开始收取复印费；f）在</w:t>
      </w:r>
      <w:r w:rsidRPr="00E23D52">
        <w:rPr>
          <w:rFonts w:ascii="KaiTi" w:eastAsia="KaiTi" w:hAnsi="KaiTi" w:cs="Arial" w:hint="eastAsia"/>
        </w:rPr>
        <w:t>尼日利亚</w:t>
      </w:r>
      <w:r w:rsidRPr="00E23D52">
        <w:rPr>
          <w:rFonts w:ascii="KaiTi" w:eastAsia="KaiTi" w:hAnsi="KaiTi" w:cs="Arial" w:hint="eastAsia"/>
          <w:iCs/>
        </w:rPr>
        <w:t>、科特迪瓦</w:t>
      </w:r>
      <w:r w:rsidRPr="00E23D52">
        <w:rPr>
          <w:rFonts w:ascii="KaiTi" w:eastAsia="KaiTi" w:hAnsi="KaiTi" w:cs="Arial" w:hint="eastAsia"/>
        </w:rPr>
        <w:t>和</w:t>
      </w:r>
      <w:r w:rsidRPr="00E23D52">
        <w:rPr>
          <w:rFonts w:ascii="KaiTi" w:eastAsia="KaiTi" w:hAnsi="KaiTi" w:cs="Arial" w:hint="eastAsia"/>
          <w:iCs/>
        </w:rPr>
        <w:t>塞内加尔</w:t>
      </w:r>
      <w:r w:rsidRPr="00E775A9">
        <w:rPr>
          <w:rFonts w:hAnsi="SimSun" w:cs="Arial" w:hint="eastAsia"/>
        </w:rPr>
        <w:t>启动了关于教育领域复制许可的谈判；g）在</w:t>
      </w:r>
      <w:r w:rsidRPr="00E23D52">
        <w:rPr>
          <w:rFonts w:ascii="KaiTi" w:eastAsia="KaiTi" w:hAnsi="KaiTi" w:cs="Arial" w:hint="eastAsia"/>
        </w:rPr>
        <w:t>几内亚比绍</w:t>
      </w:r>
      <w:r w:rsidRPr="00E23D52">
        <w:rPr>
          <w:rFonts w:ascii="KaiTi" w:eastAsia="KaiTi" w:hAnsi="KaiTi" w:cs="Arial" w:hint="eastAsia"/>
          <w:iCs/>
        </w:rPr>
        <w:t>、莱索托</w:t>
      </w:r>
      <w:r w:rsidRPr="00E23D52">
        <w:rPr>
          <w:rFonts w:ascii="KaiTi" w:eastAsia="KaiTi" w:hAnsi="KaiTi" w:cs="Arial" w:hint="eastAsia"/>
        </w:rPr>
        <w:t>、纳米比亚、尼日尔和津巴布韦</w:t>
      </w:r>
      <w:r w:rsidRPr="00E775A9">
        <w:rPr>
          <w:rFonts w:hAnsi="SimSun" w:cs="Arial" w:hint="eastAsia"/>
        </w:rPr>
        <w:t>建立了新的CMO/多用途CMO，以管理文本和图像作品库。这一成功基于几个关键因素：产权组织与成员国的良好关系，再加上产权组织与IFRRO之间通过谅解备忘录建立的长期合作关系</w:t>
      </w:r>
      <w:r>
        <w:rPr>
          <w:rFonts w:hAnsi="SimSun" w:cs="SimSun" w:hint="eastAsia"/>
        </w:rPr>
        <w:t>——</w:t>
      </w:r>
      <w:r w:rsidRPr="00E775A9">
        <w:rPr>
          <w:rFonts w:hAnsi="SimSun" w:cs="Arial" w:hint="eastAsia"/>
        </w:rPr>
        <w:t>IFRRO在集体管理方面强大的全球影响力和从业人员的技术专长，为这种合作提供了一个稳定的平台，使其得以建立并逐步发展，由于第一批项目的成功，应会员国的要求，这些项目得到了大幅扩展。该举措的下一步可能包括更好地沟通举措的结果，并分享项目经验教训。</w:t>
      </w:r>
    </w:p>
    <w:p w14:paraId="641BE9D7" w14:textId="77777777" w:rsidR="00EA5678" w:rsidRPr="00E775A9" w:rsidRDefault="00215138" w:rsidP="00C259B0">
      <w:pPr>
        <w:pStyle w:val="ListParagraph"/>
        <w:numPr>
          <w:ilvl w:val="0"/>
          <w:numId w:val="3"/>
        </w:numPr>
        <w:spacing w:after="120"/>
        <w:ind w:left="0" w:firstLine="0"/>
        <w:rPr>
          <w:rFonts w:hAnsi="SimSun" w:cs="Arial"/>
        </w:rPr>
      </w:pPr>
      <w:r>
        <w:rPr>
          <w:rFonts w:ascii="Arial" w:hAnsi="Arial" w:cs="Arial" w:hint="eastAsia"/>
          <w:noProof/>
        </w:rPr>
        <mc:AlternateContent>
          <mc:Choice Requires="wps">
            <w:drawing>
              <wp:anchor distT="45720" distB="45720" distL="114300" distR="114300" simplePos="0" relativeHeight="251697152" behindDoc="0" locked="0" layoutInCell="1" allowOverlap="1" wp14:anchorId="41C9DD0C" wp14:editId="5711FDCF">
                <wp:simplePos x="0" y="0"/>
                <wp:positionH relativeFrom="column">
                  <wp:posOffset>3568663</wp:posOffset>
                </wp:positionH>
                <wp:positionV relativeFrom="paragraph">
                  <wp:posOffset>519430</wp:posOffset>
                </wp:positionV>
                <wp:extent cx="2360930" cy="1404620"/>
                <wp:effectExtent l="0" t="0" r="12700" b="20320"/>
                <wp:wrapSquare wrapText="bothSides"/>
                <wp:docPr id="808271160"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002060"/>
                        </a:solidFill>
                        <a:ln w="9525">
                          <a:solidFill>
                            <a:srgbClr val="000000"/>
                          </a:solidFill>
                          <a:miter lim="800000"/>
                        </a:ln>
                      </wps:spPr>
                      <wps:txbx>
                        <w:txbxContent>
                          <w:p w14:paraId="434ABB1E" w14:textId="77777777" w:rsidR="00EA5678" w:rsidRPr="00F77EBB" w:rsidRDefault="00215138" w:rsidP="00F77EBB">
                            <w:pPr>
                              <w:spacing w:afterLines="50" w:after="120" w:line="340" w:lineRule="atLeast"/>
                              <w:jc w:val="center"/>
                              <w:rPr>
                                <w:rFonts w:hAnsi="SimSun"/>
                              </w:rPr>
                            </w:pPr>
                            <w:r w:rsidRPr="00F77EBB">
                              <w:rPr>
                                <w:rFonts w:hAnsi="SimSun"/>
                              </w:rPr>
                              <w:t>“产权组织是一个庞大的组织。不容易了解。”</w:t>
                            </w:r>
                          </w:p>
                          <w:p w14:paraId="24F9360F" w14:textId="77777777" w:rsidR="00EA5678" w:rsidRPr="00F77EBB" w:rsidRDefault="00215138" w:rsidP="00F77EBB">
                            <w:pPr>
                              <w:spacing w:afterLines="50" w:after="120" w:line="340" w:lineRule="atLeast"/>
                              <w:jc w:val="center"/>
                              <w:rPr>
                                <w:rFonts w:hAnsi="SimSun"/>
                              </w:rPr>
                            </w:pPr>
                            <w:r w:rsidRPr="00F77EBB">
                              <w:rPr>
                                <w:rFonts w:hAnsi="SimSun"/>
                              </w:rPr>
                              <w:t>成员国</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41C9DD0C" id="_x0000_s1066" type="#_x0000_t202" style="position:absolute;left:0;text-align:left;margin-left:281pt;margin-top:40.9pt;width:185.9pt;height:110.6pt;z-index:25169715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" fillcolor="#002060">
                <v:textbox style="mso-fit-shape-to-text:t">
                  <w:txbxContent>
                    <w:p w14:paraId="434ABB1E" w14:textId="77777777" w:rsidR="00EA5678" w:rsidRPr="00F77EBB" w:rsidRDefault="00215138" w:rsidP="00F77EBB">
                      <w:pPr>
                        <w:spacing w:afterLines="50" w:after="120" w:line="340" w:lineRule="atLeast"/>
                        <w:jc w:val="center"/>
                        <w:rPr>
                          <w:rFonts w:hAnsi="SimSun"/>
                        </w:rPr>
                      </w:pPr>
                      <w:r w:rsidRPr="00F77EBB">
                        <w:rPr>
                          <w:rFonts w:hAnsi="SimSun"/>
                        </w:rPr>
                        <w:t>“产权组织是一个庞大的组织。不容易了解。”</w:t>
                      </w:r>
                    </w:p>
                    <w:p w14:paraId="24F9360F" w14:textId="77777777" w:rsidR="00EA5678" w:rsidRPr="00F77EBB" w:rsidRDefault="00215138" w:rsidP="00F77EBB">
                      <w:pPr>
                        <w:spacing w:afterLines="50" w:after="120" w:line="340" w:lineRule="atLeast"/>
                        <w:jc w:val="center"/>
                        <w:rPr>
                          <w:rFonts w:hAnsi="SimSun"/>
                        </w:rPr>
                      </w:pPr>
                      <w:r w:rsidRPr="00F77EBB">
                        <w:rPr>
                          <w:rFonts w:hAnsi="SimSun"/>
                        </w:rPr>
                        <w:t>成员国</w:t>
                      </w:r>
                    </w:p>
                  </w:txbxContent>
                </v:textbox>
                <w10:wrap type="square"/>
              </v:shape>
            </w:pict>
          </mc:Fallback>
        </mc:AlternateContent>
      </w:r>
      <w:r w:rsidRPr="00E775A9">
        <w:rPr>
          <w:rFonts w:hAnsi="SimSun" w:cs="Arial" w:hint="eastAsia"/>
        </w:rPr>
        <w:t>这些伙伴关系中发现的挑战包括：a）在两个不同的联合国机构之间开展工作所涉及的官僚作风；b）鉴于产权组织和伙伴组织的其他优先事项，项目在一段时间内的持续性；c）缺乏对所取得成果的沟通；d）需要公共演讲和参与技能，以提高产权组织工作人员提供技术援助的能力；e）向利益攸关方提供的信息不明确</w:t>
      </w:r>
      <w:r>
        <w:rPr>
          <w:rFonts w:hAnsi="SimSun" w:cs="SimSun" w:hint="eastAsia"/>
        </w:rPr>
        <w:t>——</w:t>
      </w:r>
      <w:r w:rsidRPr="00E775A9">
        <w:rPr>
          <w:rFonts w:hAnsi="SimSun" w:cs="Arial" w:hint="eastAsia"/>
        </w:rPr>
        <w:t>确定产权组织需要更好地向其他利益攸关方传播信息；f）将知识产权与更广泛的发展问题联系起来。一位合作伙伴表示，缺乏帮助各国利用知识产权促进发展的数据。外部行为体不容易清楚地了解产权组织必须提供什么（包括成员国和民间社会组织），因为产权组织很复杂，所提供的信息并不总是清晰易懂。</w:t>
      </w:r>
    </w:p>
    <w:p w14:paraId="1DE6B765" w14:textId="192936FB" w:rsidR="00EA5678" w:rsidRPr="00A23549" w:rsidRDefault="00166CB3" w:rsidP="00166CB3">
      <w:pPr>
        <w:pStyle w:val="Heading1"/>
        <w:spacing w:before="240" w:after="120"/>
        <w:rPr>
          <w:rFonts w:cstheme="majorBidi"/>
        </w:rPr>
      </w:pPr>
      <w:bookmarkStart w:id="437" w:name="_Toc177147185"/>
      <w:bookmarkStart w:id="438" w:name="_Toc177325899"/>
      <w:bookmarkStart w:id="439" w:name="_Toc177325514"/>
      <w:bookmarkStart w:id="440" w:name="_Toc177324774"/>
      <w:bookmarkStart w:id="441" w:name="_Toc177148449"/>
      <w:bookmarkStart w:id="442" w:name="_Toc177325410"/>
      <w:bookmarkStart w:id="443" w:name="_Toc177325355"/>
      <w:bookmarkStart w:id="444" w:name="_Toc177324935"/>
      <w:bookmarkStart w:id="445" w:name="_Toc177323228"/>
      <w:bookmarkStart w:id="446" w:name="_Toc177325411"/>
      <w:bookmarkStart w:id="447" w:name="_Toc177148448"/>
      <w:bookmarkStart w:id="448" w:name="_Toc177325570"/>
      <w:bookmarkStart w:id="449" w:name="_Toc177147539"/>
      <w:bookmarkStart w:id="450" w:name="_Toc177325093"/>
      <w:bookmarkStart w:id="451" w:name="_Toc177147540"/>
      <w:bookmarkStart w:id="452" w:name="_Toc177324933"/>
      <w:bookmarkStart w:id="453" w:name="_Toc177324776"/>
      <w:bookmarkStart w:id="454" w:name="_Toc177325569"/>
      <w:bookmarkStart w:id="455" w:name="_Toc177325900"/>
      <w:bookmarkStart w:id="456" w:name="_Toc177325901"/>
      <w:bookmarkStart w:id="457" w:name="_Toc177324775"/>
      <w:bookmarkStart w:id="458" w:name="_Toc177151951"/>
      <w:bookmarkStart w:id="459" w:name="_Toc177147339"/>
      <w:bookmarkStart w:id="460" w:name="_Toc177147538"/>
      <w:bookmarkStart w:id="461" w:name="_Toc177147082"/>
      <w:bookmarkStart w:id="462" w:name="_Toc177324879"/>
      <w:bookmarkStart w:id="463" w:name="_Toc177147236"/>
      <w:bookmarkStart w:id="464" w:name="_Toc177148447"/>
      <w:bookmarkStart w:id="465" w:name="_Toc177147491"/>
      <w:bookmarkStart w:id="466" w:name="_Toc177325412"/>
      <w:bookmarkStart w:id="467" w:name="_Toc177325736"/>
      <w:bookmarkStart w:id="468" w:name="_Toc177325252"/>
      <w:bookmarkStart w:id="469" w:name="_Toc177326003"/>
      <w:bookmarkStart w:id="470" w:name="_Toc177325197"/>
      <w:bookmarkStart w:id="471" w:name="_Toc177325674"/>
      <w:bookmarkStart w:id="472" w:name="_Toc177324878"/>
      <w:bookmarkStart w:id="473" w:name="_Toc177323124"/>
      <w:bookmarkStart w:id="474" w:name="_Toc177147237"/>
      <w:bookmarkStart w:id="475" w:name="_Toc177325838"/>
      <w:bookmarkStart w:id="476" w:name="_Toc177325734"/>
      <w:bookmarkStart w:id="477" w:name="_Toc177147186"/>
      <w:bookmarkStart w:id="478" w:name="_Toc177325092"/>
      <w:bookmarkStart w:id="479" w:name="_Toc177152056"/>
      <w:bookmarkStart w:id="480" w:name="_Toc177325735"/>
      <w:bookmarkStart w:id="481" w:name="_Toc177147340"/>
      <w:bookmarkStart w:id="482" w:name="_Toc177147388"/>
      <w:bookmarkStart w:id="483" w:name="_Toc177151952"/>
      <w:bookmarkStart w:id="484" w:name="_Toc177325673"/>
      <w:bookmarkStart w:id="485" w:name="_Toc177325038"/>
      <w:bookmarkStart w:id="486" w:name="_Toc177151953"/>
      <w:bookmarkStart w:id="487" w:name="_Toc177147389"/>
      <w:bookmarkStart w:id="488" w:name="_Toc177148551"/>
      <w:bookmarkStart w:id="489" w:name="_Toc177147235"/>
      <w:bookmarkStart w:id="490" w:name="_Toc177147642"/>
      <w:bookmarkStart w:id="491" w:name="_Toc177147387"/>
      <w:bookmarkStart w:id="492" w:name="_Toc177323125"/>
      <w:bookmarkStart w:id="493" w:name="_Toc177325253"/>
      <w:bookmarkStart w:id="494" w:name="_Toc177147081"/>
      <w:bookmarkStart w:id="495" w:name="_Toc177324934"/>
      <w:bookmarkStart w:id="496" w:name="_Toc177325571"/>
      <w:bookmarkStart w:id="497" w:name="_Toc177152055"/>
      <w:bookmarkStart w:id="498" w:name="_Toc177325356"/>
      <w:bookmarkStart w:id="499" w:name="_Toc177325251"/>
      <w:bookmarkStart w:id="500" w:name="_Toc177325094"/>
      <w:bookmarkStart w:id="501" w:name="_Toc177326004"/>
      <w:bookmarkStart w:id="502" w:name="_Toc177323229"/>
      <w:bookmarkStart w:id="503" w:name="_Toc177147643"/>
      <w:bookmarkStart w:id="504" w:name="_Toc177325515"/>
      <w:bookmarkStart w:id="505" w:name="_Toc177147492"/>
      <w:bookmarkStart w:id="506" w:name="_Toc177325196"/>
      <w:bookmarkStart w:id="507" w:name="_Toc177323126"/>
      <w:bookmarkStart w:id="508" w:name="_Toc177147083"/>
      <w:bookmarkStart w:id="509" w:name="_Toc177325839"/>
      <w:bookmarkStart w:id="510" w:name="_Toc177148552"/>
      <w:bookmarkStart w:id="511" w:name="_Toc177325037"/>
      <w:bookmarkStart w:id="512" w:name="_Toc181695803"/>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r w:rsidRPr="00A23549">
        <w:rPr>
          <w:rFonts w:cstheme="majorBidi" w:hint="eastAsia"/>
        </w:rPr>
        <w:t>5.</w:t>
      </w:r>
      <w:r w:rsidRPr="00A23549">
        <w:rPr>
          <w:rFonts w:cstheme="majorBidi"/>
        </w:rPr>
        <w:tab/>
      </w:r>
      <w:r w:rsidR="00215138" w:rsidRPr="00A23549">
        <w:rPr>
          <w:rFonts w:cstheme="majorBidi" w:hint="eastAsia"/>
        </w:rPr>
        <w:t>经验教训</w:t>
      </w:r>
      <w:bookmarkEnd w:id="512"/>
    </w:p>
    <w:p w14:paraId="371672D0"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根据对2017年至2022年期间产权组织技术援助的审查，得出了若干经验教训，可供今后在类似情况下采取干预措施时借鉴。这些经验教训基于审查中提出的具体证据，适用于加强未来技术援助计划的设计、实施和可持续性。</w:t>
      </w:r>
    </w:p>
    <w:p w14:paraId="733F5639" w14:textId="77777777" w:rsidR="00EA5678" w:rsidRPr="00E23D52" w:rsidRDefault="00215138" w:rsidP="00F77EBB">
      <w:pPr>
        <w:keepNext/>
        <w:overflowPunct w:val="0"/>
        <w:spacing w:afterLines="50" w:after="120" w:line="340" w:lineRule="atLeast"/>
        <w:rPr>
          <w:rFonts w:ascii="KaiTi" w:eastAsia="KaiTi" w:hAnsi="KaiTi" w:cs="Arial"/>
          <w:iCs/>
        </w:rPr>
      </w:pPr>
      <w:r w:rsidRPr="00E23D52">
        <w:rPr>
          <w:rFonts w:ascii="KaiTi" w:eastAsia="KaiTi" w:hAnsi="KaiTi" w:cs="Arial" w:hint="eastAsia"/>
          <w:iCs/>
        </w:rPr>
        <w:t>1.当地专业知识和自主权的重要性</w:t>
      </w:r>
    </w:p>
    <w:p w14:paraId="5FDBBF8B"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经验教训：国家顾问和当地利益攸关方参与项目的设计和实施对于积累足够数量的专业知识和确保干预措施的可持续性至关重要。</w:t>
      </w:r>
    </w:p>
    <w:p w14:paraId="0C5014A3"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证据：审查强调，国家顾问在使产权组织的技术援助适应当地情况方面发挥了重要作用，这不仅增强了干预措施的相关性，还确保了知识和技能在当地得到保留。这种方法培养了主人翁意识，使当地机构有能力在项目结束后继续独立开展工作。</w:t>
      </w:r>
    </w:p>
    <w:p w14:paraId="77345C38" w14:textId="77777777" w:rsidR="00EA5678" w:rsidRPr="00E23D52" w:rsidRDefault="00215138" w:rsidP="00F77EBB">
      <w:pPr>
        <w:keepNext/>
        <w:overflowPunct w:val="0"/>
        <w:spacing w:afterLines="50" w:after="120" w:line="340" w:lineRule="atLeast"/>
        <w:rPr>
          <w:rFonts w:ascii="KaiTi" w:eastAsia="KaiTi" w:hAnsi="KaiTi" w:cs="Arial"/>
          <w:iCs/>
        </w:rPr>
      </w:pPr>
      <w:r w:rsidRPr="00E23D52">
        <w:rPr>
          <w:rFonts w:ascii="KaiTi" w:eastAsia="KaiTi" w:hAnsi="KaiTi" w:cs="Arial" w:hint="eastAsia"/>
          <w:iCs/>
        </w:rPr>
        <w:t>2.可持续性战略设计和规划的重要性</w:t>
      </w:r>
    </w:p>
    <w:p w14:paraId="2EC2DA96"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经验教训：在项目开始时制定明确的业务计划和战略框架，可以显著提高产权组织技术援助的长期影响和可持续性。</w:t>
      </w:r>
    </w:p>
    <w:p w14:paraId="04488B48"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证据：审查指出，虽然许多项目取得了预期成果，但长期影响令人担忧。包括战略规划的项目，如包括制定实施解决方案的业务计划的项目，更有可能取得可持续的成果。这表明，在设计阶段采取更具战略性的方法，有助于确保项目不仅在短期内取得成功，而且随着时间的推移持续带来效益。</w:t>
      </w:r>
    </w:p>
    <w:p w14:paraId="6E13F403" w14:textId="77777777" w:rsidR="00EA5678" w:rsidRPr="00E23D52" w:rsidRDefault="00215138" w:rsidP="00F77EBB">
      <w:pPr>
        <w:keepNext/>
        <w:overflowPunct w:val="0"/>
        <w:spacing w:afterLines="50" w:after="120" w:line="340" w:lineRule="atLeast"/>
        <w:rPr>
          <w:rFonts w:ascii="KaiTi" w:eastAsia="KaiTi" w:hAnsi="KaiTi" w:cs="Arial"/>
          <w:iCs/>
        </w:rPr>
      </w:pPr>
      <w:r w:rsidRPr="00E23D52">
        <w:rPr>
          <w:rFonts w:ascii="KaiTi" w:eastAsia="KaiTi" w:hAnsi="KaiTi" w:cs="Arial" w:hint="eastAsia"/>
          <w:iCs/>
        </w:rPr>
        <w:t>3.增强协作和沟通</w:t>
      </w:r>
    </w:p>
    <w:p w14:paraId="0E851366"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经验教训：加强产权组织与各国政府之间的合作以及各区域司之间的合作，并确保持续和透明的沟通，对于技术援助计划的成功至关重要。</w:t>
      </w:r>
    </w:p>
    <w:p w14:paraId="2245F0B8"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证据：审查发现，如果产权组织和当地政府之间能够更好地协调，以及如果在国家和区域层面能够开展更多的有机对话，一些项目可能会产生更大的影响。此外，产权组织区域司参与项目设计和实施被视为确保项目与区域需求和优先事项保持一致的关键因素。</w:t>
      </w:r>
    </w:p>
    <w:p w14:paraId="70309350" w14:textId="77777777" w:rsidR="00EA5678" w:rsidRPr="00E23D52" w:rsidRDefault="00215138" w:rsidP="00F77EBB">
      <w:pPr>
        <w:keepNext/>
        <w:overflowPunct w:val="0"/>
        <w:spacing w:afterLines="50" w:after="120" w:line="340" w:lineRule="atLeast"/>
        <w:rPr>
          <w:rFonts w:ascii="KaiTi" w:eastAsia="KaiTi" w:hAnsi="KaiTi" w:cs="Arial"/>
          <w:iCs/>
        </w:rPr>
      </w:pPr>
      <w:r w:rsidRPr="00E23D52">
        <w:rPr>
          <w:rFonts w:ascii="KaiTi" w:eastAsia="KaiTi" w:hAnsi="KaiTi" w:cs="Arial" w:hint="eastAsia"/>
          <w:iCs/>
        </w:rPr>
        <w:t>4.定制化的能力建设和指导</w:t>
      </w:r>
    </w:p>
    <w:p w14:paraId="1290676A"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经验教训：定制化的培训计划和指导举措对于建设当地机构的能力、确保知识产权服务的质量和连续性非常有效。</w:t>
      </w:r>
    </w:p>
    <w:p w14:paraId="48DC1105"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证据：审查一贯强调，针对受益国具体需求开展的能力建设工作取得了成功。指导计划被发现在提供持续支持和指导方面特别有效，有助于将新技能和实践融入当地机构。</w:t>
      </w:r>
    </w:p>
    <w:p w14:paraId="3D85B98B" w14:textId="77777777" w:rsidR="00EA5678" w:rsidRPr="00E23D52" w:rsidRDefault="00215138" w:rsidP="00F77EBB">
      <w:pPr>
        <w:keepNext/>
        <w:overflowPunct w:val="0"/>
        <w:spacing w:afterLines="50" w:after="120" w:line="340" w:lineRule="atLeast"/>
        <w:rPr>
          <w:rFonts w:ascii="KaiTi" w:eastAsia="KaiTi" w:hAnsi="KaiTi" w:cs="Arial"/>
          <w:iCs/>
        </w:rPr>
      </w:pPr>
      <w:r w:rsidRPr="00E23D52">
        <w:rPr>
          <w:rFonts w:ascii="KaiTi" w:eastAsia="KaiTi" w:hAnsi="KaiTi" w:cs="Arial" w:hint="eastAsia"/>
          <w:iCs/>
        </w:rPr>
        <w:t>5.将产权组织数据和工具纳入国家战略</w:t>
      </w:r>
    </w:p>
    <w:p w14:paraId="4E2BE356"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经验教训：产权组织提供的数据和工具的使用应纳入国家知识产权战略，以增强其战略影响和以发展导向的影响。</w:t>
      </w:r>
    </w:p>
    <w:p w14:paraId="04BD2BEB"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证据：利用产权组织提供的数据是一种宝贵的资源，有助于国家利益攸关方从更广泛的发展目标的角度对知识产权进行更具战略性的思考。成功将产权组织数据和工具纳入国家知识产权战略的项目更有可能带来有意义的政策变化和长期发展成果。</w:t>
      </w:r>
    </w:p>
    <w:p w14:paraId="684A8965" w14:textId="77777777" w:rsidR="00EA5678" w:rsidRPr="00E23D52" w:rsidRDefault="00215138" w:rsidP="00F77EBB">
      <w:pPr>
        <w:keepNext/>
        <w:overflowPunct w:val="0"/>
        <w:spacing w:afterLines="50" w:after="120" w:line="340" w:lineRule="atLeast"/>
        <w:rPr>
          <w:rFonts w:ascii="KaiTi" w:eastAsia="KaiTi" w:hAnsi="KaiTi" w:cs="Arial"/>
          <w:iCs/>
        </w:rPr>
      </w:pPr>
      <w:r w:rsidRPr="00E23D52">
        <w:rPr>
          <w:rFonts w:ascii="KaiTi" w:eastAsia="KaiTi" w:hAnsi="KaiTi" w:cs="Arial" w:hint="eastAsia"/>
          <w:iCs/>
        </w:rPr>
        <w:t>6.高层支持和利益攸关方参与</w:t>
      </w:r>
    </w:p>
    <w:p w14:paraId="0E85DC48"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经验教训：在项目制定和实施的各个阶段，确保高层支持并让广泛的利益攸关方参与进来，对于获得认可和取得长期成功至关重要。</w:t>
      </w:r>
    </w:p>
    <w:p w14:paraId="406081E9"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证据：审查发现，得到政府和机构大力支持的项目，以及从一开始就积极吸引利益攸关方参与的项目，更有可能成功。在整个过程中宣传项目并与利益攸关方接触，也有助于获得更广泛的支持，并确保这些项目与国家优先事项保持一致。</w:t>
      </w:r>
    </w:p>
    <w:p w14:paraId="5164939F" w14:textId="77777777" w:rsidR="00EA5678" w:rsidRPr="00E23D52" w:rsidRDefault="00215138" w:rsidP="00F77EBB">
      <w:pPr>
        <w:keepNext/>
        <w:overflowPunct w:val="0"/>
        <w:spacing w:afterLines="50" w:after="120" w:line="340" w:lineRule="atLeast"/>
        <w:rPr>
          <w:rFonts w:ascii="KaiTi" w:eastAsia="KaiTi" w:hAnsi="KaiTi" w:cs="Arial"/>
          <w:iCs/>
        </w:rPr>
      </w:pPr>
      <w:r w:rsidRPr="00E23D52">
        <w:rPr>
          <w:rFonts w:ascii="KaiTi" w:eastAsia="KaiTi" w:hAnsi="KaiTi" w:cs="Arial" w:hint="eastAsia"/>
          <w:iCs/>
        </w:rPr>
        <w:t>7.需要事后评价</w:t>
      </w:r>
    </w:p>
    <w:p w14:paraId="1A801BA6"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经验教训：进行事后评价对于了解技术援助计划的长期影响以及对未来项目做出有依据的调整至关重要。</w:t>
      </w:r>
    </w:p>
    <w:p w14:paraId="27B472C8"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证据：审查发现，在坚持使用事后评价来评估产权组织技术援助的长期成果方面存在差距。实施更系统的事后评价将为了解项目的可持续性和有效性提供宝贵的见解，使产权组织能够完善其方法并最大限度地扩大影响。</w:t>
      </w:r>
    </w:p>
    <w:p w14:paraId="125B4D83" w14:textId="5DD6D0AC" w:rsidR="00EA5678" w:rsidRPr="00A23549" w:rsidRDefault="00166CB3" w:rsidP="000C2E1C">
      <w:pPr>
        <w:pStyle w:val="Heading1"/>
        <w:spacing w:before="240" w:after="120"/>
        <w:rPr>
          <w:rFonts w:cstheme="majorBidi"/>
        </w:rPr>
      </w:pPr>
      <w:bookmarkStart w:id="513" w:name="_Toc181695804"/>
      <w:r w:rsidRPr="00A23549">
        <w:rPr>
          <w:rFonts w:cstheme="majorBidi" w:hint="eastAsia"/>
        </w:rPr>
        <w:t>6.</w:t>
      </w:r>
      <w:r w:rsidRPr="00A23549">
        <w:rPr>
          <w:rFonts w:cstheme="majorBidi"/>
        </w:rPr>
        <w:tab/>
      </w:r>
      <w:r w:rsidR="00215138" w:rsidRPr="00A23549">
        <w:rPr>
          <w:rFonts w:cstheme="majorBidi" w:hint="eastAsia"/>
        </w:rPr>
        <w:t>结论和建议</w:t>
      </w:r>
      <w:bookmarkEnd w:id="513"/>
    </w:p>
    <w:p w14:paraId="53B965AB" w14:textId="77777777" w:rsidR="00EA5678" w:rsidRPr="00E775A9" w:rsidRDefault="00215138" w:rsidP="00F77EBB">
      <w:pPr>
        <w:keepNext/>
        <w:overflowPunct w:val="0"/>
        <w:spacing w:beforeLines="100" w:before="240" w:afterLines="50" w:after="120" w:line="340" w:lineRule="atLeast"/>
        <w:rPr>
          <w:rFonts w:hAnsi="SimSun" w:cs="Arial"/>
          <w:b/>
        </w:rPr>
      </w:pPr>
      <w:bookmarkStart w:id="514" w:name="_Hlk177079326"/>
      <w:r w:rsidRPr="00E775A9">
        <w:rPr>
          <w:rFonts w:hAnsi="SimSun" w:cs="Arial" w:hint="eastAsia"/>
          <w:b/>
        </w:rPr>
        <w:t>相关性</w:t>
      </w:r>
    </w:p>
    <w:p w14:paraId="0A7E2B1D" w14:textId="77777777" w:rsidR="00EA5678" w:rsidRPr="00E775A9" w:rsidRDefault="00215138" w:rsidP="00F77EBB">
      <w:pPr>
        <w:keepNext/>
        <w:spacing w:beforeLines="100" w:before="240" w:afterLines="50" w:after="120" w:line="340" w:lineRule="atLeast"/>
        <w:rPr>
          <w:rFonts w:hAnsi="SimSun" w:cs="Arial"/>
          <w:b/>
          <w:color w:val="525252" w:themeColor="accent3" w:themeShade="80"/>
        </w:rPr>
      </w:pPr>
      <w:r w:rsidRPr="00E775A9">
        <w:rPr>
          <w:rFonts w:hAnsi="SimSun" w:cs="Arial" w:hint="eastAsia"/>
          <w:b/>
          <w:color w:val="525252" w:themeColor="accent3" w:themeShade="80"/>
        </w:rPr>
        <w:t>结论</w:t>
      </w:r>
    </w:p>
    <w:p w14:paraId="2548B0C8"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产权组织在合作促进发展领域开展的技术援助与成员国的国家发展计划非常相关且相辅相成，它满足了利益攸关方的需要和要求，并越来越能够将性别平等纳入其实施工作中。不过，确定了以下需要进一步改进的领域：</w:t>
      </w:r>
    </w:p>
    <w:p w14:paraId="70B2B9CD" w14:textId="3074578C" w:rsidR="00EA5678" w:rsidRPr="00E775A9" w:rsidRDefault="00215138" w:rsidP="00F77EBB">
      <w:pPr>
        <w:pStyle w:val="ListParagraph"/>
        <w:numPr>
          <w:ilvl w:val="4"/>
          <w:numId w:val="63"/>
        </w:numPr>
        <w:spacing w:after="120"/>
        <w:ind w:left="1134" w:hanging="567"/>
        <w:rPr>
          <w:rFonts w:hAnsi="SimSun" w:cs="Arial"/>
        </w:rPr>
      </w:pPr>
      <w:r w:rsidRPr="00E775A9">
        <w:rPr>
          <w:rFonts w:hAnsi="SimSun" w:cs="Arial" w:hint="eastAsia"/>
        </w:rPr>
        <w:t>一些成员国要求进一步阐述关于技术援助和资源分配的报告，以便向成员国提供更详细和用户友好的信息。</w:t>
      </w:r>
    </w:p>
    <w:p w14:paraId="138EE2D0" w14:textId="7A4F5CBD" w:rsidR="00EA5678" w:rsidRPr="00E775A9" w:rsidRDefault="00215138" w:rsidP="00F77EBB">
      <w:pPr>
        <w:pStyle w:val="ListParagraph"/>
        <w:numPr>
          <w:ilvl w:val="4"/>
          <w:numId w:val="63"/>
        </w:numPr>
        <w:spacing w:after="120"/>
        <w:ind w:left="1134" w:hanging="567"/>
        <w:rPr>
          <w:rFonts w:hAnsi="SimSun" w:cs="Arial"/>
        </w:rPr>
      </w:pPr>
      <w:r w:rsidRPr="00E775A9">
        <w:rPr>
          <w:rFonts w:hAnsi="SimSun" w:cs="Arial" w:hint="eastAsia"/>
        </w:rPr>
        <w:t>应成员国的要求，产权组织正在开展相关工作，就可能利用知识产权促进发展的问题提供分析和出版物。然而，成员国和其他相关利益攸关方在多大程度上使用这些出版物来帮助制定政策尚不清楚。有必要加强这些出版物的传播。</w:t>
      </w:r>
    </w:p>
    <w:p w14:paraId="6BA00A6B" w14:textId="77777777" w:rsidR="00EA5678" w:rsidRPr="00E775A9" w:rsidRDefault="00215138" w:rsidP="00F77EBB">
      <w:pPr>
        <w:pStyle w:val="ListParagraph"/>
        <w:numPr>
          <w:ilvl w:val="4"/>
          <w:numId w:val="63"/>
        </w:numPr>
        <w:spacing w:after="120"/>
        <w:ind w:left="1134" w:hanging="567"/>
        <w:rPr>
          <w:rFonts w:hAnsi="SimSun" w:cs="Arial"/>
        </w:rPr>
      </w:pPr>
      <w:r w:rsidRPr="00E775A9">
        <w:rPr>
          <w:rFonts w:hAnsi="SimSun" w:cs="Arial" w:hint="eastAsia"/>
        </w:rPr>
        <w:t>目前，产权组织和成员国在实地促进利用知识产权实现可持续发展目标的项目有限。</w:t>
      </w:r>
    </w:p>
    <w:p w14:paraId="75BCA84C" w14:textId="51A5B86B" w:rsidR="00EA5678" w:rsidRPr="00E775A9" w:rsidRDefault="00215138" w:rsidP="00F77EBB">
      <w:pPr>
        <w:pStyle w:val="ListParagraph"/>
        <w:numPr>
          <w:ilvl w:val="4"/>
          <w:numId w:val="63"/>
        </w:numPr>
        <w:spacing w:after="120"/>
        <w:ind w:left="1134" w:hanging="567"/>
        <w:rPr>
          <w:rFonts w:hAnsi="SimSun" w:cs="Arial"/>
        </w:rPr>
      </w:pPr>
      <w:r w:rsidRPr="00E775A9">
        <w:rPr>
          <w:rFonts w:hAnsi="SimSun" w:cs="Arial" w:hint="eastAsia"/>
        </w:rPr>
        <w:t>目前促进南南合作的技术援助举措数量很少。成员国希望增加此类举措的数量。</w:t>
      </w:r>
    </w:p>
    <w:p w14:paraId="61916E82" w14:textId="77777777" w:rsidR="00EA5678" w:rsidRPr="00E775A9" w:rsidRDefault="00215138" w:rsidP="00F77EBB">
      <w:pPr>
        <w:pStyle w:val="ListParagraph"/>
        <w:numPr>
          <w:ilvl w:val="4"/>
          <w:numId w:val="63"/>
        </w:numPr>
        <w:spacing w:after="120"/>
        <w:ind w:left="1134" w:hanging="567"/>
        <w:rPr>
          <w:rFonts w:hAnsi="SimSun" w:cs="Arial"/>
        </w:rPr>
      </w:pPr>
      <w:r w:rsidRPr="00E775A9">
        <w:rPr>
          <w:rFonts w:hAnsi="SimSun" w:cs="Arial" w:hint="eastAsia"/>
        </w:rPr>
        <w:t>作为技术援助的联络点，国家知识产权局需要确保在相关情况下在国家层面有更多相关利益攸关方参与技术援助活动的实施。</w:t>
      </w:r>
    </w:p>
    <w:p w14:paraId="234957A8" w14:textId="77777777" w:rsidR="00EA5678" w:rsidRPr="00E775A9" w:rsidRDefault="00215138" w:rsidP="00F77EBB">
      <w:pPr>
        <w:keepNext/>
        <w:spacing w:beforeLines="100" w:before="240" w:afterLines="50" w:after="120" w:line="340" w:lineRule="atLeast"/>
        <w:rPr>
          <w:rFonts w:hAnsi="SimSun" w:cs="Arial"/>
          <w:b/>
          <w:color w:val="525252" w:themeColor="accent3" w:themeShade="80"/>
        </w:rPr>
      </w:pPr>
      <w:r w:rsidRPr="00E775A9">
        <w:rPr>
          <w:rFonts w:hAnsi="SimSun" w:cs="Arial" w:hint="eastAsia"/>
          <w:b/>
          <w:color w:val="525252" w:themeColor="accent3" w:themeShade="80"/>
        </w:rPr>
        <w:t>建议</w:t>
      </w:r>
    </w:p>
    <w:p w14:paraId="4FB4871F" w14:textId="77777777" w:rsidR="00EA5678" w:rsidRPr="00E775A9" w:rsidRDefault="00215138" w:rsidP="00F77EBB">
      <w:pPr>
        <w:pStyle w:val="ListParagraph"/>
        <w:numPr>
          <w:ilvl w:val="0"/>
          <w:numId w:val="53"/>
        </w:numPr>
        <w:spacing w:after="120"/>
        <w:ind w:left="1134" w:hanging="567"/>
        <w:rPr>
          <w:rFonts w:hAnsi="SimSun" w:cs="Arial"/>
        </w:rPr>
      </w:pPr>
      <w:r w:rsidRPr="00E775A9">
        <w:rPr>
          <w:rFonts w:hAnsi="SimSun" w:cs="Arial" w:hint="eastAsia"/>
        </w:rPr>
        <w:t>为了改进技术援助结果的报告，建议产权组织为CDIP和发展议程制定并实施一项沟通策略，包括一项社交媒体战略。</w:t>
      </w:r>
    </w:p>
    <w:p w14:paraId="5BB087DA" w14:textId="5DA0C127" w:rsidR="00EA5678" w:rsidRPr="00E775A9" w:rsidRDefault="00215138" w:rsidP="00F77EBB">
      <w:pPr>
        <w:pStyle w:val="ListParagraph"/>
        <w:numPr>
          <w:ilvl w:val="0"/>
          <w:numId w:val="53"/>
        </w:numPr>
        <w:spacing w:after="120"/>
        <w:ind w:left="1134" w:hanging="567"/>
        <w:rPr>
          <w:rFonts w:hAnsi="SimSun" w:cs="Arial"/>
        </w:rPr>
      </w:pPr>
      <w:r w:rsidRPr="00E775A9">
        <w:rPr>
          <w:rFonts w:hAnsi="SimSun" w:cs="Arial" w:hint="eastAsia"/>
        </w:rPr>
        <w:t>为了加强其与技术援助活动有关的分析和出版物的传播，建议产权组织为这些知识产品制定和实施沟通和传播策略。</w:t>
      </w:r>
    </w:p>
    <w:p w14:paraId="1E589D00" w14:textId="7B1EDEAA" w:rsidR="00EA5678" w:rsidRPr="00E775A9" w:rsidRDefault="00215138" w:rsidP="00F77EBB">
      <w:pPr>
        <w:pStyle w:val="ListParagraph"/>
        <w:numPr>
          <w:ilvl w:val="0"/>
          <w:numId w:val="53"/>
        </w:numPr>
        <w:spacing w:after="120"/>
        <w:ind w:left="1134" w:hanging="567"/>
        <w:rPr>
          <w:rFonts w:hAnsi="SimSun" w:cs="Arial"/>
        </w:rPr>
      </w:pPr>
      <w:r w:rsidRPr="00E775A9">
        <w:rPr>
          <w:rFonts w:hAnsi="SimSun" w:cs="Arial" w:hint="eastAsia"/>
        </w:rPr>
        <w:t>为了在实地更多地利用知识产权来实现可持续发展目标，建议产权组织促进实施将知识产权权利与发展挑战联系起来的若干工作中制定的发展解决方案（例如WIPO Green）。</w:t>
      </w:r>
    </w:p>
    <w:p w14:paraId="488BC491" w14:textId="6A51165E" w:rsidR="00EA5678" w:rsidRPr="00E775A9" w:rsidRDefault="00215138" w:rsidP="00F77EBB">
      <w:pPr>
        <w:pStyle w:val="ListParagraph"/>
        <w:numPr>
          <w:ilvl w:val="0"/>
          <w:numId w:val="53"/>
        </w:numPr>
        <w:spacing w:after="120"/>
        <w:ind w:left="1134" w:hanging="567"/>
        <w:rPr>
          <w:rFonts w:hAnsi="SimSun" w:cs="Arial"/>
        </w:rPr>
      </w:pPr>
      <w:r w:rsidRPr="00E775A9">
        <w:rPr>
          <w:rFonts w:hAnsi="SimSun" w:cs="Arial" w:hint="eastAsia"/>
        </w:rPr>
        <w:t>为加强南南合作，建议产权组织推动知识产权举措，支持发展中国家内成员国之间的同行学习、经验分享和联合项目。</w:t>
      </w:r>
    </w:p>
    <w:p w14:paraId="46372BDF" w14:textId="77777777" w:rsidR="00EA5678" w:rsidRPr="00E775A9" w:rsidRDefault="00215138" w:rsidP="00F77EBB">
      <w:pPr>
        <w:pStyle w:val="ListParagraph"/>
        <w:numPr>
          <w:ilvl w:val="0"/>
          <w:numId w:val="53"/>
        </w:numPr>
        <w:spacing w:after="120"/>
        <w:ind w:left="1134" w:hanging="567"/>
        <w:rPr>
          <w:rFonts w:hAnsi="SimSun" w:cs="Arial"/>
        </w:rPr>
      </w:pPr>
      <w:r w:rsidRPr="00E775A9">
        <w:rPr>
          <w:rFonts w:hAnsi="SimSun" w:cs="Arial" w:hint="eastAsia"/>
        </w:rPr>
        <w:t>为了让国家利益攸关方更多地参与技术援助的实施，建议制定技术援助项目，在相关情况下，明确让各部门的当地利益攸关方参与进来。</w:t>
      </w:r>
    </w:p>
    <w:p w14:paraId="7C6C46DA" w14:textId="77777777" w:rsidR="00EA5678" w:rsidRPr="00E775A9" w:rsidRDefault="00215138" w:rsidP="00F77EBB">
      <w:pPr>
        <w:keepNext/>
        <w:overflowPunct w:val="0"/>
        <w:spacing w:beforeLines="100" w:before="240" w:afterLines="50" w:after="120" w:line="340" w:lineRule="atLeast"/>
        <w:rPr>
          <w:rFonts w:hAnsi="SimSun" w:cs="Arial"/>
          <w:b/>
        </w:rPr>
      </w:pPr>
      <w:r w:rsidRPr="00E775A9">
        <w:rPr>
          <w:rFonts w:hAnsi="SimSun" w:cs="Arial" w:hint="eastAsia"/>
          <w:b/>
        </w:rPr>
        <w:t>有效性</w:t>
      </w:r>
    </w:p>
    <w:p w14:paraId="60E70FE1" w14:textId="77777777" w:rsidR="00EA5678" w:rsidRPr="00E775A9" w:rsidRDefault="00215138" w:rsidP="00F77EBB">
      <w:pPr>
        <w:keepNext/>
        <w:spacing w:beforeLines="100" w:before="240" w:afterLines="50" w:after="120" w:line="340" w:lineRule="atLeast"/>
        <w:rPr>
          <w:rFonts w:hAnsi="SimSun" w:cs="Arial"/>
          <w:b/>
          <w:color w:val="525252" w:themeColor="accent3" w:themeShade="80"/>
        </w:rPr>
      </w:pPr>
      <w:r w:rsidRPr="00E775A9">
        <w:rPr>
          <w:rFonts w:hAnsi="SimSun" w:cs="Arial" w:hint="eastAsia"/>
          <w:b/>
          <w:color w:val="525252" w:themeColor="accent3" w:themeShade="80"/>
        </w:rPr>
        <w:t>总体结论</w:t>
      </w:r>
    </w:p>
    <w:p w14:paraId="1B592027"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成员国认为，产权组织在提供合作促进发展领域的技术援助方面非常有效，特别是在能力建设、通过知识产权管理系统（IPAS）建立基础设施、技术与创新支持中心（TISC）和国家知识产权战略方面。然而，产权组织和成员国需要关注以下几个领域：</w:t>
      </w:r>
    </w:p>
    <w:p w14:paraId="453343D8" w14:textId="77777777" w:rsidR="00EA5678" w:rsidRPr="00E775A9" w:rsidRDefault="00215138" w:rsidP="00F77EBB">
      <w:pPr>
        <w:pStyle w:val="ListParagraph"/>
        <w:numPr>
          <w:ilvl w:val="0"/>
          <w:numId w:val="54"/>
        </w:numPr>
        <w:spacing w:after="120"/>
        <w:ind w:left="1134" w:hanging="567"/>
        <w:rPr>
          <w:rFonts w:hAnsi="SimSun" w:cs="Arial"/>
        </w:rPr>
      </w:pPr>
      <w:r w:rsidRPr="00E775A9">
        <w:rPr>
          <w:rFonts w:hAnsi="SimSun" w:cs="Arial" w:hint="eastAsia"/>
        </w:rPr>
        <w:t>需要加强成员国对能力建设活动的自主权；通过联合项目和同行学习促进合作；加强对产权组织与成员国联合项目的监测和评价；记录和进一步宣传应用所获技能的成功案例；整合更多创新解决方案，如多媒体培训模块，以加强远程服务的提供。</w:t>
      </w:r>
    </w:p>
    <w:p w14:paraId="5ABEA0D7" w14:textId="77777777" w:rsidR="00EA5678" w:rsidRPr="00E775A9" w:rsidRDefault="00215138" w:rsidP="00F77EBB">
      <w:pPr>
        <w:pStyle w:val="ListParagraph"/>
        <w:numPr>
          <w:ilvl w:val="0"/>
          <w:numId w:val="54"/>
        </w:numPr>
        <w:spacing w:after="120"/>
        <w:ind w:left="1134" w:hanging="567"/>
        <w:rPr>
          <w:rFonts w:hAnsi="SimSun" w:cs="Arial"/>
        </w:rPr>
      </w:pPr>
      <w:r w:rsidRPr="00E775A9">
        <w:rPr>
          <w:rFonts w:hAnsi="SimSun" w:cs="Arial" w:hint="eastAsia"/>
        </w:rPr>
        <w:t>需要更多资源来满足成员国对IPAS、其新功能和平台更新版本日益增长的需求。</w:t>
      </w:r>
    </w:p>
    <w:p w14:paraId="5E2D3D1B" w14:textId="43D402AB" w:rsidR="00EA5678" w:rsidRPr="00E775A9" w:rsidRDefault="00215138" w:rsidP="00F77EBB">
      <w:pPr>
        <w:pStyle w:val="ListParagraph"/>
        <w:numPr>
          <w:ilvl w:val="0"/>
          <w:numId w:val="54"/>
        </w:numPr>
        <w:spacing w:after="120"/>
        <w:ind w:left="1134" w:hanging="567"/>
        <w:rPr>
          <w:rFonts w:hAnsi="SimSun" w:cs="Arial"/>
        </w:rPr>
      </w:pPr>
      <w:r w:rsidRPr="00E775A9">
        <w:rPr>
          <w:rFonts w:hAnsi="SimSun" w:cs="Arial" w:hint="eastAsia"/>
        </w:rPr>
        <w:t>有必要加强国家层面的有机对话，以便在相关情况下，让成员国更多的实地利益攸关方参与项目的设计和实施。这将增强发展议程项目成果的可持续性。</w:t>
      </w:r>
    </w:p>
    <w:p w14:paraId="088E2F52" w14:textId="77777777" w:rsidR="00EA5678" w:rsidRPr="00E775A9" w:rsidRDefault="00215138" w:rsidP="00F77EBB">
      <w:pPr>
        <w:pStyle w:val="ListParagraph"/>
        <w:numPr>
          <w:ilvl w:val="0"/>
          <w:numId w:val="54"/>
        </w:numPr>
        <w:spacing w:after="120"/>
        <w:ind w:left="1134" w:hanging="567"/>
        <w:rPr>
          <w:rFonts w:hAnsi="SimSun" w:cs="Arial"/>
        </w:rPr>
      </w:pPr>
      <w:r w:rsidRPr="00E775A9">
        <w:rPr>
          <w:rFonts w:hAnsi="SimSun" w:cs="Arial" w:hint="eastAsia"/>
        </w:rPr>
        <w:t>有必要通过解决成员国工作人员流动率高、知识产权局能力有限、知识产权资源有限和高层支持不足等难题来加强成员国实施国家知识产权政策。</w:t>
      </w:r>
    </w:p>
    <w:p w14:paraId="51BA0F97" w14:textId="377730E4" w:rsidR="00EA5678" w:rsidRPr="00E775A9" w:rsidRDefault="00215138" w:rsidP="00F77EBB">
      <w:pPr>
        <w:pStyle w:val="ListParagraph"/>
        <w:numPr>
          <w:ilvl w:val="0"/>
          <w:numId w:val="54"/>
        </w:numPr>
        <w:spacing w:after="120"/>
        <w:ind w:left="1134" w:hanging="567"/>
        <w:rPr>
          <w:rFonts w:hAnsi="SimSun" w:cs="Arial"/>
        </w:rPr>
      </w:pPr>
      <w:r w:rsidRPr="00E775A9">
        <w:rPr>
          <w:rFonts w:hAnsi="SimSun" w:cs="Arial" w:hint="eastAsia"/>
        </w:rPr>
        <w:t>由于制定或审查知识产权立法的过程漫长，评价提供立法援助的有效性并不容易。因此，成果指标仅基于提供服务的国家数量和对所提供服务的满意度。</w:t>
      </w:r>
    </w:p>
    <w:p w14:paraId="69F4F389" w14:textId="77777777" w:rsidR="00EA5678" w:rsidRPr="00E775A9" w:rsidRDefault="00215138" w:rsidP="00F77EBB">
      <w:pPr>
        <w:pStyle w:val="ListParagraph"/>
        <w:numPr>
          <w:ilvl w:val="0"/>
          <w:numId w:val="54"/>
        </w:numPr>
        <w:spacing w:after="120"/>
        <w:ind w:left="1134" w:hanging="567"/>
        <w:rPr>
          <w:rFonts w:hAnsi="SimSun" w:cs="Arial"/>
        </w:rPr>
      </w:pPr>
      <w:r w:rsidRPr="00E775A9">
        <w:rPr>
          <w:rFonts w:hAnsi="SimSun" w:cs="Arial" w:hint="eastAsia"/>
        </w:rPr>
        <w:t>虽然产权组织在公私伙伴关系下部署的平台在展示如何利用知识产权和创新应对社会挑战方面非常有用，但需要进一步宣传这些平台的工作，以提高使用者对这些平台的利用，并为匹配的举措获得更多支持。</w:t>
      </w:r>
    </w:p>
    <w:p w14:paraId="752FCD3F" w14:textId="77777777" w:rsidR="00EA5678" w:rsidRPr="00E775A9" w:rsidRDefault="00215138" w:rsidP="00F77EBB">
      <w:pPr>
        <w:keepNext/>
        <w:spacing w:beforeLines="100" w:before="240" w:afterLines="50" w:after="120" w:line="340" w:lineRule="atLeast"/>
        <w:rPr>
          <w:rFonts w:hAnsi="SimSun" w:cs="Arial"/>
          <w:b/>
          <w:color w:val="525252" w:themeColor="accent3" w:themeShade="80"/>
        </w:rPr>
      </w:pPr>
      <w:r w:rsidRPr="00E775A9">
        <w:rPr>
          <w:rFonts w:hAnsi="SimSun" w:cs="Arial" w:hint="eastAsia"/>
          <w:b/>
          <w:color w:val="525252" w:themeColor="accent3" w:themeShade="80"/>
        </w:rPr>
        <w:t>建议</w:t>
      </w:r>
    </w:p>
    <w:p w14:paraId="45E1DB1A" w14:textId="77777777" w:rsidR="00EA5678" w:rsidRPr="00E775A9" w:rsidRDefault="00215138" w:rsidP="00BB2DF3">
      <w:pPr>
        <w:pStyle w:val="ListParagraph"/>
        <w:keepNext/>
        <w:numPr>
          <w:ilvl w:val="4"/>
          <w:numId w:val="64"/>
        </w:numPr>
        <w:spacing w:after="120"/>
        <w:ind w:left="1134" w:hanging="567"/>
        <w:rPr>
          <w:rFonts w:hAnsi="SimSun" w:cs="Arial"/>
        </w:rPr>
      </w:pPr>
      <w:r w:rsidRPr="00E775A9">
        <w:rPr>
          <w:rFonts w:hAnsi="SimSun" w:cs="Arial" w:hint="eastAsia"/>
        </w:rPr>
        <w:t>为提高提供与技术援助有关的能力建设的有效性，提出以下建议：</w:t>
      </w:r>
    </w:p>
    <w:p w14:paraId="049F5FF9" w14:textId="77777777" w:rsidR="00EA5678" w:rsidRPr="00E775A9" w:rsidRDefault="00215138" w:rsidP="00814F5B">
      <w:pPr>
        <w:pStyle w:val="ListParagraph"/>
        <w:numPr>
          <w:ilvl w:val="1"/>
          <w:numId w:val="64"/>
        </w:numPr>
        <w:spacing w:after="120"/>
        <w:ind w:left="1701" w:hanging="567"/>
        <w:rPr>
          <w:rFonts w:hAnsi="SimSun" w:cs="Arial"/>
        </w:rPr>
      </w:pPr>
      <w:r w:rsidRPr="00E775A9">
        <w:rPr>
          <w:rFonts w:hAnsi="SimSun" w:cs="Arial" w:hint="eastAsia"/>
        </w:rPr>
        <w:t>建议产权组织和成员国努力让更多的国家利益攸关方在相关情况下参与联合能力建设活动的设计和实施，以加强国家自主权。</w:t>
      </w:r>
    </w:p>
    <w:p w14:paraId="713179AB" w14:textId="77777777" w:rsidR="00EA5678" w:rsidRPr="00E775A9" w:rsidRDefault="00215138" w:rsidP="00814F5B">
      <w:pPr>
        <w:pStyle w:val="ListParagraph"/>
        <w:numPr>
          <w:ilvl w:val="1"/>
          <w:numId w:val="64"/>
        </w:numPr>
        <w:spacing w:after="120"/>
        <w:ind w:left="1701" w:hanging="567"/>
        <w:rPr>
          <w:rFonts w:hAnsi="SimSun" w:cs="Arial"/>
        </w:rPr>
      </w:pPr>
      <w:r w:rsidRPr="00E775A9">
        <w:rPr>
          <w:rFonts w:hAnsi="SimSun" w:cs="Arial" w:hint="eastAsia"/>
        </w:rPr>
        <w:t>建议产权组织和成员国通过联合项目和同行学习促进不同国家间的合作。</w:t>
      </w:r>
    </w:p>
    <w:p w14:paraId="12158764" w14:textId="77777777" w:rsidR="00EA5678" w:rsidRPr="00E775A9" w:rsidRDefault="00215138" w:rsidP="00814F5B">
      <w:pPr>
        <w:pStyle w:val="ListParagraph"/>
        <w:numPr>
          <w:ilvl w:val="1"/>
          <w:numId w:val="64"/>
        </w:numPr>
        <w:spacing w:after="120"/>
        <w:ind w:left="1701" w:hanging="567"/>
        <w:rPr>
          <w:rFonts w:hAnsi="SimSun" w:cs="Arial"/>
        </w:rPr>
      </w:pPr>
      <w:r w:rsidRPr="00E775A9">
        <w:rPr>
          <w:rFonts w:hAnsi="SimSun" w:cs="Arial" w:hint="eastAsia"/>
        </w:rPr>
        <w:t>建议制定旨在加强对产权组织和成员国之间联合项目的监测和评价的模式。</w:t>
      </w:r>
    </w:p>
    <w:p w14:paraId="5EF7BAF4" w14:textId="729B5B57" w:rsidR="00EA5678" w:rsidRPr="00E775A9" w:rsidRDefault="00215138" w:rsidP="00814F5B">
      <w:pPr>
        <w:pStyle w:val="ListParagraph"/>
        <w:numPr>
          <w:ilvl w:val="1"/>
          <w:numId w:val="64"/>
        </w:numPr>
        <w:spacing w:after="120"/>
        <w:ind w:left="1701" w:hanging="567"/>
        <w:rPr>
          <w:rFonts w:hAnsi="SimSun" w:cs="Arial"/>
        </w:rPr>
      </w:pPr>
      <w:r w:rsidRPr="00E775A9">
        <w:rPr>
          <w:rFonts w:hAnsi="SimSun" w:cs="Arial" w:hint="eastAsia"/>
        </w:rPr>
        <w:t>建议产权组织和成员国考虑如何加强成功案例的记录和宣传，展示所获得技能的实际应用。</w:t>
      </w:r>
    </w:p>
    <w:p w14:paraId="60CC023F" w14:textId="77777777" w:rsidR="00EA5678" w:rsidRPr="00E775A9" w:rsidRDefault="00215138" w:rsidP="00814F5B">
      <w:pPr>
        <w:pStyle w:val="ListParagraph"/>
        <w:numPr>
          <w:ilvl w:val="1"/>
          <w:numId w:val="64"/>
        </w:numPr>
        <w:spacing w:after="120"/>
        <w:ind w:left="1701" w:hanging="567"/>
        <w:rPr>
          <w:rFonts w:hAnsi="SimSun" w:cs="Arial"/>
        </w:rPr>
      </w:pPr>
      <w:r w:rsidRPr="00E775A9">
        <w:rPr>
          <w:rFonts w:hAnsi="SimSun" w:cs="Arial" w:hint="eastAsia"/>
        </w:rPr>
        <w:t>建议产权组织和成员国考虑为更具创新性的解决方案投入资源，例如多媒体培训模块，以加强远程服务的交付。</w:t>
      </w:r>
    </w:p>
    <w:p w14:paraId="0D7F2267" w14:textId="77777777" w:rsidR="00EA5678" w:rsidRPr="00E775A9" w:rsidRDefault="00215138" w:rsidP="00814F5B">
      <w:pPr>
        <w:pStyle w:val="ListParagraph"/>
        <w:numPr>
          <w:ilvl w:val="4"/>
          <w:numId w:val="65"/>
        </w:numPr>
        <w:spacing w:after="120"/>
        <w:ind w:left="1134" w:hanging="567"/>
        <w:rPr>
          <w:rFonts w:hAnsi="SimSun" w:cs="Arial"/>
        </w:rPr>
      </w:pPr>
      <w:r w:rsidRPr="00E775A9">
        <w:rPr>
          <w:rFonts w:hAnsi="SimSun" w:cs="Arial" w:hint="eastAsia"/>
        </w:rPr>
        <w:t>为了满足对IPAS本身以及对新功能和平台更新版日益增长的需求，建议产权组织和成员国探讨调动更多资源投入到这一技术和行政基础设施的模式。</w:t>
      </w:r>
    </w:p>
    <w:p w14:paraId="61577207" w14:textId="4D0C0181" w:rsidR="00EA5678" w:rsidRPr="00E775A9" w:rsidRDefault="00215138" w:rsidP="00814F5B">
      <w:pPr>
        <w:pStyle w:val="ListParagraph"/>
        <w:numPr>
          <w:ilvl w:val="4"/>
          <w:numId w:val="65"/>
        </w:numPr>
        <w:spacing w:after="120"/>
        <w:ind w:left="1134" w:hanging="567"/>
        <w:rPr>
          <w:rFonts w:hAnsi="SimSun" w:cs="Arial"/>
        </w:rPr>
      </w:pPr>
      <w:r w:rsidRPr="00E775A9">
        <w:rPr>
          <w:rFonts w:hAnsi="SimSun" w:cs="Arial" w:hint="eastAsia"/>
        </w:rPr>
        <w:t>为加强发展议程项目成果的可持续性，建议产权组织和成员国在相关情况下探索加强成员国国家机构参与项目设计和实施的模式。</w:t>
      </w:r>
    </w:p>
    <w:p w14:paraId="72BE619D" w14:textId="77777777" w:rsidR="00EA5678" w:rsidRPr="00E775A9" w:rsidRDefault="00215138" w:rsidP="00814F5B">
      <w:pPr>
        <w:pStyle w:val="ListParagraph"/>
        <w:numPr>
          <w:ilvl w:val="4"/>
          <w:numId w:val="65"/>
        </w:numPr>
        <w:spacing w:after="120"/>
        <w:ind w:left="1134" w:hanging="567"/>
        <w:rPr>
          <w:rFonts w:hAnsi="SimSun" w:cs="Arial"/>
        </w:rPr>
      </w:pPr>
      <w:r w:rsidRPr="00E775A9">
        <w:rPr>
          <w:rFonts w:hAnsi="SimSun" w:cs="Arial" w:hint="eastAsia"/>
        </w:rPr>
        <w:t>为了加强成员国对国家知识产权政策的实施，建议产权组织和成员国确保在知识产权政策制定开始之前，与政府高层官员充分接触，以确保他们对该项目的支持，这将包括调动人力资源和实施政策的能力。</w:t>
      </w:r>
    </w:p>
    <w:p w14:paraId="0CB3B388" w14:textId="77777777" w:rsidR="00EA5678" w:rsidRPr="00E775A9" w:rsidRDefault="00215138" w:rsidP="00814F5B">
      <w:pPr>
        <w:pStyle w:val="ListParagraph"/>
        <w:numPr>
          <w:ilvl w:val="4"/>
          <w:numId w:val="65"/>
        </w:numPr>
        <w:spacing w:after="120"/>
        <w:ind w:left="1134" w:hanging="567"/>
        <w:rPr>
          <w:rFonts w:hAnsi="SimSun" w:cs="Arial"/>
        </w:rPr>
      </w:pPr>
      <w:r w:rsidRPr="00E775A9">
        <w:rPr>
          <w:rFonts w:hAnsi="SimSun" w:cs="Arial" w:hint="eastAsia"/>
        </w:rPr>
        <w:t>为了提高政策和立法援助的有效性，建议产权组织和成员国考虑就政策和立法援助达成基于里程碑的长期合作协议。</w:t>
      </w:r>
    </w:p>
    <w:p w14:paraId="64FB26AB" w14:textId="60A29717" w:rsidR="00EA5678" w:rsidRPr="00E775A9" w:rsidRDefault="00215138" w:rsidP="00814F5B">
      <w:pPr>
        <w:pStyle w:val="ListParagraph"/>
        <w:numPr>
          <w:ilvl w:val="4"/>
          <w:numId w:val="65"/>
        </w:numPr>
        <w:spacing w:after="120"/>
        <w:ind w:left="1134" w:hanging="567"/>
        <w:rPr>
          <w:rFonts w:hAnsi="SimSun" w:cs="Arial"/>
        </w:rPr>
      </w:pPr>
      <w:r w:rsidRPr="00E775A9">
        <w:rPr>
          <w:rFonts w:hAnsi="SimSun" w:cs="Arial" w:hint="eastAsia"/>
        </w:rPr>
        <w:t>为了提高包括私营部门在内的使用者对公私伙伴关系平台的利用程度，建议产权组织和成员国制定并实施一项认知提升运动，宣传这些平台的可用性，并进一步支持实施配对举措产生的项目。</w:t>
      </w:r>
    </w:p>
    <w:p w14:paraId="12076C27" w14:textId="77777777" w:rsidR="00EA5678" w:rsidRPr="00E775A9" w:rsidRDefault="00215138" w:rsidP="00F77EBB">
      <w:pPr>
        <w:keepNext/>
        <w:overflowPunct w:val="0"/>
        <w:spacing w:beforeLines="100" w:before="240" w:afterLines="50" w:after="120" w:line="340" w:lineRule="atLeast"/>
        <w:rPr>
          <w:rFonts w:hAnsi="SimSun" w:cs="Arial"/>
          <w:b/>
        </w:rPr>
      </w:pPr>
      <w:r w:rsidRPr="00E775A9">
        <w:rPr>
          <w:rFonts w:hAnsi="SimSun" w:cs="Arial" w:hint="eastAsia"/>
          <w:b/>
        </w:rPr>
        <w:t>效率</w:t>
      </w:r>
    </w:p>
    <w:p w14:paraId="41CCDB93" w14:textId="77777777" w:rsidR="00EA5678" w:rsidRPr="00E775A9" w:rsidRDefault="00215138" w:rsidP="00F77EBB">
      <w:pPr>
        <w:keepNext/>
        <w:spacing w:beforeLines="100" w:before="240" w:afterLines="50" w:after="120" w:line="340" w:lineRule="atLeast"/>
        <w:rPr>
          <w:rFonts w:hAnsi="SimSun" w:cs="Arial"/>
          <w:b/>
          <w:color w:val="525252" w:themeColor="accent3" w:themeShade="80"/>
        </w:rPr>
      </w:pPr>
      <w:r w:rsidRPr="00E775A9">
        <w:rPr>
          <w:rFonts w:hAnsi="SimSun" w:cs="Arial" w:hint="eastAsia"/>
          <w:b/>
          <w:color w:val="525252" w:themeColor="accent3" w:themeShade="80"/>
        </w:rPr>
        <w:t>总体结论</w:t>
      </w:r>
    </w:p>
    <w:p w14:paraId="6B107436"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产权组织根据注重成果的管理框架高效地提供技术援助。正在为成员国提供优质服务。不过，需要产权组织和成员国关注的领域不多：</w:t>
      </w:r>
    </w:p>
    <w:p w14:paraId="71472557" w14:textId="77777777" w:rsidR="00EA5678" w:rsidRPr="00E775A9" w:rsidRDefault="00215138" w:rsidP="0022649F">
      <w:pPr>
        <w:pStyle w:val="ListParagraph"/>
        <w:numPr>
          <w:ilvl w:val="0"/>
          <w:numId w:val="57"/>
        </w:numPr>
        <w:spacing w:after="120"/>
        <w:ind w:left="1134" w:hanging="567"/>
        <w:rPr>
          <w:rFonts w:hAnsi="SimSun" w:cs="Arial"/>
        </w:rPr>
      </w:pPr>
      <w:r w:rsidRPr="00E775A9">
        <w:rPr>
          <w:rFonts w:hAnsi="SimSun" w:cs="Arial" w:hint="eastAsia"/>
        </w:rPr>
        <w:t>根据批准的预算，为2017-2022年期间实施技术援助活动提供了充足的财政资源。然而，在相关情况下，有必要解决信托基金项目相关的资源利用不足问题。</w:t>
      </w:r>
    </w:p>
    <w:p w14:paraId="51705FD5" w14:textId="588B3667" w:rsidR="00EA5678" w:rsidRPr="00E775A9" w:rsidRDefault="00215138" w:rsidP="0022649F">
      <w:pPr>
        <w:pStyle w:val="ListParagraph"/>
        <w:numPr>
          <w:ilvl w:val="0"/>
          <w:numId w:val="57"/>
        </w:numPr>
        <w:spacing w:after="120"/>
        <w:ind w:left="1134" w:hanging="567"/>
        <w:rPr>
          <w:rFonts w:hAnsi="SimSun" w:cs="Arial"/>
        </w:rPr>
      </w:pPr>
      <w:r w:rsidRPr="00E775A9">
        <w:rPr>
          <w:rFonts w:hAnsi="SimSun" w:cs="Arial" w:hint="eastAsia"/>
        </w:rPr>
        <w:t>注重成果的管理仍然是CDIP制定项目的有力工具。它还指导需求评估、与成员国谈判谅解备忘录以及签署服务级协议的过程。然而，在根据选定受益国的需求实施项目文件方面需要灵活性。</w:t>
      </w:r>
    </w:p>
    <w:p w14:paraId="5F195780" w14:textId="77777777" w:rsidR="00EA5678" w:rsidRPr="00E775A9" w:rsidRDefault="00215138" w:rsidP="0022649F">
      <w:pPr>
        <w:pStyle w:val="ListParagraph"/>
        <w:numPr>
          <w:ilvl w:val="0"/>
          <w:numId w:val="57"/>
        </w:numPr>
        <w:spacing w:after="120"/>
        <w:ind w:left="1134" w:hanging="567"/>
        <w:rPr>
          <w:rFonts w:hAnsi="SimSun" w:cs="Arial"/>
        </w:rPr>
      </w:pPr>
      <w:r w:rsidRPr="00E775A9">
        <w:rPr>
          <w:rFonts w:hAnsi="SimSun" w:cs="Arial" w:hint="eastAsia"/>
        </w:rPr>
        <w:t>尽管产权组织有足够的技术能力提供技术援助，但有必要继续监测产权组织专门用于技术援助的技能和专业知识，以满足日益增长的服务需求。产权组织工作人员在项目管理以及知识产权与发展之间的联系方面需要补充技能。</w:t>
      </w:r>
    </w:p>
    <w:p w14:paraId="6A3EC3A2" w14:textId="77777777" w:rsidR="00EA5678" w:rsidRPr="00E775A9" w:rsidRDefault="00215138" w:rsidP="0022649F">
      <w:pPr>
        <w:pStyle w:val="ListParagraph"/>
        <w:numPr>
          <w:ilvl w:val="0"/>
          <w:numId w:val="57"/>
        </w:numPr>
        <w:spacing w:after="120"/>
        <w:ind w:left="1134" w:hanging="567"/>
        <w:rPr>
          <w:rFonts w:hAnsi="SimSun" w:cs="Arial"/>
        </w:rPr>
      </w:pPr>
      <w:r w:rsidRPr="00E775A9">
        <w:rPr>
          <w:rFonts w:hAnsi="SimSun" w:cs="Arial" w:hint="eastAsia"/>
        </w:rPr>
        <w:t>2017-2022年及以后，在协调提供技术援助方面取得了重大进展。产权组织工作人员和成员国都非常赞赏这一点。基于这些努力，还有许多领域需要进一步改进：不同条约之间的合作、各区域司之间的合作、发展议程项目之间的合作、区域司与对外办事处之间的合作、不同领域在业务程序方面的合作、中小企业举措之间的合作，以及同一国家内不同项目之间的合作。</w:t>
      </w:r>
    </w:p>
    <w:p w14:paraId="04E3FA8B" w14:textId="77777777" w:rsidR="00EA5678" w:rsidRPr="00E775A9" w:rsidRDefault="00215138" w:rsidP="0022649F">
      <w:pPr>
        <w:pStyle w:val="ListParagraph"/>
        <w:numPr>
          <w:ilvl w:val="0"/>
          <w:numId w:val="57"/>
        </w:numPr>
        <w:spacing w:after="120"/>
        <w:ind w:left="1134" w:hanging="567"/>
        <w:rPr>
          <w:rFonts w:hAnsi="SimSun" w:cs="Arial"/>
        </w:rPr>
      </w:pPr>
      <w:r w:rsidRPr="00E775A9">
        <w:rPr>
          <w:rFonts w:hAnsi="SimSun" w:cs="Arial" w:hint="eastAsia"/>
        </w:rPr>
        <w:t>产权组织在建立注重成果的管理框架方面取得了重大进展，该框架改善了发展活动的战略和业务规划，提高了自我评价能力。预算外活动的评价应有关各方的要求并与之合作进行。此外，每个项目都有与受益成员国共同制定的工作计划。然而，需要产权组织和成员国注意的领域很少：需要加强产权组织和成员国的监测、评价和学习，鼓励成员国更多地定期交流和更新项目状况，并在受益国加强对产权组织举措的宣传。</w:t>
      </w:r>
    </w:p>
    <w:p w14:paraId="390F4E0F" w14:textId="6FB30095" w:rsidR="00EA5678" w:rsidRPr="00E775A9" w:rsidRDefault="00215138" w:rsidP="0022649F">
      <w:pPr>
        <w:pStyle w:val="ListParagraph"/>
        <w:numPr>
          <w:ilvl w:val="0"/>
          <w:numId w:val="57"/>
        </w:numPr>
        <w:spacing w:after="120"/>
        <w:ind w:left="1134" w:hanging="567"/>
        <w:rPr>
          <w:rFonts w:hAnsi="SimSun" w:cs="Arial"/>
        </w:rPr>
      </w:pPr>
      <w:r w:rsidRPr="00E775A9">
        <w:rPr>
          <w:rFonts w:hAnsi="SimSun" w:cs="Arial" w:hint="eastAsia"/>
        </w:rPr>
        <w:t>与大多数组织一样，COVID-19大流行加速了数字技术在产权组织提供技术援助方面的使用。在2017</w:t>
      </w:r>
      <w:r w:rsidRPr="00E775A9">
        <w:rPr>
          <w:rFonts w:hAnsi="SimSun" w:cs="Arial" w:hint="eastAsia"/>
        </w:rPr>
        <w:noBreakHyphen/>
        <w:t>2022年审查期间，本组织在提供技术援助方面采用了三种模式：混合、虚拟和实体。转为以虚拟形式提供技术援助节省了成本。因此，这种提供技术援助的新模式是一种更明智、更高效的提供方式。然而，不同的时区、有限的信息技术准备和许多成员国对高质量互联网的访问受限，仍然是通过虚拟手段提供技术援助所面临的挑战。</w:t>
      </w:r>
    </w:p>
    <w:p w14:paraId="1B326BB2" w14:textId="77777777" w:rsidR="00EA5678" w:rsidRPr="00E775A9" w:rsidRDefault="00215138" w:rsidP="00F77EBB">
      <w:pPr>
        <w:keepNext/>
        <w:spacing w:beforeLines="100" w:before="240" w:afterLines="50" w:after="120" w:line="340" w:lineRule="atLeast"/>
        <w:rPr>
          <w:rFonts w:hAnsi="SimSun" w:cs="Arial"/>
          <w:b/>
          <w:color w:val="525252" w:themeColor="accent3" w:themeShade="80"/>
        </w:rPr>
      </w:pPr>
      <w:r w:rsidRPr="00E775A9">
        <w:rPr>
          <w:rFonts w:hAnsi="SimSun" w:cs="Arial" w:hint="eastAsia"/>
          <w:b/>
          <w:color w:val="525252" w:themeColor="accent3" w:themeShade="80"/>
        </w:rPr>
        <w:t>建议</w:t>
      </w:r>
    </w:p>
    <w:p w14:paraId="785A41C2" w14:textId="77777777" w:rsidR="00EA5678" w:rsidRPr="00E775A9" w:rsidRDefault="00215138" w:rsidP="0022649F">
      <w:pPr>
        <w:pStyle w:val="ListParagraph"/>
        <w:numPr>
          <w:ilvl w:val="0"/>
          <w:numId w:val="58"/>
        </w:numPr>
        <w:spacing w:after="120"/>
        <w:ind w:left="1134" w:hanging="567"/>
        <w:rPr>
          <w:rFonts w:hAnsi="SimSun" w:cs="Arial"/>
        </w:rPr>
      </w:pPr>
      <w:r w:rsidRPr="00E775A9">
        <w:rPr>
          <w:rFonts w:hAnsi="SimSun" w:cs="Arial" w:hint="eastAsia"/>
        </w:rPr>
        <w:t>为了提高可用资源的利用率，建议产权组织制定并实施一项战略，以有效实施信托基金项目。其次，建议产权组织和成员国探索共同资助和共同贡献的模式，以支持提供技术援助。</w:t>
      </w:r>
    </w:p>
    <w:p w14:paraId="3999B539" w14:textId="77777777" w:rsidR="00EA5678" w:rsidRPr="00E775A9" w:rsidRDefault="00215138" w:rsidP="0022649F">
      <w:pPr>
        <w:pStyle w:val="ListParagraph"/>
        <w:numPr>
          <w:ilvl w:val="0"/>
          <w:numId w:val="58"/>
        </w:numPr>
        <w:spacing w:after="120"/>
        <w:ind w:left="1134" w:hanging="567"/>
        <w:rPr>
          <w:rFonts w:hAnsi="SimSun" w:cs="Arial"/>
        </w:rPr>
      </w:pPr>
      <w:r w:rsidRPr="00E775A9">
        <w:rPr>
          <w:rFonts w:hAnsi="SimSun" w:cs="Arial" w:hint="eastAsia"/>
        </w:rPr>
        <w:t>为了支持工作人员获得在快速变化的世界中有效提供技术援助所需的技能，建议产权组织监测本组织专门用于技术援助的技能和专业知识，以满足日益增长的服务需求。其次，建议产权组织继续使用并扩大使用当地顾问，以提高提供技术援助的效率。</w:t>
      </w:r>
    </w:p>
    <w:p w14:paraId="58CA2E63" w14:textId="77777777" w:rsidR="00EA5678" w:rsidRPr="00E775A9" w:rsidRDefault="00215138" w:rsidP="0022649F">
      <w:pPr>
        <w:pStyle w:val="ListParagraph"/>
        <w:numPr>
          <w:ilvl w:val="0"/>
          <w:numId w:val="58"/>
        </w:numPr>
        <w:spacing w:after="120"/>
        <w:ind w:left="1134" w:hanging="567"/>
        <w:rPr>
          <w:rFonts w:hAnsi="SimSun" w:cs="Arial"/>
        </w:rPr>
      </w:pPr>
      <w:r w:rsidRPr="00E775A9">
        <w:rPr>
          <w:rFonts w:hAnsi="SimSun" w:cs="Arial" w:hint="eastAsia"/>
        </w:rPr>
        <w:t>为了加强工作人员在项目管理以及处理知识产权与发展之间关系方面的能力，建议产权组织在其他联合国机构的参与下，为产权组织工作人员和成员国设计一门关于知识产权与发展的课程。</w:t>
      </w:r>
    </w:p>
    <w:p w14:paraId="5F626E45" w14:textId="412A34F0" w:rsidR="00EA5678" w:rsidRPr="00E775A9" w:rsidRDefault="00215138" w:rsidP="0022649F">
      <w:pPr>
        <w:pStyle w:val="ListParagraph"/>
        <w:numPr>
          <w:ilvl w:val="0"/>
          <w:numId w:val="58"/>
        </w:numPr>
        <w:spacing w:after="120"/>
        <w:ind w:left="1134" w:hanging="567"/>
        <w:rPr>
          <w:rFonts w:hAnsi="SimSun" w:cs="Arial"/>
        </w:rPr>
      </w:pPr>
      <w:r w:rsidRPr="00E775A9">
        <w:rPr>
          <w:rFonts w:hAnsi="SimSun" w:cs="Arial" w:hint="eastAsia"/>
        </w:rPr>
        <w:t>为了在已取得进展的基础上加强协调，建议产权组织考虑制定和实施一项计划，以改进不同条约之间的合作、各区域司之间的合作、发展议程项目之间的合作、区域司与对外办事处之间的合作、不同领域在业务程序（提供技术援助的方法）方面的合作、中小企业举措之间的合作，以及同一国家内不同项目之间的合作。</w:t>
      </w:r>
    </w:p>
    <w:p w14:paraId="5E2D32E4" w14:textId="77777777" w:rsidR="00EA5678" w:rsidRPr="00E775A9" w:rsidRDefault="00215138" w:rsidP="0022649F">
      <w:pPr>
        <w:pStyle w:val="ListParagraph"/>
        <w:numPr>
          <w:ilvl w:val="0"/>
          <w:numId w:val="58"/>
        </w:numPr>
        <w:spacing w:after="120"/>
        <w:ind w:left="1134" w:hanging="567"/>
        <w:rPr>
          <w:rFonts w:hAnsi="SimSun" w:cs="Arial"/>
        </w:rPr>
      </w:pPr>
      <w:r w:rsidRPr="00E775A9">
        <w:rPr>
          <w:rFonts w:hAnsi="SimSun" w:cs="Arial" w:hint="eastAsia"/>
        </w:rPr>
        <w:t>为了增加和加强技术援助监测和评价以及良好做法交流方面的工作，建议产权组织和成员国探索和实施各种模式，以提高产权组织在监测、评价和学习方面的人员配置水平，鼓励更加定期地沟通和更新项目状况，并加强在受益国宣传产权组织举措。此外，建议产权组织和成员国考虑出版一份关于技术援助不同领域良好做法的出版物，并促进后续开展研讨会，以传播经验和进行对话（使用吸取经验教训的案例研究方法）。</w:t>
      </w:r>
    </w:p>
    <w:p w14:paraId="07064F44" w14:textId="77777777" w:rsidR="00EA5678" w:rsidRPr="00E775A9" w:rsidRDefault="00215138" w:rsidP="0022649F">
      <w:pPr>
        <w:pStyle w:val="ListParagraph"/>
        <w:numPr>
          <w:ilvl w:val="0"/>
          <w:numId w:val="58"/>
        </w:numPr>
        <w:spacing w:after="120"/>
        <w:ind w:left="1134" w:hanging="567"/>
        <w:rPr>
          <w:rFonts w:hAnsi="SimSun" w:cs="Arial"/>
          <w:b/>
        </w:rPr>
      </w:pPr>
      <w:r w:rsidRPr="00E775A9">
        <w:rPr>
          <w:rFonts w:hAnsi="SimSun" w:cs="Arial" w:hint="eastAsia"/>
        </w:rPr>
        <w:t>为了将提供技术援助的混合模式纳入主流，建议产权组织和成员国开发一个技术援助设计预评估工具，考虑到虚拟会议设备、信息技术准备情况和对高质量互联网的访问。</w:t>
      </w:r>
    </w:p>
    <w:p w14:paraId="181B8F8A" w14:textId="77777777" w:rsidR="00EA5678" w:rsidRPr="00E775A9" w:rsidRDefault="00215138" w:rsidP="00F77EBB">
      <w:pPr>
        <w:keepNext/>
        <w:overflowPunct w:val="0"/>
        <w:spacing w:beforeLines="100" w:before="240" w:afterLines="50" w:after="120" w:line="340" w:lineRule="atLeast"/>
        <w:rPr>
          <w:rFonts w:hAnsi="SimSun" w:cs="Arial"/>
          <w:b/>
        </w:rPr>
      </w:pPr>
      <w:r w:rsidRPr="00E775A9">
        <w:rPr>
          <w:rFonts w:hAnsi="SimSun" w:cs="Arial" w:hint="eastAsia"/>
          <w:b/>
        </w:rPr>
        <w:t>可持续性</w:t>
      </w:r>
    </w:p>
    <w:p w14:paraId="745E5E92" w14:textId="77777777" w:rsidR="00EA5678" w:rsidRPr="00E775A9" w:rsidRDefault="00215138" w:rsidP="00F77EBB">
      <w:pPr>
        <w:keepNext/>
        <w:spacing w:beforeLines="100" w:before="240" w:afterLines="50" w:after="120" w:line="340" w:lineRule="atLeast"/>
        <w:rPr>
          <w:rFonts w:hAnsi="SimSun" w:cs="Arial"/>
          <w:b/>
          <w:color w:val="525252" w:themeColor="accent3" w:themeShade="80"/>
        </w:rPr>
      </w:pPr>
      <w:r w:rsidRPr="00E775A9">
        <w:rPr>
          <w:rFonts w:hAnsi="SimSun" w:cs="Arial" w:hint="eastAsia"/>
          <w:b/>
          <w:color w:val="525252" w:themeColor="accent3" w:themeShade="80"/>
        </w:rPr>
        <w:t>总体结论</w:t>
      </w:r>
    </w:p>
    <w:p w14:paraId="635F0524"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产权组织曾成功地在成员国进行长期能力建设，通过基础设施、能力建设和政策咨询加强知识产权局，以及制定国家知识产权政策。在提供此类技术援助后，成员国继续开展此类技术援助活动。然而，仍有一些领域需要进一步改进，以确保产权组织对成员国的支持在长期内产生最大惠益：</w:t>
      </w:r>
    </w:p>
    <w:p w14:paraId="4F552AE4" w14:textId="0B3DA8BE" w:rsidR="00EA5678" w:rsidRPr="00E775A9" w:rsidRDefault="00215138" w:rsidP="0022649F">
      <w:pPr>
        <w:pStyle w:val="ListParagraph"/>
        <w:numPr>
          <w:ilvl w:val="0"/>
          <w:numId w:val="59"/>
        </w:numPr>
        <w:spacing w:after="120"/>
        <w:ind w:left="1134" w:hanging="567"/>
        <w:rPr>
          <w:rFonts w:hAnsi="SimSun" w:cs="Arial"/>
        </w:rPr>
      </w:pPr>
      <w:r w:rsidRPr="00E775A9">
        <w:rPr>
          <w:rFonts w:hAnsi="SimSun" w:cs="Arial" w:hint="eastAsia"/>
        </w:rPr>
        <w:t>由于缺乏成员国的资源、部门部委的参与和工作人员流动，成员国对一些国家知识产权政策和战略的实施程度较低。</w:t>
      </w:r>
    </w:p>
    <w:p w14:paraId="115B4D7D" w14:textId="577F346C" w:rsidR="00EA5678" w:rsidRPr="00E775A9" w:rsidRDefault="00215138" w:rsidP="0022649F">
      <w:pPr>
        <w:pStyle w:val="ListParagraph"/>
        <w:numPr>
          <w:ilvl w:val="0"/>
          <w:numId w:val="59"/>
        </w:numPr>
        <w:spacing w:after="120"/>
        <w:ind w:left="1134" w:hanging="567"/>
        <w:rPr>
          <w:rFonts w:hAnsi="SimSun" w:cs="Arial"/>
        </w:rPr>
      </w:pPr>
      <w:r w:rsidRPr="00E775A9">
        <w:rPr>
          <w:rFonts w:hAnsi="SimSun" w:cs="Arial" w:hint="eastAsia"/>
        </w:rPr>
        <w:t>目前，技术援助活动主要由产权组织资助。技术援助的共同资助模式可以增强举措完成后的可持续成果。</w:t>
      </w:r>
    </w:p>
    <w:p w14:paraId="76B87405" w14:textId="77777777" w:rsidR="00EA5678" w:rsidRPr="00E775A9" w:rsidRDefault="00215138" w:rsidP="0022649F">
      <w:pPr>
        <w:pStyle w:val="ListParagraph"/>
        <w:numPr>
          <w:ilvl w:val="0"/>
          <w:numId w:val="59"/>
        </w:numPr>
        <w:spacing w:after="120"/>
        <w:ind w:left="1134" w:hanging="567"/>
        <w:rPr>
          <w:rFonts w:hAnsi="SimSun" w:cs="Arial"/>
        </w:rPr>
      </w:pPr>
      <w:r w:rsidRPr="00E775A9">
        <w:rPr>
          <w:rFonts w:hAnsi="SimSun" w:cs="Arial" w:hint="eastAsia"/>
        </w:rPr>
        <w:t>虽然《发展议程》下产生的若干项目已被纳入产权组织计划和预算的主流，但有必要鼓励成员国探索如何将一些成功的技术援助活动纳入其日常工作的主流中。</w:t>
      </w:r>
    </w:p>
    <w:p w14:paraId="1D47EC30" w14:textId="77777777" w:rsidR="00EA5678" w:rsidRPr="00E775A9" w:rsidRDefault="00215138" w:rsidP="0022649F">
      <w:pPr>
        <w:pStyle w:val="ListParagraph"/>
        <w:numPr>
          <w:ilvl w:val="0"/>
          <w:numId w:val="59"/>
        </w:numPr>
        <w:spacing w:after="120"/>
        <w:ind w:left="1134" w:hanging="567"/>
        <w:rPr>
          <w:rFonts w:hAnsi="SimSun" w:cs="Arial"/>
        </w:rPr>
      </w:pPr>
      <w:r w:rsidRPr="00E775A9">
        <w:rPr>
          <w:rFonts w:hAnsi="SimSun" w:cs="Arial" w:hint="eastAsia"/>
        </w:rPr>
        <w:t>虽然产权组织目前正在鼓励与成员国联合起草技术援助项目，以确保自主权，但有必要进行扩展以将可持续性纳入其中。</w:t>
      </w:r>
    </w:p>
    <w:p w14:paraId="6B3CB764" w14:textId="77777777" w:rsidR="00EA5678" w:rsidRPr="00E775A9" w:rsidRDefault="00215138" w:rsidP="00F77EBB">
      <w:pPr>
        <w:keepNext/>
        <w:spacing w:beforeLines="100" w:before="240" w:afterLines="50" w:after="120" w:line="340" w:lineRule="atLeast"/>
        <w:rPr>
          <w:rFonts w:hAnsi="SimSun" w:cs="Arial"/>
          <w:b/>
          <w:color w:val="525252" w:themeColor="accent3" w:themeShade="80"/>
        </w:rPr>
      </w:pPr>
      <w:r w:rsidRPr="00E775A9">
        <w:rPr>
          <w:rFonts w:hAnsi="SimSun" w:cs="Arial" w:hint="eastAsia"/>
          <w:b/>
          <w:color w:val="525252" w:themeColor="accent3" w:themeShade="80"/>
        </w:rPr>
        <w:t>建议</w:t>
      </w:r>
    </w:p>
    <w:p w14:paraId="13545BE3"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为了提高产权组织向成员国提供的技术援助活动的可持续性，建议在产权组织和成员国联合制定项目期间，项目可持续性应是一个关键的考虑问题，并应将其纳入项目协议中，其中包括以下内容：</w:t>
      </w:r>
    </w:p>
    <w:p w14:paraId="2655BDF3" w14:textId="77777777" w:rsidR="00EA5678" w:rsidRPr="00E775A9" w:rsidRDefault="00215138" w:rsidP="0022649F">
      <w:pPr>
        <w:pStyle w:val="ListParagraph"/>
        <w:numPr>
          <w:ilvl w:val="0"/>
          <w:numId w:val="60"/>
        </w:numPr>
        <w:spacing w:after="120"/>
        <w:ind w:left="1134" w:hanging="567"/>
        <w:rPr>
          <w:rFonts w:hAnsi="SimSun" w:cs="Arial"/>
        </w:rPr>
      </w:pPr>
      <w:r w:rsidRPr="00E775A9">
        <w:rPr>
          <w:rFonts w:hAnsi="SimSun" w:cs="Arial" w:hint="eastAsia"/>
        </w:rPr>
        <w:t>相关成员国承诺通过共同贡献为该项目分配财政和人力资源。</w:t>
      </w:r>
    </w:p>
    <w:p w14:paraId="4264ECBE" w14:textId="77777777" w:rsidR="00EA5678" w:rsidRPr="00E775A9" w:rsidRDefault="00215138" w:rsidP="0022649F">
      <w:pPr>
        <w:pStyle w:val="ListParagraph"/>
        <w:numPr>
          <w:ilvl w:val="0"/>
          <w:numId w:val="60"/>
        </w:numPr>
        <w:spacing w:after="120"/>
        <w:ind w:left="1134" w:hanging="567"/>
        <w:rPr>
          <w:rFonts w:hAnsi="SimSun" w:cs="Arial"/>
        </w:rPr>
      </w:pPr>
      <w:r w:rsidRPr="00E775A9">
        <w:rPr>
          <w:rFonts w:hAnsi="SimSun" w:cs="Arial" w:hint="eastAsia"/>
        </w:rPr>
        <w:t>成员国承诺将一些成功的技术援助活动纳入其年度计划和预算的主流中。</w:t>
      </w:r>
    </w:p>
    <w:p w14:paraId="34DB0A38" w14:textId="77777777" w:rsidR="00EA5678" w:rsidRPr="00E775A9" w:rsidRDefault="00215138" w:rsidP="00F77EBB">
      <w:pPr>
        <w:keepNext/>
        <w:overflowPunct w:val="0"/>
        <w:spacing w:beforeLines="100" w:before="240" w:afterLines="50" w:after="120" w:line="340" w:lineRule="atLeast"/>
        <w:rPr>
          <w:rFonts w:hAnsi="SimSun" w:cs="Arial"/>
          <w:b/>
        </w:rPr>
      </w:pPr>
      <w:r w:rsidRPr="00E775A9">
        <w:rPr>
          <w:rFonts w:hAnsi="SimSun" w:cs="Arial" w:hint="eastAsia"/>
          <w:b/>
        </w:rPr>
        <w:t>影响</w:t>
      </w:r>
    </w:p>
    <w:p w14:paraId="5223CDF9" w14:textId="77777777" w:rsidR="00EA5678" w:rsidRPr="00E775A9" w:rsidRDefault="00215138" w:rsidP="00F77EBB">
      <w:pPr>
        <w:keepNext/>
        <w:spacing w:beforeLines="100" w:before="240" w:afterLines="50" w:after="120" w:line="340" w:lineRule="atLeast"/>
        <w:rPr>
          <w:rFonts w:hAnsi="SimSun" w:cs="Arial"/>
          <w:b/>
          <w:color w:val="525252" w:themeColor="accent3" w:themeShade="80"/>
        </w:rPr>
      </w:pPr>
      <w:r w:rsidRPr="00E775A9">
        <w:rPr>
          <w:rFonts w:hAnsi="SimSun" w:cs="Arial" w:hint="eastAsia"/>
          <w:b/>
          <w:color w:val="525252" w:themeColor="accent3" w:themeShade="80"/>
        </w:rPr>
        <w:t>总体结论</w:t>
      </w:r>
    </w:p>
    <w:p w14:paraId="42A1BC2C" w14:textId="77777777" w:rsidR="00EA5678" w:rsidRPr="00E775A9" w:rsidRDefault="00215138" w:rsidP="00C259B0">
      <w:pPr>
        <w:pStyle w:val="ListParagraph"/>
        <w:numPr>
          <w:ilvl w:val="0"/>
          <w:numId w:val="3"/>
        </w:numPr>
        <w:spacing w:after="120"/>
        <w:ind w:left="0" w:firstLine="0"/>
        <w:rPr>
          <w:rFonts w:hAnsi="SimSun" w:cs="Arial"/>
        </w:rPr>
      </w:pPr>
      <w:r w:rsidRPr="00E775A9">
        <w:rPr>
          <w:rFonts w:hAnsi="SimSun" w:cs="Arial" w:hint="eastAsia"/>
        </w:rPr>
        <w:t>产权组织非常有效地提供了COVID-19一揽子应对方案，使40个成员国受益，是产权组织不同部门协调的一个良好范例。产权组织通过与联合国机构、民间社会组织和区域组织建立相关伙伴关系，在不同领域增加价值，并将知识产权与发展联系起来，得以扩大了其影响范围和影响力。挑战在于使可用信息更容易浏览。理解和浏览产权组织网站以获取和查找相关数据并不总是那么容易。此外，有必要对联合培训活动的交付进行微调。</w:t>
      </w:r>
    </w:p>
    <w:p w14:paraId="51BCC158" w14:textId="77777777" w:rsidR="00EA5678" w:rsidRPr="00E775A9" w:rsidRDefault="00215138" w:rsidP="00F77EBB">
      <w:pPr>
        <w:keepNext/>
        <w:spacing w:beforeLines="100" w:before="240" w:afterLines="50" w:after="120" w:line="340" w:lineRule="atLeast"/>
        <w:rPr>
          <w:rFonts w:hAnsi="SimSun" w:cs="Arial"/>
          <w:b/>
          <w:color w:val="525252" w:themeColor="accent3" w:themeShade="80"/>
        </w:rPr>
      </w:pPr>
      <w:r w:rsidRPr="00E775A9">
        <w:rPr>
          <w:rFonts w:hAnsi="SimSun" w:cs="Arial" w:hint="eastAsia"/>
          <w:b/>
          <w:color w:val="525252" w:themeColor="accent3" w:themeShade="80"/>
        </w:rPr>
        <w:t>建议</w:t>
      </w:r>
    </w:p>
    <w:p w14:paraId="5152333F" w14:textId="77777777" w:rsidR="00EA5678" w:rsidRPr="00E775A9" w:rsidRDefault="00215138" w:rsidP="0022649F">
      <w:pPr>
        <w:pStyle w:val="ListParagraph"/>
        <w:numPr>
          <w:ilvl w:val="0"/>
          <w:numId w:val="61"/>
        </w:numPr>
        <w:spacing w:after="120"/>
        <w:ind w:left="1134" w:hanging="567"/>
        <w:rPr>
          <w:rFonts w:hAnsi="SimSun" w:cs="Arial"/>
        </w:rPr>
      </w:pPr>
      <w:r w:rsidRPr="00E775A9">
        <w:rPr>
          <w:rFonts w:hAnsi="SimSun" w:cs="Arial" w:hint="eastAsia"/>
        </w:rPr>
        <w:t>建议产权组织审查产权组织不同部门之间供公众使用的信息共享情况。产权组织可以为各个国家制定一份技术援助备选方案清单，并为外交官提供情况介绍会/入职培训课程。</w:t>
      </w:r>
    </w:p>
    <w:p w14:paraId="5984CF67" w14:textId="460B044D" w:rsidR="00EA5678" w:rsidRPr="00E775A9" w:rsidRDefault="00215138" w:rsidP="0022649F">
      <w:pPr>
        <w:pStyle w:val="ListParagraph"/>
        <w:numPr>
          <w:ilvl w:val="0"/>
          <w:numId w:val="61"/>
        </w:numPr>
        <w:spacing w:after="120"/>
        <w:ind w:left="1134" w:hanging="567"/>
        <w:rPr>
          <w:rFonts w:hAnsi="SimSun" w:cs="Arial"/>
        </w:rPr>
      </w:pPr>
      <w:r w:rsidRPr="00E775A9">
        <w:rPr>
          <w:rFonts w:hAnsi="SimSun" w:cs="Arial" w:hint="eastAsia"/>
        </w:rPr>
        <w:t>为了促进产权组织不同领域培训培训师的能力建设，建议为讲师开发一门课程，包括公开演讲技巧和新的教学方法。此外，建议产权组织根据技术和沟通技能选择课程讲师。</w:t>
      </w:r>
    </w:p>
    <w:p w14:paraId="57158240" w14:textId="77777777" w:rsidR="00EA5678" w:rsidRPr="00E775A9" w:rsidRDefault="00215138" w:rsidP="0022649F">
      <w:pPr>
        <w:pStyle w:val="ListParagraph"/>
        <w:numPr>
          <w:ilvl w:val="0"/>
          <w:numId w:val="61"/>
        </w:numPr>
        <w:spacing w:after="120"/>
        <w:ind w:left="1134" w:hanging="567"/>
        <w:rPr>
          <w:rFonts w:hAnsi="SimSun" w:cs="Arial"/>
        </w:rPr>
      </w:pPr>
      <w:r w:rsidRPr="00E775A9">
        <w:rPr>
          <w:rFonts w:hAnsi="SimSun" w:cs="Arial" w:hint="eastAsia"/>
        </w:rPr>
        <w:t>为了维持和加强伙伴关系，建议产权组织根据成员国确定的方向，加强与相关联合国机构在知识产权相关问题上的合作。</w:t>
      </w:r>
      <w:bookmarkEnd w:id="514"/>
    </w:p>
    <w:p w14:paraId="07AEEDF3" w14:textId="7F6B5D47" w:rsidR="00EA5678" w:rsidRPr="00C259B0" w:rsidRDefault="00215138" w:rsidP="00C259B0">
      <w:pPr>
        <w:pStyle w:val="Endofdocument"/>
        <w:overflowPunct w:val="0"/>
        <w:spacing w:before="720" w:afterLines="50" w:after="120" w:line="340" w:lineRule="atLeast"/>
        <w:rPr>
          <w:rFonts w:ascii="KaiTi" w:eastAsia="KaiTi" w:hAnsi="KaiTi" w:cs="Arial"/>
          <w:lang w:eastAsia="zh-CN"/>
        </w:rPr>
      </w:pPr>
      <w:r w:rsidRPr="00C259B0">
        <w:rPr>
          <w:rFonts w:ascii="KaiTi" w:eastAsia="KaiTi" w:hAnsi="KaiTi" w:cs="Arial" w:hint="eastAsia"/>
          <w:lang w:eastAsia="zh-CN"/>
        </w:rPr>
        <w:t>[附录和文件</w:t>
      </w:r>
      <w:r w:rsidRPr="00C259B0">
        <w:rPr>
          <w:rFonts w:ascii="KaiTi" w:eastAsia="KaiTi" w:hAnsi="KaiTi" w:cs="Arial" w:hint="eastAsia"/>
          <w:color w:val="000000" w:themeColor="text1"/>
          <w:lang w:eastAsia="zh-CN"/>
        </w:rPr>
        <w:t>完]</w:t>
      </w:r>
    </w:p>
    <w:sectPr w:rsidR="00EA5678" w:rsidRPr="00C259B0" w:rsidSect="00A3351A">
      <w:headerReference w:type="default" r:id="rId35"/>
      <w:headerReference w:type="first" r:id="rId36"/>
      <w:pgSz w:w="11906" w:h="16838" w:code="9"/>
      <w:pgMar w:top="567" w:right="1134"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547F554" w14:textId="77777777" w:rsidR="00215138" w:rsidRDefault="00215138">
      <w:pPr>
        <w:spacing w:after="0" w:line="240" w:lineRule="auto"/>
      </w:pPr>
      <w:r>
        <w:separator/>
      </w:r>
    </w:p>
  </w:endnote>
  <w:endnote w:type="continuationSeparator" w:id="0">
    <w:p w14:paraId="76F188EA" w14:textId="77777777" w:rsidR="00215138" w:rsidRDefault="0021513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Georgia">
    <w:panose1 w:val="02040502050405020303"/>
    <w:charset w:val="00"/>
    <w:family w:val="roman"/>
    <w:pitch w:val="variable"/>
    <w:sig w:usb0="00000287" w:usb1="00000000" w:usb2="00000000" w:usb3="00000000" w:csb0="0000009F" w:csb1="00000000"/>
  </w:font>
  <w:font w:name="Segoe UI">
    <w:altName w:val="Arial"/>
    <w:panose1 w:val="020B0502040204020203"/>
    <w:charset w:val="00"/>
    <w:family w:val="swiss"/>
    <w:pitch w:val="variable"/>
    <w:sig w:usb0="E4002EFF" w:usb1="C000E47F" w:usb2="00000009" w:usb3="00000000" w:csb0="000001FF" w:csb1="00000000"/>
  </w:font>
  <w:font w:name="Aptos">
    <w:charset w:val="00"/>
    <w:family w:val="swiss"/>
    <w:pitch w:val="variable"/>
    <w:sig w:usb0="20000287" w:usb1="00000003" w:usb2="00000000" w:usb3="00000000" w:csb0="0000019F" w:csb1="00000000"/>
  </w:font>
  <w:font w:name="Arial Black">
    <w:panose1 w:val="020B0A04020102020204"/>
    <w:charset w:val="00"/>
    <w:family w:val="swiss"/>
    <w:pitch w:val="variable"/>
    <w:sig w:usb0="A00002AF" w:usb1="400078FB" w:usb2="00000000" w:usb3="00000000" w:csb0="0000009F" w:csb1="00000000"/>
  </w:font>
  <w:font w:name="KaiTi">
    <w:charset w:val="86"/>
    <w:family w:val="modern"/>
    <w:pitch w:val="fixed"/>
    <w:sig w:usb0="800002BF" w:usb1="38CF7CFA" w:usb2="00000016" w:usb3="00000000" w:csb0="00040001" w:csb1="00000000"/>
  </w:font>
  <w:font w:name="DengXian Light">
    <w:altName w:val="等线 Light"/>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C03121B" w14:textId="77777777" w:rsidR="00215138" w:rsidRDefault="00215138">
      <w:pPr>
        <w:spacing w:after="0" w:line="240" w:lineRule="auto"/>
      </w:pPr>
      <w:r>
        <w:separator/>
      </w:r>
    </w:p>
  </w:footnote>
  <w:footnote w:type="continuationSeparator" w:id="0">
    <w:p w14:paraId="30118679" w14:textId="77777777" w:rsidR="00215138" w:rsidRDefault="00215138">
      <w:pPr>
        <w:spacing w:after="0" w:line="240" w:lineRule="auto"/>
      </w:pPr>
      <w:r>
        <w:continuationSeparator/>
      </w:r>
    </w:p>
  </w:footnote>
  <w:footnote w:id="1">
    <w:p w14:paraId="72282CF8" w14:textId="2FA9982A" w:rsidR="00EA5678" w:rsidRPr="00576490" w:rsidRDefault="00215138">
      <w:pPr>
        <w:pStyle w:val="FootnoteText"/>
        <w:rPr>
          <w:rFonts w:ascii="SimSun" w:eastAsia="SimSun" w:hAnsi="SimSun" w:cs="Arial"/>
          <w:sz w:val="18"/>
          <w:szCs w:val="18"/>
        </w:rPr>
      </w:pPr>
      <w:r w:rsidRPr="00576490">
        <w:rPr>
          <w:rStyle w:val="FootnoteReference"/>
          <w:rFonts w:ascii="SimSun" w:eastAsia="SimSun" w:hAnsi="SimSun" w:cs="Arial"/>
          <w:sz w:val="18"/>
          <w:szCs w:val="18"/>
        </w:rPr>
        <w:footnoteRef/>
      </w:r>
      <w:r w:rsidRPr="00576490">
        <w:rPr>
          <w:rFonts w:ascii="SimSun" w:eastAsia="SimSun" w:hAnsi="SimSun" w:cs="Arial"/>
          <w:sz w:val="18"/>
          <w:szCs w:val="18"/>
        </w:rPr>
        <w:t xml:space="preserve"> </w:t>
      </w:r>
      <w:r w:rsidR="00576490">
        <w:rPr>
          <w:rFonts w:ascii="SimSun" w:eastAsia="SimSun" w:hAnsi="SimSun" w:cs="Arial"/>
          <w:sz w:val="18"/>
          <w:szCs w:val="18"/>
        </w:rPr>
        <w:tab/>
      </w:r>
      <w:r w:rsidRPr="00576490">
        <w:rPr>
          <w:rFonts w:ascii="SimSun" w:eastAsia="SimSun" w:hAnsi="SimSun" w:cs="Arial"/>
          <w:sz w:val="18"/>
          <w:szCs w:val="18"/>
        </w:rPr>
        <w:t>2016/17年产权组织绩效报告。</w:t>
      </w:r>
    </w:p>
  </w:footnote>
  <w:footnote w:id="2">
    <w:p w14:paraId="0A520BB3" w14:textId="183F4CD7" w:rsidR="00EA5678" w:rsidRPr="00576490" w:rsidRDefault="00215138">
      <w:pPr>
        <w:pStyle w:val="FootnoteText"/>
        <w:rPr>
          <w:rFonts w:ascii="SimSun" w:eastAsia="SimSun" w:hAnsi="SimSun"/>
          <w:sz w:val="18"/>
          <w:szCs w:val="18"/>
        </w:rPr>
      </w:pPr>
      <w:r w:rsidRPr="00576490">
        <w:rPr>
          <w:rStyle w:val="FootnoteReference"/>
          <w:rFonts w:ascii="SimSun" w:eastAsia="SimSun" w:hAnsi="SimSun" w:cs="Arial"/>
          <w:sz w:val="18"/>
          <w:szCs w:val="18"/>
        </w:rPr>
        <w:footnoteRef/>
      </w:r>
      <w:r w:rsidRPr="00576490">
        <w:rPr>
          <w:rFonts w:ascii="SimSun" w:eastAsia="SimSun" w:hAnsi="SimSun" w:cs="Arial"/>
          <w:sz w:val="18"/>
          <w:szCs w:val="18"/>
        </w:rPr>
        <w:t xml:space="preserve"> </w:t>
      </w:r>
      <w:r w:rsidR="00576490">
        <w:rPr>
          <w:rFonts w:ascii="SimSun" w:eastAsia="SimSun" w:hAnsi="SimSun" w:cs="Arial"/>
          <w:sz w:val="18"/>
          <w:szCs w:val="18"/>
        </w:rPr>
        <w:tab/>
      </w:r>
      <w:r w:rsidRPr="00576490">
        <w:rPr>
          <w:rFonts w:ascii="SimSun" w:eastAsia="SimSun" w:hAnsi="SimSun" w:cs="Arial"/>
          <w:sz w:val="18"/>
          <w:szCs w:val="18"/>
        </w:rPr>
        <w:t>考虑2016-2023年期间的支出情况，因为发展支出的数据明确只按半年期报告。</w:t>
      </w:r>
    </w:p>
  </w:footnote>
  <w:footnote w:id="3">
    <w:p w14:paraId="08979132" w14:textId="4F7395D1" w:rsidR="00EA5678" w:rsidRPr="00576490" w:rsidRDefault="00215138" w:rsidP="00576490">
      <w:pPr>
        <w:pStyle w:val="FootnoteText"/>
        <w:jc w:val="both"/>
        <w:rPr>
          <w:rFonts w:ascii="SimSun" w:eastAsia="SimSun" w:hAnsi="SimSun"/>
          <w:sz w:val="18"/>
          <w:szCs w:val="18"/>
        </w:rPr>
      </w:pPr>
      <w:r w:rsidRPr="00576490">
        <w:rPr>
          <w:rStyle w:val="FootnoteReference"/>
          <w:rFonts w:ascii="SimSun" w:eastAsia="SimSun" w:hAnsi="SimSun"/>
          <w:sz w:val="18"/>
          <w:szCs w:val="18"/>
        </w:rPr>
        <w:footnoteRef/>
      </w:r>
      <w:r w:rsidRPr="00576490">
        <w:rPr>
          <w:rFonts w:ascii="SimSun" w:eastAsia="SimSun" w:hAnsi="SimSun" w:cs="Arial"/>
          <w:sz w:val="18"/>
          <w:szCs w:val="18"/>
        </w:rPr>
        <w:t xml:space="preserve"> </w:t>
      </w:r>
      <w:r w:rsidR="00576490">
        <w:rPr>
          <w:rFonts w:ascii="SimSun" w:eastAsia="SimSun" w:hAnsi="SimSun" w:cs="Arial"/>
          <w:sz w:val="18"/>
          <w:szCs w:val="18"/>
        </w:rPr>
        <w:tab/>
      </w:r>
      <w:r w:rsidRPr="00576490">
        <w:rPr>
          <w:rFonts w:ascii="SimSun" w:eastAsia="SimSun" w:hAnsi="SimSun" w:cs="Arial"/>
          <w:sz w:val="18"/>
          <w:szCs w:val="18"/>
        </w:rPr>
        <w:t>其他例子包括利用知识产权促进旅游业发展（2021年）、世卫组织-产权组织-世贸组织</w:t>
      </w:r>
      <w:r w:rsidRPr="00576490">
        <w:rPr>
          <w:rFonts w:ascii="SimSun" w:eastAsia="SimSun" w:hAnsi="SimSun"/>
          <w:sz w:val="18"/>
          <w:szCs w:val="18"/>
        </w:rPr>
        <w:t>可持续发展目标技术专题讨论会：促进健康生活和福祉的创新技术（2018年）、应对粮食损失的创新技术（2020年）、促进医药技术和创新的应用</w:t>
      </w:r>
      <w:r w:rsidRPr="00576490">
        <w:rPr>
          <w:rFonts w:ascii="SimSun" w:eastAsia="SimSun" w:hAnsi="SimSun" w:cs="SimSun" w:hint="eastAsia"/>
          <w:sz w:val="18"/>
          <w:szCs w:val="18"/>
        </w:rPr>
        <w:t>——</w:t>
      </w:r>
      <w:r w:rsidRPr="00576490">
        <w:rPr>
          <w:rFonts w:ascii="SimSun" w:eastAsia="SimSun" w:hAnsi="SimSun"/>
          <w:sz w:val="18"/>
          <w:szCs w:val="18"/>
        </w:rPr>
        <w:t>公共卫生、知识产权和贸易之间的融合（2020年）等。</w:t>
      </w:r>
    </w:p>
  </w:footnote>
  <w:footnote w:id="4">
    <w:p w14:paraId="39A9E35C" w14:textId="7E17E177" w:rsidR="00EA5678" w:rsidRPr="00576490" w:rsidRDefault="00215138" w:rsidP="00576490">
      <w:pPr>
        <w:pStyle w:val="FootnoteText"/>
        <w:rPr>
          <w:rFonts w:ascii="SimSun" w:eastAsia="SimSun" w:hAnsi="SimSun" w:cs="Arial"/>
          <w:sz w:val="18"/>
          <w:szCs w:val="18"/>
        </w:rPr>
      </w:pPr>
      <w:r w:rsidRPr="00576490">
        <w:rPr>
          <w:rStyle w:val="FootnoteReference"/>
          <w:rFonts w:ascii="SimSun" w:eastAsia="SimSun" w:hAnsi="SimSun" w:cs="Arial"/>
          <w:sz w:val="18"/>
          <w:szCs w:val="18"/>
        </w:rPr>
        <w:footnoteRef/>
      </w:r>
      <w:hyperlink r:id="rId1" w:history="1">
        <w:r w:rsidR="00576490" w:rsidRPr="00576490">
          <w:rPr>
            <w:rStyle w:val="Hyperlink"/>
            <w:rFonts w:ascii="SimSun" w:eastAsia="SimSun" w:hAnsi="SimSun" w:cs="Arial"/>
            <w:sz w:val="18"/>
            <w:szCs w:val="18"/>
            <w:u w:val="none"/>
          </w:rPr>
          <w:t xml:space="preserve"> </w:t>
        </w:r>
        <w:r w:rsidR="00576490" w:rsidRPr="00576490">
          <w:rPr>
            <w:rStyle w:val="Hyperlink"/>
            <w:rFonts w:ascii="SimSun" w:eastAsia="SimSun" w:hAnsi="SimSun" w:cs="Arial"/>
            <w:sz w:val="18"/>
            <w:szCs w:val="18"/>
            <w:u w:val="none"/>
          </w:rPr>
          <w:tab/>
        </w:r>
        <w:r w:rsidR="00576490" w:rsidRPr="009003BA">
          <w:rPr>
            <w:rStyle w:val="Hyperlink"/>
            <w:rFonts w:ascii="SimSun" w:eastAsia="SimSun" w:hAnsi="SimSun" w:cs="Arial"/>
            <w:sz w:val="18"/>
            <w:szCs w:val="18"/>
          </w:rPr>
          <w:t>https://www.wipo.int/global_ip/en/activities/ip_office_business_solutions/</w:t>
        </w:r>
      </w:hyperlink>
    </w:p>
  </w:footnote>
  <w:footnote w:id="5">
    <w:p w14:paraId="4584231A" w14:textId="3216752E" w:rsidR="00EA5678" w:rsidRPr="00576490" w:rsidRDefault="00215138" w:rsidP="00576490">
      <w:pPr>
        <w:pStyle w:val="FootnoteText"/>
        <w:rPr>
          <w:rFonts w:ascii="SimSun" w:eastAsia="SimSun" w:hAnsi="SimSun"/>
          <w:sz w:val="18"/>
          <w:szCs w:val="18"/>
        </w:rPr>
      </w:pPr>
      <w:r w:rsidRPr="00576490">
        <w:rPr>
          <w:rStyle w:val="FootnoteReference"/>
          <w:rFonts w:ascii="SimSun" w:eastAsia="SimSun" w:hAnsi="SimSun" w:cs="Arial"/>
          <w:sz w:val="18"/>
          <w:szCs w:val="18"/>
        </w:rPr>
        <w:footnoteRef/>
      </w:r>
      <w:r w:rsidRPr="00576490">
        <w:rPr>
          <w:rFonts w:ascii="SimSun" w:eastAsia="SimSun" w:hAnsi="SimSun" w:cs="Arial"/>
          <w:sz w:val="18"/>
          <w:szCs w:val="18"/>
        </w:rPr>
        <w:t xml:space="preserve"> </w:t>
      </w:r>
      <w:r w:rsidR="00576490">
        <w:rPr>
          <w:rFonts w:ascii="SimSun" w:eastAsia="SimSun" w:hAnsi="SimSun" w:cs="Arial"/>
          <w:sz w:val="18"/>
          <w:szCs w:val="18"/>
        </w:rPr>
        <w:tab/>
      </w:r>
      <w:r w:rsidRPr="00576490">
        <w:rPr>
          <w:rFonts w:ascii="SimSun" w:eastAsia="SimSun" w:hAnsi="SimSun" w:cs="Arial"/>
          <w:sz w:val="18"/>
          <w:szCs w:val="18"/>
        </w:rPr>
        <w:t>2022年产权组织绩效报告。</w:t>
      </w:r>
      <w:hyperlink r:id="rId2" w:history="1">
        <w:r w:rsidRPr="00576490">
          <w:rPr>
            <w:rStyle w:val="Hyperlink"/>
            <w:rFonts w:ascii="SimSun" w:eastAsia="SimSun" w:hAnsi="SimSun" w:cs="Arial"/>
            <w:sz w:val="18"/>
            <w:szCs w:val="18"/>
          </w:rPr>
          <w:t>https://www.wipo.int/edocs/mdocs/govbody/en/wo_pbc_35/wo_pbc_35_3.pdf</w:t>
        </w:r>
      </w:hyperlink>
    </w:p>
  </w:footnote>
  <w:footnote w:id="6">
    <w:p w14:paraId="79437EC0" w14:textId="4FC0352A" w:rsidR="00EA5678" w:rsidRPr="00576490" w:rsidRDefault="00215138" w:rsidP="00576490">
      <w:pPr>
        <w:pStyle w:val="FootnoteText"/>
        <w:rPr>
          <w:rFonts w:ascii="SimSun" w:eastAsia="SimSun" w:hAnsi="SimSun"/>
          <w:sz w:val="18"/>
          <w:szCs w:val="18"/>
        </w:rPr>
      </w:pPr>
      <w:r w:rsidRPr="00576490">
        <w:rPr>
          <w:rStyle w:val="FootnoteReference"/>
          <w:rFonts w:ascii="SimSun" w:eastAsia="SimSun" w:hAnsi="SimSun"/>
          <w:sz w:val="18"/>
          <w:szCs w:val="18"/>
        </w:rPr>
        <w:footnoteRef/>
      </w:r>
      <w:r w:rsidR="00576490">
        <w:rPr>
          <w:rFonts w:ascii="SimSun" w:eastAsia="SimSun" w:hAnsi="SimSun" w:cs="Arial" w:hint="eastAsia"/>
          <w:sz w:val="18"/>
          <w:szCs w:val="18"/>
        </w:rPr>
        <w:t xml:space="preserve"> </w:t>
      </w:r>
      <w:r w:rsidR="00576490">
        <w:rPr>
          <w:rFonts w:ascii="SimSun" w:eastAsia="SimSun" w:hAnsi="SimSun" w:cs="Arial"/>
          <w:sz w:val="18"/>
          <w:szCs w:val="18"/>
        </w:rPr>
        <w:tab/>
      </w:r>
      <w:r w:rsidRPr="00576490">
        <w:rPr>
          <w:rFonts w:ascii="SimSun" w:eastAsia="SimSun" w:hAnsi="SimSun" w:cs="Arial"/>
          <w:sz w:val="18"/>
          <w:szCs w:val="18"/>
        </w:rPr>
        <w:t>尽管他们可能还没有完成这个过程。</w:t>
      </w:r>
    </w:p>
  </w:footnote>
  <w:footnote w:id="7">
    <w:p w14:paraId="2D627194" w14:textId="28F8D419" w:rsidR="00EA5678" w:rsidRPr="00576490" w:rsidRDefault="00215138" w:rsidP="00576490">
      <w:pPr>
        <w:pStyle w:val="FootnoteText"/>
        <w:rPr>
          <w:rFonts w:ascii="SimSun" w:eastAsia="SimSun" w:hAnsi="SimSun"/>
          <w:sz w:val="18"/>
          <w:szCs w:val="18"/>
        </w:rPr>
      </w:pPr>
      <w:r w:rsidRPr="00576490">
        <w:rPr>
          <w:rStyle w:val="FootnoteReference"/>
          <w:rFonts w:ascii="SimSun" w:eastAsia="SimSun" w:hAnsi="SimSun"/>
          <w:sz w:val="18"/>
          <w:szCs w:val="18"/>
        </w:rPr>
        <w:footnoteRef/>
      </w:r>
      <w:r w:rsidR="00576490">
        <w:rPr>
          <w:rFonts w:ascii="SimSun" w:eastAsia="SimSun" w:hAnsi="SimSun" w:cs="Arial"/>
          <w:sz w:val="18"/>
          <w:szCs w:val="18"/>
        </w:rPr>
        <w:tab/>
      </w:r>
      <w:hyperlink r:id="rId3" w:history="1">
        <w:r w:rsidR="00576490" w:rsidRPr="009003BA">
          <w:rPr>
            <w:rStyle w:val="Hyperlink"/>
            <w:rFonts w:ascii="SimSun" w:eastAsia="SimSun" w:hAnsi="SimSun" w:cs="Arial"/>
            <w:sz w:val="18"/>
            <w:szCs w:val="18"/>
          </w:rPr>
          <w:t>https://www.wipo.int/ip-development/en/policy_legislative_assistance/</w:t>
        </w:r>
      </w:hyperlink>
    </w:p>
  </w:footnote>
  <w:footnote w:id="8">
    <w:p w14:paraId="34AC0EE9" w14:textId="6D069B02" w:rsidR="00EA5678" w:rsidRPr="00576490" w:rsidRDefault="00215138" w:rsidP="00576490">
      <w:pPr>
        <w:pStyle w:val="FootnoteText"/>
        <w:rPr>
          <w:rFonts w:ascii="SimSun" w:eastAsia="SimSun" w:hAnsi="SimSun" w:cs="Arial"/>
          <w:sz w:val="18"/>
          <w:szCs w:val="18"/>
        </w:rPr>
      </w:pPr>
      <w:r w:rsidRPr="00576490">
        <w:rPr>
          <w:rStyle w:val="FootnoteReference"/>
          <w:rFonts w:ascii="SimSun" w:eastAsia="SimSun" w:hAnsi="SimSun" w:cs="Arial"/>
          <w:sz w:val="18"/>
          <w:szCs w:val="18"/>
        </w:rPr>
        <w:footnoteRef/>
      </w:r>
      <w:r w:rsidR="00576490">
        <w:rPr>
          <w:rFonts w:ascii="SimSun" w:eastAsia="SimSun" w:hAnsi="SimSun" w:cs="Arial"/>
          <w:sz w:val="18"/>
          <w:szCs w:val="18"/>
        </w:rPr>
        <w:tab/>
      </w:r>
      <w:hyperlink r:id="rId4" w:history="1">
        <w:r w:rsidRPr="00576490">
          <w:rPr>
            <w:rStyle w:val="Hyperlink"/>
            <w:rFonts w:ascii="SimSun" w:eastAsia="SimSun" w:hAnsi="SimSun" w:cs="Arial"/>
            <w:sz w:val="18"/>
            <w:szCs w:val="18"/>
          </w:rPr>
          <w:t>https://www.wipo.int/web/wipolex/faq</w:t>
        </w:r>
      </w:hyperlink>
    </w:p>
  </w:footnote>
  <w:footnote w:id="9">
    <w:p w14:paraId="47C4D9CF" w14:textId="2A73B461" w:rsidR="00EA5678" w:rsidRPr="00576490" w:rsidRDefault="00215138" w:rsidP="00576490">
      <w:pPr>
        <w:pStyle w:val="FootnoteText"/>
        <w:rPr>
          <w:rFonts w:ascii="SimSun" w:eastAsia="SimSun" w:hAnsi="SimSun" w:cs="Arial"/>
          <w:sz w:val="18"/>
          <w:szCs w:val="18"/>
        </w:rPr>
      </w:pPr>
      <w:r w:rsidRPr="00576490">
        <w:rPr>
          <w:rStyle w:val="FootnoteReference"/>
          <w:rFonts w:ascii="SimSun" w:eastAsia="SimSun" w:hAnsi="SimSun" w:cs="Arial"/>
          <w:sz w:val="18"/>
          <w:szCs w:val="18"/>
        </w:rPr>
        <w:footnoteRef/>
      </w:r>
      <w:r w:rsidRPr="00576490">
        <w:rPr>
          <w:rFonts w:ascii="SimSun" w:eastAsia="SimSun" w:hAnsi="SimSun" w:cs="Arial"/>
          <w:sz w:val="18"/>
          <w:szCs w:val="18"/>
        </w:rPr>
        <w:t xml:space="preserve"> </w:t>
      </w:r>
      <w:r w:rsidR="00576490">
        <w:rPr>
          <w:rFonts w:ascii="SimSun" w:eastAsia="SimSun" w:hAnsi="SimSun" w:cs="Arial"/>
          <w:sz w:val="18"/>
          <w:szCs w:val="18"/>
        </w:rPr>
        <w:tab/>
      </w:r>
      <w:r w:rsidRPr="00576490">
        <w:rPr>
          <w:rFonts w:ascii="SimSun" w:eastAsia="SimSun" w:hAnsi="SimSun" w:cs="Arial"/>
          <w:sz w:val="18"/>
          <w:szCs w:val="18"/>
        </w:rPr>
        <w:t>2022年产权组织绩效报告。</w:t>
      </w:r>
      <w:hyperlink r:id="rId5" w:history="1">
        <w:r w:rsidRPr="00576490">
          <w:rPr>
            <w:rStyle w:val="Hyperlink"/>
            <w:rFonts w:ascii="SimSun" w:eastAsia="SimSun" w:hAnsi="SimSun" w:cs="Arial"/>
            <w:sz w:val="18"/>
            <w:szCs w:val="18"/>
          </w:rPr>
          <w:t>https://www.wipo.int/edocs/mdocs/govbody/en/wo_pbc_35/wo_pbc_35_3_rev.pdf</w:t>
        </w:r>
      </w:hyperlink>
    </w:p>
  </w:footnote>
  <w:footnote w:id="10">
    <w:p w14:paraId="65E4B9E1" w14:textId="17F275C2" w:rsidR="00EA5678" w:rsidRPr="00576490" w:rsidRDefault="00215138" w:rsidP="00576490">
      <w:pPr>
        <w:pStyle w:val="FootnoteText"/>
        <w:rPr>
          <w:rFonts w:ascii="SimSun" w:eastAsia="SimSun" w:hAnsi="SimSun" w:cs="Arial"/>
          <w:sz w:val="18"/>
          <w:szCs w:val="18"/>
        </w:rPr>
      </w:pPr>
      <w:r w:rsidRPr="00576490">
        <w:rPr>
          <w:rStyle w:val="FootnoteReference"/>
          <w:rFonts w:ascii="SimSun" w:eastAsia="SimSun" w:hAnsi="SimSun" w:cs="Arial"/>
          <w:sz w:val="18"/>
          <w:szCs w:val="18"/>
        </w:rPr>
        <w:footnoteRef/>
      </w:r>
      <w:r w:rsidRPr="00576490">
        <w:rPr>
          <w:rFonts w:ascii="SimSun" w:eastAsia="SimSun" w:hAnsi="SimSun" w:cs="Arial"/>
          <w:sz w:val="18"/>
          <w:szCs w:val="18"/>
        </w:rPr>
        <w:t xml:space="preserve"> </w:t>
      </w:r>
      <w:r w:rsidR="00576490">
        <w:rPr>
          <w:rFonts w:ascii="SimSun" w:eastAsia="SimSun" w:hAnsi="SimSun" w:cs="Arial"/>
          <w:sz w:val="18"/>
          <w:szCs w:val="18"/>
        </w:rPr>
        <w:tab/>
      </w:r>
      <w:r w:rsidRPr="00576490">
        <w:rPr>
          <w:rFonts w:ascii="SimSun" w:eastAsia="SimSun" w:hAnsi="SimSun" w:cs="Arial"/>
          <w:sz w:val="18"/>
          <w:szCs w:val="18"/>
        </w:rPr>
        <w:t>同上。</w:t>
      </w:r>
    </w:p>
  </w:footnote>
  <w:footnote w:id="11">
    <w:p w14:paraId="12BBEB38" w14:textId="1B0083A8" w:rsidR="00EA5678" w:rsidRPr="00A23549" w:rsidRDefault="00215138" w:rsidP="00576490">
      <w:pPr>
        <w:pStyle w:val="FootnoteText"/>
        <w:rPr>
          <w:rFonts w:ascii="SimSun" w:eastAsia="SimSun" w:hAnsi="SimSun" w:cstheme="minorHAnsi"/>
          <w:sz w:val="18"/>
          <w:szCs w:val="18"/>
        </w:rPr>
      </w:pPr>
      <w:r w:rsidRPr="00576490">
        <w:rPr>
          <w:rStyle w:val="FootnoteReference"/>
          <w:rFonts w:ascii="SimSun" w:eastAsia="SimSun" w:hAnsi="SimSun" w:cs="Arial"/>
          <w:sz w:val="18"/>
          <w:szCs w:val="18"/>
        </w:rPr>
        <w:footnoteRef/>
      </w:r>
      <w:r w:rsidRPr="00576490">
        <w:rPr>
          <w:rFonts w:ascii="SimSun" w:eastAsia="SimSun" w:hAnsi="SimSun" w:cs="Arial"/>
          <w:sz w:val="18"/>
          <w:szCs w:val="18"/>
        </w:rPr>
        <w:t xml:space="preserve"> </w:t>
      </w:r>
      <w:r w:rsidR="00576490">
        <w:rPr>
          <w:rFonts w:ascii="SimSun" w:eastAsia="SimSun" w:hAnsi="SimSun" w:cs="Arial"/>
          <w:sz w:val="18"/>
          <w:szCs w:val="18"/>
        </w:rPr>
        <w:tab/>
      </w:r>
      <w:r w:rsidRPr="00576490">
        <w:rPr>
          <w:rFonts w:ascii="SimSun" w:eastAsia="SimSun" w:hAnsi="SimSun" w:cs="Arial"/>
          <w:sz w:val="18"/>
          <w:szCs w:val="18"/>
        </w:rPr>
        <w:t>相反，第二年（2023年）WIPO Lex表现优异，用户数量增长了94%。2023年产权组织绩效报告。</w:t>
      </w:r>
      <w:hyperlink r:id="rId6" w:history="1">
        <w:r w:rsidRPr="00576490">
          <w:rPr>
            <w:rStyle w:val="Hyperlink"/>
            <w:rFonts w:ascii="SimSun" w:eastAsia="SimSun" w:hAnsi="SimSun" w:cs="Arial"/>
            <w:sz w:val="18"/>
            <w:szCs w:val="18"/>
            <w:lang w:val="pl-PL"/>
          </w:rPr>
          <w:t>https://www.wipo.int/edocs/mdocs/govbody/en/wo_pbc_37/wo_pbc_37_7.pdf</w:t>
        </w:r>
      </w:hyperlink>
    </w:p>
  </w:footnote>
  <w:footnote w:id="12">
    <w:p w14:paraId="4E3B8E32" w14:textId="595D6E8E" w:rsidR="00EA5678" w:rsidRPr="00A23549" w:rsidRDefault="00215138" w:rsidP="00576490">
      <w:pPr>
        <w:pStyle w:val="FootnoteText"/>
        <w:rPr>
          <w:rFonts w:ascii="SimSun" w:eastAsia="SimSun" w:hAnsi="SimSun" w:cstheme="minorHAnsi"/>
          <w:sz w:val="18"/>
          <w:szCs w:val="18"/>
        </w:rPr>
      </w:pPr>
      <w:r w:rsidRPr="00576490">
        <w:rPr>
          <w:rStyle w:val="FootnoteReference"/>
          <w:rFonts w:ascii="SimSun" w:eastAsia="SimSun" w:hAnsi="SimSun"/>
          <w:sz w:val="18"/>
          <w:szCs w:val="18"/>
        </w:rPr>
        <w:footnoteRef/>
      </w:r>
      <w:r w:rsidR="00576490">
        <w:rPr>
          <w:rFonts w:ascii="SimSun" w:eastAsia="SimSun" w:hAnsi="SimSun" w:hint="eastAsia"/>
          <w:sz w:val="18"/>
          <w:szCs w:val="18"/>
        </w:rPr>
        <w:t xml:space="preserve"> </w:t>
      </w:r>
      <w:r w:rsidR="00576490">
        <w:rPr>
          <w:rFonts w:ascii="SimSun" w:eastAsia="SimSun" w:hAnsi="SimSun"/>
          <w:sz w:val="18"/>
          <w:szCs w:val="18"/>
        </w:rPr>
        <w:tab/>
      </w:r>
      <w:r w:rsidRPr="00576490">
        <w:rPr>
          <w:rFonts w:ascii="SimSun" w:eastAsia="SimSun" w:hAnsi="SimSun"/>
          <w:sz w:val="18"/>
          <w:szCs w:val="18"/>
        </w:rPr>
        <w:t>创新推动人类进步：产权组织和可持续发展目标</w:t>
      </w:r>
      <w:hyperlink r:id="rId7" w:history="1">
        <w:r w:rsidRPr="00576490">
          <w:rPr>
            <w:rStyle w:val="Hyperlink"/>
            <w:rFonts w:ascii="SimSun" w:eastAsia="SimSun" w:hAnsi="SimSun" w:cs="Arial"/>
            <w:sz w:val="18"/>
            <w:szCs w:val="18"/>
          </w:rPr>
          <w:t>https://www.wipo.int/edocs/pubdocs/en/wipo_pub_1061.pdf</w:t>
        </w:r>
      </w:hyperlink>
      <w:hyperlink r:id="rId8" w:history="1">
        <w:r w:rsidR="00E91362" w:rsidRPr="00E91362">
          <w:rPr>
            <w:rStyle w:val="Hyperlink"/>
            <w:rFonts w:ascii="SimSun" w:eastAsia="SimSun" w:hAnsi="Calibri" w:cs="Calibri"/>
            <w:sz w:val="22"/>
            <w:szCs w:val="22"/>
            <w:lang w:val="en-US"/>
          </w:rPr>
          <w:t>https://www.wipo.int/edocs/pubdocs/en/wipo_pub_1061.pdf</w:t>
        </w:r>
      </w:hyperlink>
    </w:p>
  </w:footnote>
  <w:footnote w:id="13">
    <w:p w14:paraId="5DCAFF9C" w14:textId="4A3717B9" w:rsidR="00EA5678" w:rsidRPr="00576490" w:rsidRDefault="00215138" w:rsidP="00576490">
      <w:pPr>
        <w:spacing w:after="0" w:line="240" w:lineRule="auto"/>
        <w:rPr>
          <w:rFonts w:hAnsi="SimSun" w:cs="Arial"/>
          <w:color w:val="404040" w:themeColor="text1" w:themeTint="BF"/>
          <w:kern w:val="24"/>
          <w:sz w:val="18"/>
          <w:szCs w:val="18"/>
        </w:rPr>
      </w:pPr>
      <w:r w:rsidRPr="00576490">
        <w:rPr>
          <w:rStyle w:val="FootnoteReference"/>
          <w:rFonts w:hAnsi="SimSun" w:cs="Arial"/>
          <w:sz w:val="18"/>
          <w:szCs w:val="18"/>
        </w:rPr>
        <w:footnoteRef/>
      </w:r>
      <w:r w:rsidRPr="00576490">
        <w:rPr>
          <w:rFonts w:hAnsi="SimSun" w:cs="Arial"/>
          <w:color w:val="404040" w:themeColor="text1" w:themeTint="BF"/>
          <w:kern w:val="24"/>
          <w:sz w:val="18"/>
          <w:szCs w:val="18"/>
        </w:rPr>
        <w:t xml:space="preserve"> </w:t>
      </w:r>
      <w:r w:rsidR="00576490">
        <w:rPr>
          <w:rFonts w:hAnsi="SimSun" w:cs="Arial"/>
          <w:color w:val="404040" w:themeColor="text1" w:themeTint="BF"/>
          <w:kern w:val="24"/>
          <w:sz w:val="18"/>
          <w:szCs w:val="18"/>
        </w:rPr>
        <w:tab/>
      </w:r>
      <w:r w:rsidRPr="00576490">
        <w:rPr>
          <w:rFonts w:hAnsi="SimSun" w:cs="Arial"/>
          <w:color w:val="404040" w:themeColor="text1" w:themeTint="BF"/>
          <w:kern w:val="24"/>
          <w:sz w:val="18"/>
          <w:szCs w:val="18"/>
        </w:rPr>
        <w:t>联合国经济和社会事务部——可持续发展。</w:t>
      </w:r>
      <w:hyperlink r:id="rId9" w:history="1">
        <w:r w:rsidRPr="00576490">
          <w:rPr>
            <w:rStyle w:val="Hyperlink"/>
            <w:rFonts w:hAnsi="SimSun" w:cs="Arial"/>
            <w:sz w:val="18"/>
            <w:szCs w:val="18"/>
          </w:rPr>
          <w:t>https://sdgs.un.org/node/24505</w:t>
        </w:r>
      </w:hyperlink>
    </w:p>
  </w:footnote>
  <w:footnote w:id="14">
    <w:p w14:paraId="4FBCEFA5" w14:textId="50A161F7" w:rsidR="00EA5678" w:rsidRPr="00576490" w:rsidRDefault="00215138" w:rsidP="00576490">
      <w:pPr>
        <w:pStyle w:val="FootnoteText"/>
        <w:rPr>
          <w:rFonts w:ascii="SimSun" w:eastAsia="SimSun" w:hAnsi="SimSun" w:cs="Arial"/>
          <w:sz w:val="18"/>
          <w:szCs w:val="18"/>
        </w:rPr>
      </w:pPr>
      <w:r w:rsidRPr="00576490">
        <w:rPr>
          <w:rStyle w:val="FootnoteReference"/>
          <w:rFonts w:ascii="SimSun" w:eastAsia="SimSun" w:hAnsi="SimSun" w:cs="Arial"/>
          <w:sz w:val="18"/>
          <w:szCs w:val="18"/>
        </w:rPr>
        <w:footnoteRef/>
      </w:r>
      <w:r w:rsidRPr="00576490">
        <w:rPr>
          <w:rFonts w:ascii="SimSun" w:eastAsia="SimSun" w:hAnsi="SimSun" w:cs="Arial"/>
          <w:sz w:val="18"/>
          <w:szCs w:val="18"/>
        </w:rPr>
        <w:t xml:space="preserve"> </w:t>
      </w:r>
      <w:r w:rsidR="00576490">
        <w:rPr>
          <w:rFonts w:ascii="SimSun" w:eastAsia="SimSun" w:hAnsi="SimSun" w:cs="Arial"/>
          <w:sz w:val="18"/>
          <w:szCs w:val="18"/>
        </w:rPr>
        <w:tab/>
      </w:r>
      <w:r w:rsidRPr="00576490">
        <w:rPr>
          <w:rFonts w:ascii="SimSun" w:eastAsia="SimSun" w:hAnsi="SimSun" w:cs="Arial"/>
          <w:sz w:val="18"/>
          <w:szCs w:val="18"/>
        </w:rPr>
        <w:t>关于产权组织对落实可持续发展目标及其相关具体目标所作贡献的报告。CDIP/30/14。</w:t>
      </w:r>
      <w:hyperlink r:id="rId10" w:history="1">
        <w:r w:rsidRPr="00576490">
          <w:rPr>
            <w:rStyle w:val="Hyperlink"/>
            <w:rFonts w:ascii="SimSun" w:eastAsia="SimSun" w:hAnsi="SimSun" w:cs="Arial"/>
            <w:sz w:val="18"/>
            <w:szCs w:val="18"/>
          </w:rPr>
          <w:t>https://www.wipo.int/edocs/mdocs/mdocs/en/cdip_30/cdip_30_14.pdf</w:t>
        </w:r>
      </w:hyperlink>
    </w:p>
  </w:footnote>
  <w:footnote w:id="15">
    <w:p w14:paraId="72F54944" w14:textId="16037E14" w:rsidR="00EA5678" w:rsidRPr="00576490" w:rsidRDefault="00215138" w:rsidP="00576490">
      <w:pPr>
        <w:spacing w:after="0" w:line="240" w:lineRule="auto"/>
        <w:rPr>
          <w:rFonts w:hAnsi="SimSun"/>
          <w:sz w:val="18"/>
          <w:szCs w:val="18"/>
        </w:rPr>
      </w:pPr>
      <w:r w:rsidRPr="00576490">
        <w:rPr>
          <w:rStyle w:val="FootnoteReference"/>
          <w:rFonts w:hAnsi="SimSun" w:cs="Arial"/>
          <w:sz w:val="18"/>
          <w:szCs w:val="18"/>
        </w:rPr>
        <w:footnoteRef/>
      </w:r>
      <w:r w:rsidRPr="00576490">
        <w:rPr>
          <w:rFonts w:hAnsi="SimSun" w:cs="Arial"/>
          <w:sz w:val="18"/>
          <w:szCs w:val="18"/>
        </w:rPr>
        <w:t xml:space="preserve"> </w:t>
      </w:r>
      <w:r w:rsidR="00576490">
        <w:rPr>
          <w:rFonts w:hAnsi="SimSun" w:cs="Arial"/>
          <w:sz w:val="18"/>
          <w:szCs w:val="18"/>
        </w:rPr>
        <w:tab/>
      </w:r>
      <w:r w:rsidRPr="00576490">
        <w:rPr>
          <w:rFonts w:hAnsi="SimSun" w:cs="Arial"/>
          <w:sz w:val="18"/>
          <w:szCs w:val="18"/>
        </w:rPr>
        <w:t>CDIP/25/6，第39页。发展与知识产权委员会（CDIP）第二十五届会议。2020年5月18日至22日，日内瓦</w:t>
      </w:r>
      <w:bookmarkStart w:id="314" w:name="TitleOfDoc"/>
      <w:bookmarkEnd w:id="314"/>
      <w:r w:rsidRPr="00576490">
        <w:rPr>
          <w:rFonts w:hAnsi="SimSun" w:cs="Arial"/>
          <w:sz w:val="18"/>
          <w:szCs w:val="18"/>
        </w:rPr>
        <w:t>。关于产权组织对落实可持续发展目标及其相关具体目标所作的贡献的报告</w:t>
      </w:r>
      <w:hyperlink r:id="rId11" w:history="1">
        <w:r w:rsidRPr="00576490">
          <w:rPr>
            <w:rStyle w:val="Hyperlink"/>
            <w:rFonts w:hAnsi="SimSun" w:cs="Arial"/>
            <w:sz w:val="18"/>
            <w:szCs w:val="18"/>
          </w:rPr>
          <w:t>https://www.wipo.int/edocs/mdocs/mdocs/en/cdip_25/cdip_25_6.pdf</w:t>
        </w:r>
      </w:hyperlink>
    </w:p>
  </w:footnote>
  <w:footnote w:id="16">
    <w:p w14:paraId="4708B83A" w14:textId="120CADA5" w:rsidR="00EA5678" w:rsidRPr="00576490" w:rsidRDefault="00215138" w:rsidP="00576490">
      <w:pPr>
        <w:spacing w:after="0" w:line="240" w:lineRule="auto"/>
        <w:rPr>
          <w:rFonts w:hAnsi="SimSun" w:cs="Arial"/>
          <w:sz w:val="18"/>
          <w:szCs w:val="18"/>
        </w:rPr>
      </w:pPr>
      <w:r w:rsidRPr="00576490">
        <w:rPr>
          <w:rStyle w:val="FootnoteReference"/>
          <w:rFonts w:hAnsi="SimSun" w:cs="Arial"/>
          <w:sz w:val="18"/>
          <w:szCs w:val="18"/>
        </w:rPr>
        <w:footnoteRef/>
      </w:r>
      <w:r w:rsidRPr="00576490">
        <w:rPr>
          <w:rFonts w:hAnsi="SimSun" w:cs="Arial"/>
          <w:sz w:val="18"/>
          <w:szCs w:val="18"/>
        </w:rPr>
        <w:t xml:space="preserve"> </w:t>
      </w:r>
      <w:r w:rsidR="00576490">
        <w:rPr>
          <w:rFonts w:hAnsi="SimSun" w:cs="Arial"/>
          <w:sz w:val="18"/>
          <w:szCs w:val="18"/>
        </w:rPr>
        <w:tab/>
      </w:r>
      <w:r w:rsidRPr="00576490">
        <w:rPr>
          <w:rFonts w:hAnsi="SimSun" w:cs="Arial"/>
          <w:sz w:val="18"/>
          <w:szCs w:val="18"/>
        </w:rPr>
        <w:t>CDIP/25/6，第39页。发展与知识产权委员会（CDIP）第二十五届会议。2020年5月18日至22日，日内瓦。关于产权组织对落实可持续发展目标及其相关具体目标所作贡献的报告</w:t>
      </w:r>
      <w:hyperlink r:id="rId12" w:history="1">
        <w:r w:rsidRPr="00576490">
          <w:rPr>
            <w:rStyle w:val="Hyperlink"/>
            <w:rFonts w:hAnsi="SimSun" w:cs="Arial"/>
            <w:sz w:val="18"/>
            <w:szCs w:val="18"/>
          </w:rPr>
          <w:t>https://www.wipo.int/edocs/mdocs/mdocs/en/cdip_25/cdip_25_6.pdf</w:t>
        </w:r>
      </w:hyperlink>
    </w:p>
  </w:footnote>
  <w:footnote w:id="17">
    <w:p w14:paraId="34907318" w14:textId="500E8653" w:rsidR="00EA5678" w:rsidRPr="00576490" w:rsidRDefault="00215138" w:rsidP="00576490">
      <w:pPr>
        <w:pStyle w:val="FootnoteText"/>
        <w:rPr>
          <w:rFonts w:ascii="SimSun" w:eastAsia="SimSun" w:hAnsi="SimSun" w:cs="Arial"/>
          <w:sz w:val="18"/>
          <w:szCs w:val="18"/>
        </w:rPr>
      </w:pPr>
      <w:r w:rsidRPr="00576490">
        <w:rPr>
          <w:rStyle w:val="FootnoteReference"/>
          <w:rFonts w:ascii="SimSun" w:eastAsia="SimSun" w:hAnsi="SimSun" w:cs="Arial"/>
          <w:sz w:val="18"/>
          <w:szCs w:val="18"/>
        </w:rPr>
        <w:footnoteRef/>
      </w:r>
      <w:r w:rsidRPr="00576490">
        <w:rPr>
          <w:rFonts w:ascii="SimSun" w:eastAsia="SimSun" w:hAnsi="SimSun" w:cs="Arial"/>
          <w:sz w:val="18"/>
          <w:szCs w:val="18"/>
        </w:rPr>
        <w:t xml:space="preserve"> </w:t>
      </w:r>
      <w:r w:rsidR="00576490">
        <w:rPr>
          <w:rFonts w:ascii="SimSun" w:eastAsia="SimSun" w:hAnsi="SimSun" w:cs="Arial"/>
          <w:sz w:val="18"/>
          <w:szCs w:val="18"/>
        </w:rPr>
        <w:tab/>
      </w:r>
      <w:hyperlink r:id="rId13" w:history="1">
        <w:r w:rsidRPr="00576490">
          <w:rPr>
            <w:rStyle w:val="Hyperlink"/>
            <w:rFonts w:ascii="SimSun" w:eastAsia="SimSun" w:hAnsi="SimSun" w:cs="Arial"/>
            <w:sz w:val="18"/>
            <w:szCs w:val="18"/>
          </w:rPr>
          <w:t>https://www.wipo.int/academy/en/training_institutions.html</w:t>
        </w:r>
      </w:hyperlink>
    </w:p>
  </w:footnote>
  <w:footnote w:id="18">
    <w:p w14:paraId="249C3A62" w14:textId="0F78BE51" w:rsidR="00EA5678" w:rsidRPr="00E775A9" w:rsidRDefault="00215138" w:rsidP="00576490">
      <w:pPr>
        <w:pStyle w:val="FootnoteText"/>
        <w:rPr>
          <w:rFonts w:ascii="SimSun" w:eastAsia="SimSun" w:hAnsi="SimSun"/>
        </w:rPr>
      </w:pPr>
      <w:r w:rsidRPr="00576490">
        <w:rPr>
          <w:rStyle w:val="FootnoteReference"/>
          <w:rFonts w:ascii="SimSun" w:eastAsia="SimSun" w:hAnsi="SimSun" w:cs="Arial"/>
          <w:sz w:val="18"/>
          <w:szCs w:val="18"/>
        </w:rPr>
        <w:footnoteRef/>
      </w:r>
      <w:r w:rsidRPr="00576490">
        <w:rPr>
          <w:rFonts w:ascii="SimSun" w:eastAsia="SimSun" w:hAnsi="SimSun" w:cs="Arial"/>
          <w:sz w:val="18"/>
          <w:szCs w:val="18"/>
        </w:rPr>
        <w:t xml:space="preserve"> </w:t>
      </w:r>
      <w:r w:rsidR="00576490">
        <w:rPr>
          <w:rFonts w:ascii="SimSun" w:eastAsia="SimSun" w:hAnsi="SimSun" w:cs="Arial"/>
          <w:sz w:val="18"/>
          <w:szCs w:val="18"/>
        </w:rPr>
        <w:tab/>
      </w:r>
      <w:r w:rsidRPr="00576490">
        <w:rPr>
          <w:rFonts w:ascii="SimSun" w:eastAsia="SimSun" w:hAnsi="SimSun" w:cs="Arial"/>
          <w:sz w:val="18"/>
          <w:szCs w:val="18"/>
        </w:rPr>
        <w:t>2022年TISC报告，第8页。</w:t>
      </w:r>
      <w:hyperlink r:id="rId14" w:history="1">
        <w:r w:rsidRPr="00576490">
          <w:rPr>
            <w:rStyle w:val="Hyperlink"/>
            <w:rFonts w:ascii="SimSun" w:eastAsia="SimSun" w:hAnsi="SimSun" w:cs="Arial"/>
            <w:sz w:val="18"/>
            <w:szCs w:val="18"/>
          </w:rPr>
          <w:t>https://www.wipo.int/edocs/pubdocs/en/wipo-pub-1059-22-en-wipo-resources-tiscs-and-ttos-report-2022.pdf</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0712F7" w14:textId="77777777" w:rsidR="00EA5678" w:rsidRPr="00E775A9" w:rsidRDefault="00215138" w:rsidP="0052378E">
    <w:pPr>
      <w:spacing w:after="0" w:line="240" w:lineRule="auto"/>
      <w:jc w:val="right"/>
      <w:rPr>
        <w:rFonts w:hAnsi="SimSun" w:cs="Arial"/>
        <w:caps/>
      </w:rPr>
    </w:pPr>
    <w:r w:rsidRPr="00E775A9">
      <w:rPr>
        <w:rFonts w:hAnsi="SimSun" w:cs="Arial"/>
        <w:caps/>
      </w:rPr>
      <w:t>CDIP/33/4</w:t>
    </w:r>
  </w:p>
  <w:p w14:paraId="086F768F" w14:textId="22CE8239" w:rsidR="00EA5678" w:rsidRPr="00E775A9" w:rsidRDefault="00215138" w:rsidP="0052378E">
    <w:pPr>
      <w:spacing w:afterLines="100" w:after="240" w:line="240" w:lineRule="auto"/>
      <w:jc w:val="right"/>
      <w:rPr>
        <w:rFonts w:hAnsi="SimSun" w:cs="Arial"/>
      </w:rPr>
    </w:pPr>
    <w:r w:rsidRPr="00E775A9">
      <w:rPr>
        <w:rFonts w:hAnsi="SimSun" w:cs="Arial"/>
      </w:rPr>
      <w:t>附件第</w:t>
    </w:r>
    <w:r w:rsidRPr="00E775A9">
      <w:rPr>
        <w:rFonts w:hAnsi="SimSun" w:cs="Arial"/>
      </w:rPr>
      <w:fldChar w:fldCharType="begin"/>
    </w:r>
    <w:r w:rsidRPr="00E775A9">
      <w:rPr>
        <w:rFonts w:hAnsi="SimSun" w:cs="Arial"/>
      </w:rPr>
      <w:instrText xml:space="preserve"> PAGE  \* MERGEFORMAT </w:instrText>
    </w:r>
    <w:r w:rsidRPr="00E775A9">
      <w:rPr>
        <w:rFonts w:hAnsi="SimSun" w:cs="Arial"/>
      </w:rPr>
      <w:fldChar w:fldCharType="separate"/>
    </w:r>
    <w:r w:rsidRPr="00E775A9">
      <w:rPr>
        <w:rFonts w:hAnsi="SimSun" w:cs="Arial"/>
      </w:rPr>
      <w:t>2</w:t>
    </w:r>
    <w:r w:rsidRPr="00E775A9">
      <w:rPr>
        <w:rFonts w:hAnsi="SimSun" w:cs="Arial"/>
      </w:rPr>
      <w:fldChar w:fldCharType="end"/>
    </w:r>
    <w:r w:rsidRPr="00E775A9">
      <w:rPr>
        <w:rFonts w:hAnsi="SimSun" w:cs="Arial"/>
      </w:rPr>
      <w:t>页</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3A77A16" w14:textId="77777777" w:rsidR="00A3351A" w:rsidRPr="00E775A9" w:rsidRDefault="00A3351A" w:rsidP="00A3351A">
    <w:pPr>
      <w:spacing w:after="0" w:line="240" w:lineRule="auto"/>
      <w:jc w:val="right"/>
      <w:rPr>
        <w:rFonts w:hAnsi="SimSun" w:cs="Arial"/>
        <w:caps/>
      </w:rPr>
    </w:pPr>
    <w:r w:rsidRPr="00E775A9">
      <w:rPr>
        <w:rFonts w:hAnsi="SimSun" w:cs="Arial"/>
        <w:caps/>
      </w:rPr>
      <w:t>CDIP/33/4</w:t>
    </w:r>
  </w:p>
  <w:p w14:paraId="14029F57" w14:textId="692050F7" w:rsidR="00A3351A" w:rsidRDefault="00A3351A" w:rsidP="0052378E">
    <w:pPr>
      <w:pStyle w:val="Header"/>
      <w:spacing w:afterLines="100" w:after="240"/>
      <w:jc w:val="right"/>
    </w:pPr>
    <w:r w:rsidRPr="00E775A9">
      <w:rPr>
        <w:rFonts w:hAnsi="SimSun" w:cs="Arial"/>
      </w:rPr>
      <w:t>附</w:t>
    </w:r>
    <w:r w:rsidRPr="00E775A9">
      <w:rPr>
        <w:rFonts w:hAnsi="SimSun" w:cs="Arial" w:hint="eastAsia"/>
      </w:rPr>
      <w:t xml:space="preserve">　</w:t>
    </w:r>
    <w:r w:rsidRPr="00E775A9">
      <w:rPr>
        <w:rFonts w:hAnsi="SimSun" w:cs="Arial"/>
      </w:rPr>
      <w:t>件</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73A06"/>
    <w:multiLevelType w:val="multilevel"/>
    <w:tmpl w:val="00073A06"/>
    <w:lvl w:ilvl="0">
      <w:start w:val="1"/>
      <w:numFmt w:val="lowerLetter"/>
      <w:lvlText w:val="%1."/>
      <w:lvlJc w:val="left"/>
      <w:pPr>
        <w:ind w:left="360" w:hanging="360"/>
      </w:pPr>
      <w:rPr>
        <w:rFonts w:hint="default"/>
        <w:sz w:val="24"/>
        <w:szCs w:val="24"/>
      </w:rPr>
    </w:lvl>
    <w:lvl w:ilvl="1">
      <w:start w:val="1"/>
      <w:numFmt w:val="lowerLetter"/>
      <w:lvlText w:val="%2."/>
      <w:lvlJc w:val="left"/>
      <w:pPr>
        <w:ind w:left="720" w:hanging="360"/>
      </w:p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1" w15:restartNumberingAfterBreak="0">
    <w:nsid w:val="06CD29E3"/>
    <w:multiLevelType w:val="multilevel"/>
    <w:tmpl w:val="06CD29E3"/>
    <w:lvl w:ilvl="0">
      <w:start w:val="1"/>
      <w:numFmt w:val="decimal"/>
      <w:pStyle w:val="ONUME"/>
      <w:lvlText w:val="%1."/>
      <w:lvlJc w:val="left"/>
      <w:pPr>
        <w:tabs>
          <w:tab w:val="left" w:pos="567"/>
        </w:tabs>
        <w:ind w:left="0" w:firstLine="0"/>
      </w:pPr>
      <w:rPr>
        <w:rFonts w:hint="default"/>
      </w:rPr>
    </w:lvl>
    <w:lvl w:ilvl="1">
      <w:start w:val="1"/>
      <w:numFmt w:val="bullet"/>
      <w:lvlText w:val=""/>
      <w:lvlJc w:val="left"/>
      <w:pPr>
        <w:tabs>
          <w:tab w:val="left" w:pos="1134"/>
        </w:tabs>
        <w:ind w:left="567" w:firstLine="0"/>
      </w:pPr>
      <w:rPr>
        <w:rFonts w:ascii="Symbol" w:hAnsi="Symbol" w:hint="default"/>
      </w:rPr>
    </w:lvl>
    <w:lvl w:ilvl="2">
      <w:start w:val="1"/>
      <w:numFmt w:val="lowerRoman"/>
      <w:lvlText w:val="(%3)"/>
      <w:lvlJc w:val="left"/>
      <w:pPr>
        <w:tabs>
          <w:tab w:val="left" w:pos="1701"/>
        </w:tabs>
        <w:ind w:left="1134" w:firstLine="0"/>
      </w:pPr>
      <w:rPr>
        <w:rFonts w:hint="default"/>
      </w:rPr>
    </w:lvl>
    <w:lvl w:ilvl="3">
      <w:start w:val="1"/>
      <w:numFmt w:val="bullet"/>
      <w:lvlText w:val=""/>
      <w:lvlJc w:val="left"/>
      <w:pPr>
        <w:tabs>
          <w:tab w:val="left" w:pos="2268"/>
        </w:tabs>
        <w:ind w:left="1701" w:firstLine="0"/>
      </w:pPr>
      <w:rPr>
        <w:rFonts w:hint="default"/>
      </w:rPr>
    </w:lvl>
    <w:lvl w:ilvl="4">
      <w:start w:val="1"/>
      <w:numFmt w:val="bullet"/>
      <w:lvlText w:val=""/>
      <w:lvlJc w:val="left"/>
      <w:pPr>
        <w:tabs>
          <w:tab w:val="left" w:pos="2835"/>
        </w:tabs>
        <w:ind w:left="2268" w:firstLine="0"/>
      </w:pPr>
      <w:rPr>
        <w:rFonts w:hint="default"/>
      </w:rPr>
    </w:lvl>
    <w:lvl w:ilvl="5">
      <w:start w:val="1"/>
      <w:numFmt w:val="bullet"/>
      <w:lvlText w:val=""/>
      <w:lvlJc w:val="left"/>
      <w:pPr>
        <w:tabs>
          <w:tab w:val="left" w:pos="3402"/>
        </w:tabs>
        <w:ind w:left="2835" w:firstLine="0"/>
      </w:pPr>
      <w:rPr>
        <w:rFonts w:hint="default"/>
      </w:rPr>
    </w:lvl>
    <w:lvl w:ilvl="6">
      <w:start w:val="1"/>
      <w:numFmt w:val="bullet"/>
      <w:lvlText w:val=""/>
      <w:lvlJc w:val="left"/>
      <w:pPr>
        <w:tabs>
          <w:tab w:val="left" w:pos="3969"/>
        </w:tabs>
        <w:ind w:left="3402" w:firstLine="0"/>
      </w:pPr>
      <w:rPr>
        <w:rFonts w:hint="default"/>
      </w:rPr>
    </w:lvl>
    <w:lvl w:ilvl="7">
      <w:start w:val="1"/>
      <w:numFmt w:val="bullet"/>
      <w:lvlText w:val=""/>
      <w:lvlJc w:val="left"/>
      <w:pPr>
        <w:tabs>
          <w:tab w:val="left" w:pos="4535"/>
        </w:tabs>
        <w:ind w:left="3969" w:firstLine="0"/>
      </w:pPr>
      <w:rPr>
        <w:rFonts w:hint="default"/>
      </w:rPr>
    </w:lvl>
    <w:lvl w:ilvl="8">
      <w:start w:val="1"/>
      <w:numFmt w:val="bullet"/>
      <w:lvlText w:val=""/>
      <w:lvlJc w:val="left"/>
      <w:pPr>
        <w:tabs>
          <w:tab w:val="left" w:pos="5102"/>
        </w:tabs>
        <w:ind w:left="4535" w:firstLine="0"/>
      </w:pPr>
      <w:rPr>
        <w:rFonts w:hint="default"/>
      </w:rPr>
    </w:lvl>
  </w:abstractNum>
  <w:abstractNum w:abstractNumId="2" w15:restartNumberingAfterBreak="0">
    <w:nsid w:val="09C0475A"/>
    <w:multiLevelType w:val="multilevel"/>
    <w:tmpl w:val="09C0475A"/>
    <w:lvl w:ilvl="0">
      <w:start w:val="107"/>
      <w:numFmt w:val="decimal"/>
      <w:lvlText w:val="%1."/>
      <w:lvlJc w:val="left"/>
      <w:pPr>
        <w:ind w:left="540" w:hanging="360"/>
      </w:pPr>
      <w:rPr>
        <w:rFonts w:hint="default"/>
        <w:i w:val="0"/>
        <w:iCs w:val="0"/>
        <w:sz w:val="22"/>
        <w:szCs w:val="22"/>
      </w:rPr>
    </w:lvl>
    <w:lvl w:ilvl="1">
      <w:start w:val="1"/>
      <w:numFmt w:val="lowerLetter"/>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0E99452B"/>
    <w:multiLevelType w:val="multilevel"/>
    <w:tmpl w:val="CE983220"/>
    <w:lvl w:ilvl="0">
      <w:start w:val="1"/>
      <w:numFmt w:val="lowerLetter"/>
      <w:lvlText w:val="%1)"/>
      <w:lvlJc w:val="left"/>
      <w:pPr>
        <w:ind w:left="790" w:hanging="360"/>
      </w:pPr>
      <w:rPr>
        <w:rFonts w:hint="eastAsia"/>
      </w:rPr>
    </w:lvl>
    <w:lvl w:ilvl="1">
      <w:start w:val="2"/>
      <w:numFmt w:val="lowerLetter"/>
      <w:lvlText w:val="%2."/>
      <w:lvlJc w:val="left"/>
      <w:pPr>
        <w:ind w:left="1510" w:hanging="360"/>
      </w:pPr>
      <w:rPr>
        <w:rFonts w:hint="default"/>
      </w:rPr>
    </w:lvl>
    <w:lvl w:ilvl="2">
      <w:start w:val="1"/>
      <w:numFmt w:val="lowerRoman"/>
      <w:lvlText w:val="%3."/>
      <w:lvlJc w:val="right"/>
      <w:pPr>
        <w:ind w:left="2230" w:hanging="180"/>
      </w:pPr>
      <w:rPr>
        <w:rFonts w:hint="eastAsia"/>
      </w:rPr>
    </w:lvl>
    <w:lvl w:ilvl="3">
      <w:start w:val="1"/>
      <w:numFmt w:val="decimal"/>
      <w:lvlText w:val="%4."/>
      <w:lvlJc w:val="left"/>
      <w:pPr>
        <w:ind w:left="2950" w:hanging="360"/>
      </w:pPr>
      <w:rPr>
        <w:rFonts w:hint="eastAsia"/>
      </w:rPr>
    </w:lvl>
    <w:lvl w:ilvl="4">
      <w:start w:val="1"/>
      <w:numFmt w:val="lowerLetter"/>
      <w:lvlText w:val="%5."/>
      <w:lvlJc w:val="left"/>
      <w:pPr>
        <w:ind w:left="630" w:hanging="360"/>
      </w:pPr>
      <w:rPr>
        <w:rFonts w:hint="eastAsia"/>
      </w:rPr>
    </w:lvl>
    <w:lvl w:ilvl="5">
      <w:start w:val="1"/>
      <w:numFmt w:val="lowerRoman"/>
      <w:lvlText w:val="%6."/>
      <w:lvlJc w:val="right"/>
      <w:pPr>
        <w:ind w:left="4390" w:hanging="180"/>
      </w:pPr>
      <w:rPr>
        <w:rFonts w:hint="eastAsia"/>
      </w:rPr>
    </w:lvl>
    <w:lvl w:ilvl="6">
      <w:start w:val="1"/>
      <w:numFmt w:val="decimal"/>
      <w:lvlText w:val="%7."/>
      <w:lvlJc w:val="left"/>
      <w:pPr>
        <w:ind w:left="5110" w:hanging="360"/>
      </w:pPr>
      <w:rPr>
        <w:rFonts w:hint="eastAsia"/>
      </w:rPr>
    </w:lvl>
    <w:lvl w:ilvl="7">
      <w:start w:val="1"/>
      <w:numFmt w:val="lowerLetter"/>
      <w:lvlText w:val="%8."/>
      <w:lvlJc w:val="left"/>
      <w:pPr>
        <w:ind w:left="5830" w:hanging="360"/>
      </w:pPr>
      <w:rPr>
        <w:rFonts w:hint="eastAsia"/>
      </w:rPr>
    </w:lvl>
    <w:lvl w:ilvl="8">
      <w:start w:val="1"/>
      <w:numFmt w:val="lowerRoman"/>
      <w:lvlText w:val="%9."/>
      <w:lvlJc w:val="right"/>
      <w:pPr>
        <w:ind w:left="6550" w:hanging="180"/>
      </w:pPr>
      <w:rPr>
        <w:rFonts w:hint="eastAsia"/>
      </w:rPr>
    </w:lvl>
  </w:abstractNum>
  <w:abstractNum w:abstractNumId="4" w15:restartNumberingAfterBreak="0">
    <w:nsid w:val="0F1F4348"/>
    <w:multiLevelType w:val="multilevel"/>
    <w:tmpl w:val="0F1F4348"/>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10D44322"/>
    <w:multiLevelType w:val="multilevel"/>
    <w:tmpl w:val="10D4432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52C6838"/>
    <w:multiLevelType w:val="multilevel"/>
    <w:tmpl w:val="152C6838"/>
    <w:lvl w:ilvl="0">
      <w:start w:val="1"/>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 w15:restartNumberingAfterBreak="0">
    <w:nsid w:val="19771F43"/>
    <w:multiLevelType w:val="multilevel"/>
    <w:tmpl w:val="2FC85E7C"/>
    <w:lvl w:ilvl="0">
      <w:start w:val="1"/>
      <w:numFmt w:val="decimal"/>
      <w:lvlText w:val="%1."/>
      <w:lvlJc w:val="left"/>
      <w:pPr>
        <w:ind w:left="644" w:hanging="360"/>
      </w:pPr>
      <w:rPr>
        <w:rFonts w:hint="eastAsia"/>
      </w:rPr>
    </w:lvl>
    <w:lvl w:ilvl="1">
      <w:start w:val="11"/>
      <w:numFmt w:val="bullet"/>
      <w:lvlText w:val=""/>
      <w:lvlJc w:val="left"/>
      <w:pPr>
        <w:ind w:left="1364" w:hanging="360"/>
      </w:pPr>
      <w:rPr>
        <w:rFonts w:ascii="Symbol" w:hAnsi="Symbol" w:hint="default"/>
      </w:rPr>
    </w:lvl>
    <w:lvl w:ilvl="2">
      <w:start w:val="1"/>
      <w:numFmt w:val="lowerRoman"/>
      <w:lvlText w:val="%3."/>
      <w:lvlJc w:val="right"/>
      <w:pPr>
        <w:ind w:left="2084" w:hanging="180"/>
      </w:pPr>
      <w:rPr>
        <w:rFonts w:hint="eastAsia"/>
      </w:rPr>
    </w:lvl>
    <w:lvl w:ilvl="3">
      <w:start w:val="1"/>
      <w:numFmt w:val="decimal"/>
      <w:lvlText w:val="%4."/>
      <w:lvlJc w:val="left"/>
      <w:pPr>
        <w:ind w:left="2766" w:hanging="360"/>
      </w:pPr>
      <w:rPr>
        <w:rFonts w:hint="eastAsia"/>
      </w:rPr>
    </w:lvl>
    <w:lvl w:ilvl="4">
      <w:start w:val="2"/>
      <w:numFmt w:val="lowerLetter"/>
      <w:lvlText w:val="%5."/>
      <w:lvlJc w:val="left"/>
      <w:pPr>
        <w:ind w:left="360" w:hanging="360"/>
      </w:pPr>
      <w:rPr>
        <w:rFonts w:hint="eastAsia"/>
      </w:rPr>
    </w:lvl>
    <w:lvl w:ilvl="5">
      <w:start w:val="1"/>
      <w:numFmt w:val="lowerRoman"/>
      <w:lvlText w:val="%6."/>
      <w:lvlJc w:val="right"/>
      <w:pPr>
        <w:ind w:left="4244" w:hanging="180"/>
      </w:pPr>
      <w:rPr>
        <w:rFonts w:hint="eastAsia"/>
      </w:rPr>
    </w:lvl>
    <w:lvl w:ilvl="6">
      <w:start w:val="1"/>
      <w:numFmt w:val="decimal"/>
      <w:lvlText w:val="%7."/>
      <w:lvlJc w:val="left"/>
      <w:pPr>
        <w:ind w:left="4964" w:hanging="360"/>
      </w:pPr>
      <w:rPr>
        <w:rFonts w:hint="eastAsia"/>
      </w:rPr>
    </w:lvl>
    <w:lvl w:ilvl="7">
      <w:start w:val="1"/>
      <w:numFmt w:val="lowerLetter"/>
      <w:lvlText w:val="%8."/>
      <w:lvlJc w:val="left"/>
      <w:pPr>
        <w:ind w:left="5684" w:hanging="360"/>
      </w:pPr>
      <w:rPr>
        <w:rFonts w:hint="eastAsia"/>
      </w:rPr>
    </w:lvl>
    <w:lvl w:ilvl="8">
      <w:start w:val="1"/>
      <w:numFmt w:val="lowerRoman"/>
      <w:lvlText w:val="%9."/>
      <w:lvlJc w:val="right"/>
      <w:pPr>
        <w:ind w:left="6404" w:hanging="180"/>
      </w:pPr>
      <w:rPr>
        <w:rFonts w:hint="eastAsia"/>
      </w:rPr>
    </w:lvl>
  </w:abstractNum>
  <w:abstractNum w:abstractNumId="8" w15:restartNumberingAfterBreak="0">
    <w:nsid w:val="1C290530"/>
    <w:multiLevelType w:val="multilevel"/>
    <w:tmpl w:val="1C290530"/>
    <w:lvl w:ilvl="0">
      <w:start w:val="96"/>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1CA63171"/>
    <w:multiLevelType w:val="multilevel"/>
    <w:tmpl w:val="1CA63171"/>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1CA64AB4"/>
    <w:multiLevelType w:val="multilevel"/>
    <w:tmpl w:val="1CA64AB4"/>
    <w:lvl w:ilvl="0">
      <w:start w:val="4"/>
      <w:numFmt w:val="lowerLetter"/>
      <w:lvlText w:val="%1."/>
      <w:lvlJc w:val="left"/>
      <w:pPr>
        <w:ind w:left="151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232168BC"/>
    <w:multiLevelType w:val="multilevel"/>
    <w:tmpl w:val="232168BC"/>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241500F7"/>
    <w:multiLevelType w:val="multilevel"/>
    <w:tmpl w:val="241500F7"/>
    <w:lvl w:ilvl="0">
      <w:start w:val="1"/>
      <w:numFmt w:val="lowerLetter"/>
      <w:lvlText w:val="%1."/>
      <w:lvlJc w:val="left"/>
      <w:pPr>
        <w:tabs>
          <w:tab w:val="left" w:pos="720"/>
        </w:tabs>
        <w:ind w:left="720" w:hanging="360"/>
      </w:pPr>
      <w:rPr>
        <w:rFonts w:hint="default"/>
      </w:rPr>
    </w:lvl>
    <w:lvl w:ilvl="1">
      <w:start w:val="1"/>
      <w:numFmt w:val="bullet"/>
      <w:lvlText w:val=""/>
      <w:lvlJc w:val="left"/>
      <w:pPr>
        <w:tabs>
          <w:tab w:val="left" w:pos="1440"/>
        </w:tabs>
        <w:ind w:left="1440" w:hanging="360"/>
      </w:pPr>
      <w:rPr>
        <w:rFonts w:ascii="Wingdings 2" w:hAnsi="Wingdings 2" w:hint="default"/>
      </w:rPr>
    </w:lvl>
    <w:lvl w:ilvl="2">
      <w:start w:val="1"/>
      <w:numFmt w:val="bullet"/>
      <w:lvlText w:val=""/>
      <w:lvlJc w:val="left"/>
      <w:pPr>
        <w:tabs>
          <w:tab w:val="left" w:pos="2160"/>
        </w:tabs>
        <w:ind w:left="2160" w:hanging="360"/>
      </w:pPr>
      <w:rPr>
        <w:rFonts w:ascii="Wingdings 2" w:hAnsi="Wingdings 2" w:hint="default"/>
      </w:rPr>
    </w:lvl>
    <w:lvl w:ilvl="3">
      <w:start w:val="1"/>
      <w:numFmt w:val="bullet"/>
      <w:lvlText w:val=""/>
      <w:lvlJc w:val="left"/>
      <w:pPr>
        <w:tabs>
          <w:tab w:val="left" w:pos="2880"/>
        </w:tabs>
        <w:ind w:left="2880" w:hanging="360"/>
      </w:pPr>
      <w:rPr>
        <w:rFonts w:ascii="Wingdings 2" w:hAnsi="Wingdings 2" w:hint="default"/>
      </w:rPr>
    </w:lvl>
    <w:lvl w:ilvl="4">
      <w:start w:val="1"/>
      <w:numFmt w:val="bullet"/>
      <w:lvlText w:val=""/>
      <w:lvlJc w:val="left"/>
      <w:pPr>
        <w:tabs>
          <w:tab w:val="left" w:pos="3600"/>
        </w:tabs>
        <w:ind w:left="3600" w:hanging="360"/>
      </w:pPr>
      <w:rPr>
        <w:rFonts w:ascii="Wingdings 2" w:hAnsi="Wingdings 2" w:hint="default"/>
      </w:rPr>
    </w:lvl>
    <w:lvl w:ilvl="5">
      <w:start w:val="1"/>
      <w:numFmt w:val="bullet"/>
      <w:lvlText w:val=""/>
      <w:lvlJc w:val="left"/>
      <w:pPr>
        <w:tabs>
          <w:tab w:val="left" w:pos="4320"/>
        </w:tabs>
        <w:ind w:left="4320" w:hanging="360"/>
      </w:pPr>
      <w:rPr>
        <w:rFonts w:ascii="Wingdings 2" w:hAnsi="Wingdings 2" w:hint="default"/>
      </w:rPr>
    </w:lvl>
    <w:lvl w:ilvl="6">
      <w:start w:val="1"/>
      <w:numFmt w:val="bullet"/>
      <w:lvlText w:val=""/>
      <w:lvlJc w:val="left"/>
      <w:pPr>
        <w:tabs>
          <w:tab w:val="left" w:pos="5040"/>
        </w:tabs>
        <w:ind w:left="5040" w:hanging="360"/>
      </w:pPr>
      <w:rPr>
        <w:rFonts w:ascii="Wingdings 2" w:hAnsi="Wingdings 2" w:hint="default"/>
      </w:rPr>
    </w:lvl>
    <w:lvl w:ilvl="7">
      <w:start w:val="1"/>
      <w:numFmt w:val="bullet"/>
      <w:lvlText w:val=""/>
      <w:lvlJc w:val="left"/>
      <w:pPr>
        <w:tabs>
          <w:tab w:val="left" w:pos="5760"/>
        </w:tabs>
        <w:ind w:left="5760" w:hanging="360"/>
      </w:pPr>
      <w:rPr>
        <w:rFonts w:ascii="Wingdings 2" w:hAnsi="Wingdings 2" w:hint="default"/>
      </w:rPr>
    </w:lvl>
    <w:lvl w:ilvl="8">
      <w:start w:val="1"/>
      <w:numFmt w:val="bullet"/>
      <w:lvlText w:val=""/>
      <w:lvlJc w:val="left"/>
      <w:pPr>
        <w:tabs>
          <w:tab w:val="left" w:pos="6480"/>
        </w:tabs>
        <w:ind w:left="6480" w:hanging="360"/>
      </w:pPr>
      <w:rPr>
        <w:rFonts w:ascii="Wingdings 2" w:hAnsi="Wingdings 2" w:hint="default"/>
      </w:rPr>
    </w:lvl>
  </w:abstractNum>
  <w:abstractNum w:abstractNumId="13" w15:restartNumberingAfterBreak="0">
    <w:nsid w:val="247B44FE"/>
    <w:multiLevelType w:val="multilevel"/>
    <w:tmpl w:val="247B44FE"/>
    <w:lvl w:ilvl="0">
      <w:start w:val="141"/>
      <w:numFmt w:val="decimal"/>
      <w:lvlText w:val="%1."/>
      <w:lvlJc w:val="left"/>
      <w:pPr>
        <w:ind w:left="786"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253B73F5"/>
    <w:multiLevelType w:val="multilevel"/>
    <w:tmpl w:val="3242900E"/>
    <w:lvl w:ilvl="0">
      <w:start w:val="1"/>
      <w:numFmt w:val="lowerLetter"/>
      <w:lvlText w:val="%1."/>
      <w:lvlJc w:val="left"/>
      <w:pPr>
        <w:ind w:left="720" w:hanging="360"/>
      </w:pPr>
      <w:rPr>
        <w:rFonts w:ascii="SimSun" w:eastAsia="SimSun" w:hAnsi="SimSun" w:cs="Arial" w:hint="default"/>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27F5102A"/>
    <w:multiLevelType w:val="multilevel"/>
    <w:tmpl w:val="27F5102A"/>
    <w:lvl w:ilvl="0">
      <w:start w:val="1"/>
      <w:numFmt w:val="lowerLetter"/>
      <w:lvlText w:val="(%1)"/>
      <w:lvlJc w:val="left"/>
      <w:pPr>
        <w:ind w:left="502" w:hanging="360"/>
      </w:pPr>
      <w:rPr>
        <w:rFonts w:eastAsiaTheme="minorEastAsia" w:cstheme="minorBidi"/>
      </w:rPr>
    </w:lvl>
    <w:lvl w:ilvl="1">
      <w:start w:val="1"/>
      <w:numFmt w:val="lowerLetter"/>
      <w:lvlText w:val="%2."/>
      <w:lvlJc w:val="left"/>
      <w:pPr>
        <w:ind w:left="7034" w:hanging="360"/>
      </w:pPr>
    </w:lvl>
    <w:lvl w:ilvl="2">
      <w:start w:val="1"/>
      <w:numFmt w:val="lowerRoman"/>
      <w:lvlText w:val="%3."/>
      <w:lvlJc w:val="right"/>
      <w:pPr>
        <w:ind w:left="7754" w:hanging="180"/>
      </w:pPr>
    </w:lvl>
    <w:lvl w:ilvl="3">
      <w:start w:val="1"/>
      <w:numFmt w:val="decimal"/>
      <w:lvlText w:val="%4."/>
      <w:lvlJc w:val="left"/>
      <w:pPr>
        <w:ind w:left="8474" w:hanging="360"/>
      </w:pPr>
    </w:lvl>
    <w:lvl w:ilvl="4">
      <w:start w:val="1"/>
      <w:numFmt w:val="lowerLetter"/>
      <w:lvlText w:val="%5."/>
      <w:lvlJc w:val="left"/>
      <w:pPr>
        <w:ind w:left="9194" w:hanging="360"/>
      </w:pPr>
    </w:lvl>
    <w:lvl w:ilvl="5">
      <w:start w:val="1"/>
      <w:numFmt w:val="lowerRoman"/>
      <w:lvlText w:val="%6."/>
      <w:lvlJc w:val="right"/>
      <w:pPr>
        <w:ind w:left="9914" w:hanging="180"/>
      </w:pPr>
    </w:lvl>
    <w:lvl w:ilvl="6">
      <w:start w:val="1"/>
      <w:numFmt w:val="decimal"/>
      <w:lvlText w:val="%7."/>
      <w:lvlJc w:val="left"/>
      <w:pPr>
        <w:ind w:left="10634" w:hanging="360"/>
      </w:pPr>
    </w:lvl>
    <w:lvl w:ilvl="7">
      <w:start w:val="1"/>
      <w:numFmt w:val="lowerLetter"/>
      <w:lvlText w:val="%8."/>
      <w:lvlJc w:val="left"/>
      <w:pPr>
        <w:ind w:left="11354" w:hanging="360"/>
      </w:pPr>
    </w:lvl>
    <w:lvl w:ilvl="8">
      <w:start w:val="1"/>
      <w:numFmt w:val="lowerRoman"/>
      <w:lvlText w:val="%9."/>
      <w:lvlJc w:val="right"/>
      <w:pPr>
        <w:ind w:left="12074" w:hanging="180"/>
      </w:pPr>
    </w:lvl>
  </w:abstractNum>
  <w:abstractNum w:abstractNumId="16" w15:restartNumberingAfterBreak="0">
    <w:nsid w:val="2BB73DF6"/>
    <w:multiLevelType w:val="multilevel"/>
    <w:tmpl w:val="2BB73DF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2E716B97"/>
    <w:multiLevelType w:val="multilevel"/>
    <w:tmpl w:val="2E716B97"/>
    <w:lvl w:ilvl="0">
      <w:start w:val="6"/>
      <w:numFmt w:val="decimal"/>
      <w:lvlText w:val="%1."/>
      <w:lvlJc w:val="left"/>
      <w:pPr>
        <w:ind w:left="36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31042D4C"/>
    <w:multiLevelType w:val="multilevel"/>
    <w:tmpl w:val="31042D4C"/>
    <w:lvl w:ilvl="0">
      <w:start w:val="1"/>
      <w:numFmt w:val="bullet"/>
      <w:lvlText w:val=""/>
      <w:lvlJc w:val="left"/>
      <w:pPr>
        <w:tabs>
          <w:tab w:val="left" w:pos="720"/>
        </w:tabs>
        <w:ind w:left="720" w:hanging="360"/>
      </w:pPr>
      <w:rPr>
        <w:rFonts w:ascii="Symbol" w:hAnsi="Symbol" w:hint="default"/>
        <w:sz w:val="20"/>
      </w:rPr>
    </w:lvl>
    <w:lvl w:ilvl="1">
      <w:start w:val="1"/>
      <w:numFmt w:val="bullet"/>
      <w:lvlText w:val="o"/>
      <w:lvlJc w:val="left"/>
      <w:pPr>
        <w:tabs>
          <w:tab w:val="left" w:pos="1440"/>
        </w:tabs>
        <w:ind w:left="1440" w:hanging="360"/>
      </w:pPr>
      <w:rPr>
        <w:rFonts w:ascii="Courier New" w:hAnsi="Courier New" w:hint="default"/>
        <w:sz w:val="20"/>
      </w:rPr>
    </w:lvl>
    <w:lvl w:ilvl="2">
      <w:start w:val="1"/>
      <w:numFmt w:val="bullet"/>
      <w:lvlText w:val=""/>
      <w:lvlJc w:val="left"/>
      <w:pPr>
        <w:tabs>
          <w:tab w:val="left" w:pos="2160"/>
        </w:tabs>
        <w:ind w:left="2160" w:hanging="360"/>
      </w:pPr>
      <w:rPr>
        <w:rFonts w:ascii="Wingdings" w:hAnsi="Wingdings" w:hint="default"/>
        <w:sz w:val="20"/>
      </w:rPr>
    </w:lvl>
    <w:lvl w:ilvl="3">
      <w:start w:val="1"/>
      <w:numFmt w:val="bullet"/>
      <w:lvlText w:val=""/>
      <w:lvlJc w:val="left"/>
      <w:pPr>
        <w:tabs>
          <w:tab w:val="left" w:pos="2880"/>
        </w:tabs>
        <w:ind w:left="2880" w:hanging="360"/>
      </w:pPr>
      <w:rPr>
        <w:rFonts w:ascii="Wingdings" w:hAnsi="Wingdings" w:hint="default"/>
        <w:sz w:val="20"/>
      </w:rPr>
    </w:lvl>
    <w:lvl w:ilvl="4">
      <w:start w:val="1"/>
      <w:numFmt w:val="bullet"/>
      <w:lvlText w:val=""/>
      <w:lvlJc w:val="left"/>
      <w:pPr>
        <w:tabs>
          <w:tab w:val="left" w:pos="3600"/>
        </w:tabs>
        <w:ind w:left="3600" w:hanging="360"/>
      </w:pPr>
      <w:rPr>
        <w:rFonts w:ascii="Wingdings" w:hAnsi="Wingdings" w:hint="default"/>
        <w:sz w:val="20"/>
      </w:rPr>
    </w:lvl>
    <w:lvl w:ilvl="5">
      <w:start w:val="1"/>
      <w:numFmt w:val="bullet"/>
      <w:lvlText w:val=""/>
      <w:lvlJc w:val="left"/>
      <w:pPr>
        <w:tabs>
          <w:tab w:val="left" w:pos="4320"/>
        </w:tabs>
        <w:ind w:left="4320" w:hanging="360"/>
      </w:pPr>
      <w:rPr>
        <w:rFonts w:ascii="Wingdings" w:hAnsi="Wingdings" w:hint="default"/>
        <w:sz w:val="20"/>
      </w:rPr>
    </w:lvl>
    <w:lvl w:ilvl="6">
      <w:start w:val="1"/>
      <w:numFmt w:val="bullet"/>
      <w:lvlText w:val=""/>
      <w:lvlJc w:val="left"/>
      <w:pPr>
        <w:tabs>
          <w:tab w:val="left" w:pos="5040"/>
        </w:tabs>
        <w:ind w:left="5040" w:hanging="360"/>
      </w:pPr>
      <w:rPr>
        <w:rFonts w:ascii="Wingdings" w:hAnsi="Wingdings" w:hint="default"/>
        <w:sz w:val="20"/>
      </w:rPr>
    </w:lvl>
    <w:lvl w:ilvl="7">
      <w:start w:val="1"/>
      <w:numFmt w:val="bullet"/>
      <w:lvlText w:val=""/>
      <w:lvlJc w:val="left"/>
      <w:pPr>
        <w:tabs>
          <w:tab w:val="left" w:pos="5760"/>
        </w:tabs>
        <w:ind w:left="5760" w:hanging="360"/>
      </w:pPr>
      <w:rPr>
        <w:rFonts w:ascii="Wingdings" w:hAnsi="Wingdings" w:hint="default"/>
        <w:sz w:val="20"/>
      </w:rPr>
    </w:lvl>
    <w:lvl w:ilvl="8">
      <w:start w:val="1"/>
      <w:numFmt w:val="bullet"/>
      <w:lvlText w:val=""/>
      <w:lvlJc w:val="left"/>
      <w:pPr>
        <w:tabs>
          <w:tab w:val="left" w:pos="6480"/>
        </w:tabs>
        <w:ind w:left="6480" w:hanging="360"/>
      </w:pPr>
      <w:rPr>
        <w:rFonts w:ascii="Wingdings" w:hAnsi="Wingdings" w:hint="default"/>
        <w:sz w:val="20"/>
      </w:rPr>
    </w:lvl>
  </w:abstractNum>
  <w:abstractNum w:abstractNumId="19" w15:restartNumberingAfterBreak="0">
    <w:nsid w:val="328979AD"/>
    <w:multiLevelType w:val="multilevel"/>
    <w:tmpl w:val="328979AD"/>
    <w:lvl w:ilvl="0">
      <w:start w:val="1"/>
      <w:numFmt w:val="lowerLetter"/>
      <w:lvlText w:val="%1."/>
      <w:lvlJc w:val="left"/>
      <w:pPr>
        <w:ind w:left="720" w:hanging="360"/>
      </w:pPr>
      <w:rPr>
        <w:b w:val="0"/>
        <w:bCs w:val="0"/>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2D600F7"/>
    <w:multiLevelType w:val="multilevel"/>
    <w:tmpl w:val="32D600F7"/>
    <w:lvl w:ilvl="0">
      <w:start w:val="1"/>
      <w:numFmt w:val="lowerLetter"/>
      <w:lvlText w:val="%1)"/>
      <w:lvlJc w:val="left"/>
      <w:pPr>
        <w:ind w:left="36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1" w15:restartNumberingAfterBreak="0">
    <w:nsid w:val="3ACA0CC5"/>
    <w:multiLevelType w:val="multilevel"/>
    <w:tmpl w:val="3ACA0CC5"/>
    <w:lvl w:ilvl="0">
      <w:start w:val="1"/>
      <w:numFmt w:val="lowerLetter"/>
      <w:lvlText w:val="%1."/>
      <w:lvlJc w:val="left"/>
      <w:pPr>
        <w:ind w:left="2766" w:hanging="360"/>
      </w:pPr>
      <w:rPr>
        <w:rFonts w:hint="default"/>
        <w:b w:val="0"/>
        <w:bCs w:val="0"/>
      </w:rPr>
    </w:lvl>
    <w:lvl w:ilvl="1">
      <w:start w:val="1"/>
      <w:numFmt w:val="lowerLetter"/>
      <w:lvlText w:val="%2."/>
      <w:lvlJc w:val="left"/>
      <w:pPr>
        <w:ind w:left="3486" w:hanging="360"/>
      </w:pPr>
    </w:lvl>
    <w:lvl w:ilvl="2">
      <w:start w:val="1"/>
      <w:numFmt w:val="lowerRoman"/>
      <w:lvlText w:val="%3."/>
      <w:lvlJc w:val="right"/>
      <w:pPr>
        <w:ind w:left="4206" w:hanging="180"/>
      </w:pPr>
    </w:lvl>
    <w:lvl w:ilvl="3">
      <w:start w:val="1"/>
      <w:numFmt w:val="decimal"/>
      <w:lvlText w:val="%4."/>
      <w:lvlJc w:val="left"/>
      <w:pPr>
        <w:ind w:left="4926" w:hanging="360"/>
      </w:pPr>
    </w:lvl>
    <w:lvl w:ilvl="4">
      <w:start w:val="1"/>
      <w:numFmt w:val="lowerLetter"/>
      <w:lvlText w:val="%5."/>
      <w:lvlJc w:val="left"/>
      <w:pPr>
        <w:ind w:left="5646" w:hanging="360"/>
      </w:pPr>
    </w:lvl>
    <w:lvl w:ilvl="5">
      <w:start w:val="1"/>
      <w:numFmt w:val="lowerRoman"/>
      <w:lvlText w:val="%6."/>
      <w:lvlJc w:val="right"/>
      <w:pPr>
        <w:ind w:left="6366" w:hanging="180"/>
      </w:pPr>
    </w:lvl>
    <w:lvl w:ilvl="6">
      <w:start w:val="1"/>
      <w:numFmt w:val="decimal"/>
      <w:lvlText w:val="%7."/>
      <w:lvlJc w:val="left"/>
      <w:pPr>
        <w:ind w:left="7086" w:hanging="360"/>
      </w:pPr>
    </w:lvl>
    <w:lvl w:ilvl="7">
      <w:start w:val="1"/>
      <w:numFmt w:val="lowerLetter"/>
      <w:lvlText w:val="%8."/>
      <w:lvlJc w:val="left"/>
      <w:pPr>
        <w:ind w:left="7806" w:hanging="360"/>
      </w:pPr>
    </w:lvl>
    <w:lvl w:ilvl="8">
      <w:start w:val="1"/>
      <w:numFmt w:val="lowerRoman"/>
      <w:lvlText w:val="%9."/>
      <w:lvlJc w:val="right"/>
      <w:pPr>
        <w:ind w:left="8526" w:hanging="180"/>
      </w:pPr>
    </w:lvl>
  </w:abstractNum>
  <w:abstractNum w:abstractNumId="22" w15:restartNumberingAfterBreak="0">
    <w:nsid w:val="3D844033"/>
    <w:multiLevelType w:val="multilevel"/>
    <w:tmpl w:val="A34AFF96"/>
    <w:lvl w:ilvl="0">
      <w:start w:val="1"/>
      <w:numFmt w:val="decimal"/>
      <w:lvlText w:val="%1."/>
      <w:lvlJc w:val="left"/>
      <w:pPr>
        <w:ind w:left="720" w:hanging="360"/>
      </w:pPr>
      <w:rPr>
        <w:rFonts w:ascii="SimSun" w:eastAsia="SimSun" w:hAnsi="SimSun"/>
        <w:b w:val="0"/>
        <w:bCs/>
        <w:color w:val="auto"/>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3DCA3813"/>
    <w:multiLevelType w:val="multilevel"/>
    <w:tmpl w:val="D82C9362"/>
    <w:lvl w:ilvl="0">
      <w:start w:val="1"/>
      <w:numFmt w:val="decimal"/>
      <w:lvlText w:val="%1."/>
      <w:lvlJc w:val="left"/>
      <w:pPr>
        <w:ind w:left="644" w:hanging="360"/>
      </w:pPr>
      <w:rPr>
        <w:rFonts w:hint="eastAsia"/>
      </w:rPr>
    </w:lvl>
    <w:lvl w:ilvl="1">
      <w:start w:val="6"/>
      <w:numFmt w:val="bullet"/>
      <w:lvlText w:val=""/>
      <w:lvlJc w:val="left"/>
      <w:pPr>
        <w:ind w:left="1364" w:hanging="360"/>
      </w:pPr>
      <w:rPr>
        <w:rFonts w:ascii="Symbol" w:hAnsi="Symbol" w:hint="default"/>
      </w:rPr>
    </w:lvl>
    <w:lvl w:ilvl="2">
      <w:start w:val="1"/>
      <w:numFmt w:val="lowerRoman"/>
      <w:lvlText w:val="%3."/>
      <w:lvlJc w:val="right"/>
      <w:pPr>
        <w:ind w:left="2084" w:hanging="180"/>
      </w:pPr>
      <w:rPr>
        <w:rFonts w:hint="eastAsia"/>
      </w:rPr>
    </w:lvl>
    <w:lvl w:ilvl="3">
      <w:start w:val="1"/>
      <w:numFmt w:val="decimal"/>
      <w:lvlText w:val="%4."/>
      <w:lvlJc w:val="left"/>
      <w:pPr>
        <w:ind w:left="2766" w:hanging="360"/>
      </w:pPr>
      <w:rPr>
        <w:rFonts w:hint="eastAsia"/>
      </w:rPr>
    </w:lvl>
    <w:lvl w:ilvl="4">
      <w:start w:val="2"/>
      <w:numFmt w:val="lowerLetter"/>
      <w:lvlText w:val="%5."/>
      <w:lvlJc w:val="left"/>
      <w:pPr>
        <w:ind w:left="360" w:hanging="360"/>
      </w:pPr>
      <w:rPr>
        <w:rFonts w:hint="eastAsia"/>
      </w:rPr>
    </w:lvl>
    <w:lvl w:ilvl="5">
      <w:start w:val="1"/>
      <w:numFmt w:val="lowerRoman"/>
      <w:lvlText w:val="%6."/>
      <w:lvlJc w:val="right"/>
      <w:pPr>
        <w:ind w:left="4244" w:hanging="180"/>
      </w:pPr>
      <w:rPr>
        <w:rFonts w:hint="eastAsia"/>
      </w:rPr>
    </w:lvl>
    <w:lvl w:ilvl="6">
      <w:start w:val="1"/>
      <w:numFmt w:val="decimal"/>
      <w:lvlText w:val="%7."/>
      <w:lvlJc w:val="left"/>
      <w:pPr>
        <w:ind w:left="4964" w:hanging="360"/>
      </w:pPr>
      <w:rPr>
        <w:rFonts w:hint="eastAsia"/>
      </w:rPr>
    </w:lvl>
    <w:lvl w:ilvl="7">
      <w:start w:val="1"/>
      <w:numFmt w:val="lowerLetter"/>
      <w:lvlText w:val="%8."/>
      <w:lvlJc w:val="left"/>
      <w:pPr>
        <w:ind w:left="5684" w:hanging="360"/>
      </w:pPr>
      <w:rPr>
        <w:rFonts w:hint="eastAsia"/>
      </w:rPr>
    </w:lvl>
    <w:lvl w:ilvl="8">
      <w:start w:val="1"/>
      <w:numFmt w:val="lowerRoman"/>
      <w:lvlText w:val="%9."/>
      <w:lvlJc w:val="right"/>
      <w:pPr>
        <w:ind w:left="6404" w:hanging="180"/>
      </w:pPr>
      <w:rPr>
        <w:rFonts w:hint="eastAsia"/>
      </w:rPr>
    </w:lvl>
  </w:abstractNum>
  <w:abstractNum w:abstractNumId="24" w15:restartNumberingAfterBreak="0">
    <w:nsid w:val="3EFD2E24"/>
    <w:multiLevelType w:val="multilevel"/>
    <w:tmpl w:val="3EFD2E24"/>
    <w:lvl w:ilvl="0">
      <w:start w:val="1"/>
      <w:numFmt w:val="lowerLetter"/>
      <w:lvlText w:val="%1."/>
      <w:lvlJc w:val="left"/>
      <w:pPr>
        <w:ind w:left="1510" w:hanging="360"/>
      </w:pPr>
      <w:rPr>
        <w:b/>
        <w:bCs/>
      </w:rPr>
    </w:lvl>
    <w:lvl w:ilvl="1">
      <w:start w:val="1"/>
      <w:numFmt w:val="lowerLetter"/>
      <w:lvlText w:val="%2."/>
      <w:lvlJc w:val="left"/>
      <w:pPr>
        <w:ind w:left="2230" w:hanging="360"/>
      </w:pPr>
    </w:lvl>
    <w:lvl w:ilvl="2">
      <w:start w:val="1"/>
      <w:numFmt w:val="lowerRoman"/>
      <w:lvlText w:val="%3."/>
      <w:lvlJc w:val="right"/>
      <w:pPr>
        <w:ind w:left="2950" w:hanging="180"/>
      </w:pPr>
    </w:lvl>
    <w:lvl w:ilvl="3">
      <w:start w:val="1"/>
      <w:numFmt w:val="decimal"/>
      <w:lvlText w:val="%4."/>
      <w:lvlJc w:val="left"/>
      <w:pPr>
        <w:ind w:left="3670" w:hanging="360"/>
      </w:pPr>
    </w:lvl>
    <w:lvl w:ilvl="4">
      <w:start w:val="1"/>
      <w:numFmt w:val="lowerLetter"/>
      <w:lvlText w:val="%5."/>
      <w:lvlJc w:val="left"/>
      <w:pPr>
        <w:ind w:left="4390" w:hanging="360"/>
      </w:pPr>
    </w:lvl>
    <w:lvl w:ilvl="5">
      <w:start w:val="1"/>
      <w:numFmt w:val="lowerRoman"/>
      <w:lvlText w:val="%6."/>
      <w:lvlJc w:val="right"/>
      <w:pPr>
        <w:ind w:left="5110" w:hanging="180"/>
      </w:pPr>
    </w:lvl>
    <w:lvl w:ilvl="6">
      <w:start w:val="1"/>
      <w:numFmt w:val="decimal"/>
      <w:lvlText w:val="%7."/>
      <w:lvlJc w:val="left"/>
      <w:pPr>
        <w:ind w:left="5830" w:hanging="360"/>
      </w:pPr>
    </w:lvl>
    <w:lvl w:ilvl="7">
      <w:start w:val="1"/>
      <w:numFmt w:val="lowerLetter"/>
      <w:lvlText w:val="%8."/>
      <w:lvlJc w:val="left"/>
      <w:pPr>
        <w:ind w:left="6550" w:hanging="360"/>
      </w:pPr>
    </w:lvl>
    <w:lvl w:ilvl="8">
      <w:start w:val="1"/>
      <w:numFmt w:val="lowerRoman"/>
      <w:lvlText w:val="%9."/>
      <w:lvlJc w:val="right"/>
      <w:pPr>
        <w:ind w:left="7270" w:hanging="180"/>
      </w:pPr>
    </w:lvl>
  </w:abstractNum>
  <w:abstractNum w:abstractNumId="25" w15:restartNumberingAfterBreak="0">
    <w:nsid w:val="400B1A7D"/>
    <w:multiLevelType w:val="multilevel"/>
    <w:tmpl w:val="400B1A7D"/>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40EE2E92"/>
    <w:multiLevelType w:val="multilevel"/>
    <w:tmpl w:val="3A621194"/>
    <w:lvl w:ilvl="0">
      <w:start w:val="3"/>
      <w:numFmt w:val="decimal"/>
      <w:lvlText w:val="%1."/>
      <w:lvlJc w:val="left"/>
      <w:pPr>
        <w:ind w:left="4280" w:hanging="360"/>
      </w:pPr>
      <w:rPr>
        <w:rFonts w:hint="default"/>
        <w:i w:val="0"/>
        <w:iCs/>
      </w:rPr>
    </w:lvl>
    <w:lvl w:ilvl="1">
      <w:start w:val="1"/>
      <w:numFmt w:val="lowerLetter"/>
      <w:lvlText w:val="%2."/>
      <w:lvlJc w:val="left"/>
      <w:pPr>
        <w:ind w:left="5000" w:hanging="360"/>
      </w:pPr>
    </w:lvl>
    <w:lvl w:ilvl="2">
      <w:start w:val="1"/>
      <w:numFmt w:val="lowerRoman"/>
      <w:lvlText w:val="%3."/>
      <w:lvlJc w:val="right"/>
      <w:pPr>
        <w:ind w:left="5720" w:hanging="180"/>
      </w:pPr>
    </w:lvl>
    <w:lvl w:ilvl="3">
      <w:start w:val="1"/>
      <w:numFmt w:val="decimal"/>
      <w:lvlText w:val="%4."/>
      <w:lvlJc w:val="left"/>
      <w:pPr>
        <w:ind w:left="6440" w:hanging="360"/>
      </w:pPr>
    </w:lvl>
    <w:lvl w:ilvl="4">
      <w:start w:val="1"/>
      <w:numFmt w:val="lowerLetter"/>
      <w:lvlText w:val="%5."/>
      <w:lvlJc w:val="left"/>
      <w:pPr>
        <w:ind w:left="7160" w:hanging="360"/>
      </w:pPr>
    </w:lvl>
    <w:lvl w:ilvl="5">
      <w:start w:val="1"/>
      <w:numFmt w:val="lowerRoman"/>
      <w:lvlText w:val="%6."/>
      <w:lvlJc w:val="right"/>
      <w:pPr>
        <w:ind w:left="7880" w:hanging="180"/>
      </w:pPr>
    </w:lvl>
    <w:lvl w:ilvl="6">
      <w:start w:val="1"/>
      <w:numFmt w:val="decimal"/>
      <w:lvlText w:val="%7."/>
      <w:lvlJc w:val="left"/>
      <w:pPr>
        <w:ind w:left="8600" w:hanging="360"/>
      </w:pPr>
    </w:lvl>
    <w:lvl w:ilvl="7">
      <w:start w:val="1"/>
      <w:numFmt w:val="lowerLetter"/>
      <w:lvlText w:val="%8."/>
      <w:lvlJc w:val="left"/>
      <w:pPr>
        <w:ind w:left="9320" w:hanging="360"/>
      </w:pPr>
    </w:lvl>
    <w:lvl w:ilvl="8">
      <w:start w:val="1"/>
      <w:numFmt w:val="lowerRoman"/>
      <w:lvlText w:val="%9."/>
      <w:lvlJc w:val="right"/>
      <w:pPr>
        <w:ind w:left="10040" w:hanging="180"/>
      </w:pPr>
    </w:lvl>
  </w:abstractNum>
  <w:abstractNum w:abstractNumId="27" w15:restartNumberingAfterBreak="0">
    <w:nsid w:val="428D687D"/>
    <w:multiLevelType w:val="multilevel"/>
    <w:tmpl w:val="428D687D"/>
    <w:lvl w:ilvl="0">
      <w:start w:val="1"/>
      <w:numFmt w:val="lowerLetter"/>
      <w:lvlText w:val="%1)"/>
      <w:lvlJc w:val="left"/>
      <w:pPr>
        <w:ind w:left="790" w:hanging="360"/>
      </w:pPr>
    </w:lvl>
    <w:lvl w:ilvl="1">
      <w:start w:val="2"/>
      <w:numFmt w:val="lowerLetter"/>
      <w:lvlText w:val="%2."/>
      <w:lvlJc w:val="left"/>
      <w:pPr>
        <w:ind w:left="1510" w:hanging="360"/>
      </w:pPr>
      <w:rPr>
        <w:rFonts w:hint="default"/>
      </w:rPr>
    </w:lvl>
    <w:lvl w:ilvl="2">
      <w:start w:val="1"/>
      <w:numFmt w:val="lowerRoman"/>
      <w:lvlText w:val="%3."/>
      <w:lvlJc w:val="right"/>
      <w:pPr>
        <w:ind w:left="2230" w:hanging="180"/>
      </w:pPr>
    </w:lvl>
    <w:lvl w:ilvl="3">
      <w:start w:val="1"/>
      <w:numFmt w:val="decimal"/>
      <w:lvlText w:val="%4."/>
      <w:lvlJc w:val="left"/>
      <w:pPr>
        <w:ind w:left="2950" w:hanging="360"/>
      </w:pPr>
    </w:lvl>
    <w:lvl w:ilvl="4">
      <w:start w:val="1"/>
      <w:numFmt w:val="lowerLetter"/>
      <w:lvlText w:val="%5."/>
      <w:lvlJc w:val="left"/>
      <w:pPr>
        <w:ind w:left="630" w:hanging="360"/>
      </w:pPr>
    </w:lvl>
    <w:lvl w:ilvl="5">
      <w:start w:val="1"/>
      <w:numFmt w:val="lowerRoman"/>
      <w:lvlText w:val="%6."/>
      <w:lvlJc w:val="right"/>
      <w:pPr>
        <w:ind w:left="4390" w:hanging="180"/>
      </w:pPr>
    </w:lvl>
    <w:lvl w:ilvl="6">
      <w:start w:val="1"/>
      <w:numFmt w:val="decimal"/>
      <w:lvlText w:val="%7."/>
      <w:lvlJc w:val="left"/>
      <w:pPr>
        <w:ind w:left="5110" w:hanging="360"/>
      </w:pPr>
    </w:lvl>
    <w:lvl w:ilvl="7">
      <w:start w:val="1"/>
      <w:numFmt w:val="lowerLetter"/>
      <w:lvlText w:val="%8."/>
      <w:lvlJc w:val="left"/>
      <w:pPr>
        <w:ind w:left="5830" w:hanging="360"/>
      </w:pPr>
    </w:lvl>
    <w:lvl w:ilvl="8">
      <w:start w:val="1"/>
      <w:numFmt w:val="lowerRoman"/>
      <w:lvlText w:val="%9."/>
      <w:lvlJc w:val="right"/>
      <w:pPr>
        <w:ind w:left="6550" w:hanging="180"/>
      </w:pPr>
    </w:lvl>
  </w:abstractNum>
  <w:abstractNum w:abstractNumId="28" w15:restartNumberingAfterBreak="0">
    <w:nsid w:val="42B273A3"/>
    <w:multiLevelType w:val="multilevel"/>
    <w:tmpl w:val="42B273A3"/>
    <w:lvl w:ilvl="0">
      <w:start w:val="1"/>
      <w:numFmt w:val="lowerLetter"/>
      <w:lvlText w:val="%1."/>
      <w:lvlJc w:val="left"/>
      <w:pPr>
        <w:ind w:left="360" w:hanging="360"/>
      </w:pPr>
      <w:rPr>
        <w:rFonts w:hint="default"/>
        <w:sz w:val="22"/>
        <w:szCs w:val="22"/>
      </w:rPr>
    </w:lvl>
    <w:lvl w:ilvl="1">
      <w:start w:val="1"/>
      <w:numFmt w:val="lowerLetter"/>
      <w:lvlText w:val="%2."/>
      <w:lvlJc w:val="left"/>
      <w:pPr>
        <w:ind w:left="720" w:hanging="360"/>
      </w:p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43CA6361"/>
    <w:multiLevelType w:val="multilevel"/>
    <w:tmpl w:val="43CA6361"/>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482" w:hanging="360"/>
      </w:pPr>
    </w:lvl>
    <w:lvl w:ilvl="4">
      <w:start w:val="1"/>
      <w:numFmt w:val="decimal"/>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 w15:restartNumberingAfterBreak="0">
    <w:nsid w:val="43F263A5"/>
    <w:multiLevelType w:val="multilevel"/>
    <w:tmpl w:val="43F263A5"/>
    <w:lvl w:ilvl="0">
      <w:start w:val="124"/>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 w15:restartNumberingAfterBreak="0">
    <w:nsid w:val="44907A05"/>
    <w:multiLevelType w:val="multilevel"/>
    <w:tmpl w:val="44907A05"/>
    <w:lvl w:ilvl="0">
      <w:start w:val="117"/>
      <w:numFmt w:val="decimal"/>
      <w:lvlText w:val="%1."/>
      <w:lvlJc w:val="left"/>
      <w:pPr>
        <w:ind w:left="540" w:hanging="360"/>
      </w:pPr>
      <w:rPr>
        <w:rFonts w:hint="default"/>
        <w:i w:val="0"/>
        <w:iCs w:val="0"/>
        <w:sz w:val="22"/>
        <w:szCs w:val="22"/>
      </w:rPr>
    </w:lvl>
    <w:lvl w:ilvl="1">
      <w:start w:val="1"/>
      <w:numFmt w:val="lowerLetter"/>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45242B30"/>
    <w:multiLevelType w:val="multilevel"/>
    <w:tmpl w:val="45242B30"/>
    <w:lvl w:ilvl="0">
      <w:start w:val="1"/>
      <w:numFmt w:val="lowerLetter"/>
      <w:lvlText w:val="%1)"/>
      <w:lvlJc w:val="left"/>
      <w:pPr>
        <w:ind w:left="786" w:hanging="360"/>
      </w:pPr>
      <w:rPr>
        <w:rFonts w:hint="default"/>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3" w15:restartNumberingAfterBreak="0">
    <w:nsid w:val="465B4F3C"/>
    <w:multiLevelType w:val="multilevel"/>
    <w:tmpl w:val="465B4F3C"/>
    <w:lvl w:ilvl="0">
      <w:start w:val="1"/>
      <w:numFmt w:val="lowerLetter"/>
      <w:lvlText w:val="%1."/>
      <w:lvlJc w:val="left"/>
      <w:pPr>
        <w:ind w:left="1510" w:hanging="360"/>
      </w:pPr>
      <w:rPr>
        <w:b/>
        <w:bCs/>
      </w:rPr>
    </w:lvl>
    <w:lvl w:ilvl="1">
      <w:start w:val="1"/>
      <w:numFmt w:val="lowerLetter"/>
      <w:lvlText w:val="%2."/>
      <w:lvlJc w:val="left"/>
      <w:pPr>
        <w:ind w:left="2230" w:hanging="360"/>
      </w:pPr>
    </w:lvl>
    <w:lvl w:ilvl="2">
      <w:start w:val="1"/>
      <w:numFmt w:val="lowerRoman"/>
      <w:lvlText w:val="%3."/>
      <w:lvlJc w:val="right"/>
      <w:pPr>
        <w:ind w:left="2950" w:hanging="180"/>
      </w:pPr>
    </w:lvl>
    <w:lvl w:ilvl="3">
      <w:start w:val="1"/>
      <w:numFmt w:val="decimal"/>
      <w:lvlText w:val="%4."/>
      <w:lvlJc w:val="left"/>
      <w:pPr>
        <w:ind w:left="3670" w:hanging="360"/>
      </w:pPr>
    </w:lvl>
    <w:lvl w:ilvl="4">
      <w:start w:val="1"/>
      <w:numFmt w:val="lowerLetter"/>
      <w:lvlText w:val="%5."/>
      <w:lvlJc w:val="left"/>
      <w:pPr>
        <w:ind w:left="4390" w:hanging="360"/>
      </w:pPr>
    </w:lvl>
    <w:lvl w:ilvl="5">
      <w:start w:val="1"/>
      <w:numFmt w:val="lowerRoman"/>
      <w:lvlText w:val="%6."/>
      <w:lvlJc w:val="right"/>
      <w:pPr>
        <w:ind w:left="5110" w:hanging="180"/>
      </w:pPr>
    </w:lvl>
    <w:lvl w:ilvl="6">
      <w:start w:val="1"/>
      <w:numFmt w:val="decimal"/>
      <w:lvlText w:val="%7."/>
      <w:lvlJc w:val="left"/>
      <w:pPr>
        <w:ind w:left="5830" w:hanging="360"/>
      </w:pPr>
    </w:lvl>
    <w:lvl w:ilvl="7">
      <w:start w:val="1"/>
      <w:numFmt w:val="lowerLetter"/>
      <w:lvlText w:val="%8."/>
      <w:lvlJc w:val="left"/>
      <w:pPr>
        <w:ind w:left="6550" w:hanging="360"/>
      </w:pPr>
    </w:lvl>
    <w:lvl w:ilvl="8">
      <w:start w:val="1"/>
      <w:numFmt w:val="lowerRoman"/>
      <w:lvlText w:val="%9."/>
      <w:lvlJc w:val="right"/>
      <w:pPr>
        <w:ind w:left="7270" w:hanging="180"/>
      </w:pPr>
    </w:lvl>
  </w:abstractNum>
  <w:abstractNum w:abstractNumId="34" w15:restartNumberingAfterBreak="0">
    <w:nsid w:val="472C168E"/>
    <w:multiLevelType w:val="multilevel"/>
    <w:tmpl w:val="472C168E"/>
    <w:lvl w:ilvl="0">
      <w:start w:val="1"/>
      <w:numFmt w:val="decimal"/>
      <w:lvlText w:val="%1."/>
      <w:lvlJc w:val="left"/>
      <w:pPr>
        <w:ind w:left="720" w:hanging="360"/>
      </w:pPr>
    </w:lvl>
    <w:lvl w:ilvl="1">
      <w:start w:val="1"/>
      <w:numFmt w:val="lowerLetter"/>
      <w:lvlText w:val="%2."/>
      <w:lvlJc w:val="left"/>
      <w:pPr>
        <w:ind w:left="1440" w:hanging="360"/>
      </w:p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47345D1E"/>
    <w:multiLevelType w:val="multilevel"/>
    <w:tmpl w:val="5C0461EE"/>
    <w:lvl w:ilvl="0">
      <w:start w:val="1"/>
      <w:numFmt w:val="lowerLetter"/>
      <w:lvlText w:val="%1."/>
      <w:lvlJc w:val="left"/>
      <w:pPr>
        <w:ind w:left="720" w:hanging="360"/>
      </w:pPr>
      <w:rPr>
        <w:rFonts w:ascii="SimSun" w:eastAsia="SimSun" w:hAnsi="SimSun" w:cs="Arial" w:hint="default"/>
        <w:sz w:val="22"/>
        <w:szCs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47EC6000"/>
    <w:multiLevelType w:val="multilevel"/>
    <w:tmpl w:val="47EC6000"/>
    <w:lvl w:ilvl="0">
      <w:start w:val="37"/>
      <w:numFmt w:val="decimal"/>
      <w:lvlText w:val="%1."/>
      <w:lvlJc w:val="left"/>
      <w:pPr>
        <w:ind w:left="786"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52A84DC9"/>
    <w:multiLevelType w:val="multilevel"/>
    <w:tmpl w:val="CBAADFF2"/>
    <w:lvl w:ilvl="0">
      <w:start w:val="1"/>
      <w:numFmt w:val="lowerLetter"/>
      <w:lvlText w:val="%1."/>
      <w:lvlJc w:val="left"/>
      <w:pPr>
        <w:ind w:left="360" w:hanging="360"/>
      </w:pPr>
      <w:rPr>
        <w:rFonts w:ascii="SimSun" w:eastAsia="SimSun" w:hAnsi="SimSun"/>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8" w15:restartNumberingAfterBreak="0">
    <w:nsid w:val="531B052C"/>
    <w:multiLevelType w:val="multilevel"/>
    <w:tmpl w:val="531B052C"/>
    <w:lvl w:ilvl="0">
      <w:start w:val="38"/>
      <w:numFmt w:val="decimal"/>
      <w:lvlText w:val="%1."/>
      <w:lvlJc w:val="left"/>
      <w:pPr>
        <w:ind w:left="360" w:hanging="360"/>
      </w:pPr>
      <w:rPr>
        <w:rFonts w:ascii="Arial" w:hAnsi="Arial" w:cs="Arial" w:hint="default"/>
        <w:i w:val="0"/>
        <w:iCs w:val="0"/>
        <w:color w:val="auto"/>
        <w:sz w:val="22"/>
        <w:szCs w:val="22"/>
      </w:rPr>
    </w:lvl>
    <w:lvl w:ilvl="1">
      <w:start w:val="1"/>
      <w:numFmt w:val="lowerLetter"/>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9" w15:restartNumberingAfterBreak="0">
    <w:nsid w:val="54BF7C31"/>
    <w:multiLevelType w:val="multilevel"/>
    <w:tmpl w:val="54BF7C31"/>
    <w:lvl w:ilvl="0">
      <w:start w:val="1"/>
      <w:numFmt w:val="lowerLetter"/>
      <w:lvlText w:val="%1."/>
      <w:lvlJc w:val="left"/>
      <w:pPr>
        <w:ind w:left="790" w:hanging="360"/>
      </w:pPr>
    </w:lvl>
    <w:lvl w:ilvl="1">
      <w:start w:val="1"/>
      <w:numFmt w:val="lowerLetter"/>
      <w:lvlText w:val="%2."/>
      <w:lvlJc w:val="left"/>
      <w:pPr>
        <w:ind w:left="1510" w:hanging="360"/>
      </w:pPr>
    </w:lvl>
    <w:lvl w:ilvl="2">
      <w:start w:val="1"/>
      <w:numFmt w:val="lowerRoman"/>
      <w:lvlText w:val="%3."/>
      <w:lvlJc w:val="right"/>
      <w:pPr>
        <w:ind w:left="2230" w:hanging="180"/>
      </w:pPr>
    </w:lvl>
    <w:lvl w:ilvl="3">
      <w:start w:val="1"/>
      <w:numFmt w:val="decimal"/>
      <w:lvlText w:val="%4."/>
      <w:lvlJc w:val="left"/>
      <w:pPr>
        <w:ind w:left="2950" w:hanging="360"/>
      </w:pPr>
    </w:lvl>
    <w:lvl w:ilvl="4">
      <w:start w:val="1"/>
      <w:numFmt w:val="lowerLetter"/>
      <w:lvlText w:val="%5."/>
      <w:lvlJc w:val="left"/>
      <w:pPr>
        <w:ind w:left="3670" w:hanging="360"/>
      </w:pPr>
    </w:lvl>
    <w:lvl w:ilvl="5">
      <w:start w:val="1"/>
      <w:numFmt w:val="lowerRoman"/>
      <w:lvlText w:val="%6."/>
      <w:lvlJc w:val="right"/>
      <w:pPr>
        <w:ind w:left="4390" w:hanging="180"/>
      </w:pPr>
    </w:lvl>
    <w:lvl w:ilvl="6">
      <w:start w:val="1"/>
      <w:numFmt w:val="decimal"/>
      <w:lvlText w:val="%7."/>
      <w:lvlJc w:val="left"/>
      <w:pPr>
        <w:ind w:left="5110" w:hanging="360"/>
      </w:pPr>
    </w:lvl>
    <w:lvl w:ilvl="7">
      <w:start w:val="1"/>
      <w:numFmt w:val="lowerLetter"/>
      <w:lvlText w:val="%8."/>
      <w:lvlJc w:val="left"/>
      <w:pPr>
        <w:ind w:left="5830" w:hanging="360"/>
      </w:pPr>
    </w:lvl>
    <w:lvl w:ilvl="8">
      <w:start w:val="1"/>
      <w:numFmt w:val="lowerRoman"/>
      <w:lvlText w:val="%9."/>
      <w:lvlJc w:val="right"/>
      <w:pPr>
        <w:ind w:left="6550" w:hanging="180"/>
      </w:pPr>
    </w:lvl>
  </w:abstractNum>
  <w:abstractNum w:abstractNumId="40" w15:restartNumberingAfterBreak="0">
    <w:nsid w:val="55450A20"/>
    <w:multiLevelType w:val="multilevel"/>
    <w:tmpl w:val="55450A20"/>
    <w:lvl w:ilvl="0">
      <w:start w:val="9"/>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55BC5DAA"/>
    <w:multiLevelType w:val="multilevel"/>
    <w:tmpl w:val="55BC5DAA"/>
    <w:lvl w:ilvl="0">
      <w:start w:val="97"/>
      <w:numFmt w:val="decimal"/>
      <w:lvlText w:val="%1."/>
      <w:lvlJc w:val="left"/>
      <w:pPr>
        <w:ind w:left="540" w:hanging="360"/>
      </w:pPr>
      <w:rPr>
        <w:rFonts w:hint="default"/>
        <w:b w:val="0"/>
        <w:bCs w:val="0"/>
        <w:i w:val="0"/>
        <w:iCs w:val="0"/>
        <w:color w:val="auto"/>
        <w:sz w:val="22"/>
        <w:szCs w:val="22"/>
      </w:rPr>
    </w:lvl>
    <w:lvl w:ilvl="1">
      <w:start w:val="1"/>
      <w:numFmt w:val="lowerLetter"/>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2" w15:restartNumberingAfterBreak="0">
    <w:nsid w:val="5AF00490"/>
    <w:multiLevelType w:val="multilevel"/>
    <w:tmpl w:val="57CEE1CA"/>
    <w:lvl w:ilvl="0">
      <w:start w:val="1"/>
      <w:numFmt w:val="decimal"/>
      <w:lvlText w:val="%1."/>
      <w:lvlJc w:val="left"/>
      <w:pPr>
        <w:ind w:left="644" w:hanging="360"/>
      </w:pPr>
      <w:rPr>
        <w:rFonts w:hint="eastAsia"/>
      </w:rPr>
    </w:lvl>
    <w:lvl w:ilvl="1">
      <w:start w:val="6"/>
      <w:numFmt w:val="bullet"/>
      <w:lvlText w:val=""/>
      <w:lvlJc w:val="left"/>
      <w:pPr>
        <w:ind w:left="1364" w:hanging="360"/>
      </w:pPr>
      <w:rPr>
        <w:rFonts w:ascii="Symbol" w:hAnsi="Symbol" w:hint="default"/>
      </w:rPr>
    </w:lvl>
    <w:lvl w:ilvl="2">
      <w:start w:val="1"/>
      <w:numFmt w:val="lowerRoman"/>
      <w:lvlText w:val="%3."/>
      <w:lvlJc w:val="right"/>
      <w:pPr>
        <w:ind w:left="2084" w:hanging="180"/>
      </w:pPr>
      <w:rPr>
        <w:rFonts w:hint="eastAsia"/>
      </w:rPr>
    </w:lvl>
    <w:lvl w:ilvl="3">
      <w:start w:val="1"/>
      <w:numFmt w:val="decimal"/>
      <w:lvlText w:val="%4."/>
      <w:lvlJc w:val="left"/>
      <w:pPr>
        <w:ind w:left="2766" w:hanging="360"/>
      </w:pPr>
      <w:rPr>
        <w:rFonts w:hint="eastAsia"/>
      </w:rPr>
    </w:lvl>
    <w:lvl w:ilvl="4">
      <w:start w:val="1"/>
      <w:numFmt w:val="lowerLetter"/>
      <w:lvlText w:val="%5."/>
      <w:lvlJc w:val="left"/>
      <w:pPr>
        <w:ind w:left="360" w:hanging="360"/>
      </w:pPr>
      <w:rPr>
        <w:rFonts w:hint="eastAsia"/>
      </w:rPr>
    </w:lvl>
    <w:lvl w:ilvl="5">
      <w:start w:val="1"/>
      <w:numFmt w:val="lowerRoman"/>
      <w:lvlText w:val="%6."/>
      <w:lvlJc w:val="right"/>
      <w:pPr>
        <w:ind w:left="4244" w:hanging="180"/>
      </w:pPr>
      <w:rPr>
        <w:rFonts w:hint="eastAsia"/>
      </w:rPr>
    </w:lvl>
    <w:lvl w:ilvl="6">
      <w:start w:val="1"/>
      <w:numFmt w:val="decimal"/>
      <w:lvlText w:val="%7."/>
      <w:lvlJc w:val="left"/>
      <w:pPr>
        <w:ind w:left="4964" w:hanging="360"/>
      </w:pPr>
      <w:rPr>
        <w:rFonts w:hint="eastAsia"/>
      </w:rPr>
    </w:lvl>
    <w:lvl w:ilvl="7">
      <w:start w:val="1"/>
      <w:numFmt w:val="lowerLetter"/>
      <w:lvlText w:val="%8."/>
      <w:lvlJc w:val="left"/>
      <w:pPr>
        <w:ind w:left="5684" w:hanging="360"/>
      </w:pPr>
      <w:rPr>
        <w:rFonts w:hint="eastAsia"/>
      </w:rPr>
    </w:lvl>
    <w:lvl w:ilvl="8">
      <w:start w:val="1"/>
      <w:numFmt w:val="lowerRoman"/>
      <w:lvlText w:val="%9."/>
      <w:lvlJc w:val="right"/>
      <w:pPr>
        <w:ind w:left="6404" w:hanging="180"/>
      </w:pPr>
      <w:rPr>
        <w:rFonts w:hint="eastAsia"/>
      </w:rPr>
    </w:lvl>
  </w:abstractNum>
  <w:abstractNum w:abstractNumId="43" w15:restartNumberingAfterBreak="0">
    <w:nsid w:val="5B10412B"/>
    <w:multiLevelType w:val="multilevel"/>
    <w:tmpl w:val="5B10412B"/>
    <w:lvl w:ilvl="0">
      <w:start w:val="116"/>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5C2253D5"/>
    <w:multiLevelType w:val="multilevel"/>
    <w:tmpl w:val="5C2253D5"/>
    <w:lvl w:ilvl="0">
      <w:start w:val="1"/>
      <w:numFmt w:val="lowerLetter"/>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482" w:hanging="360"/>
      </w:pPr>
    </w:lvl>
    <w:lvl w:ilvl="4">
      <w:start w:val="1"/>
      <w:numFmt w:val="decimal"/>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5" w15:restartNumberingAfterBreak="0">
    <w:nsid w:val="5E4307B4"/>
    <w:multiLevelType w:val="multilevel"/>
    <w:tmpl w:val="5E4307B4"/>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5FAB7D38"/>
    <w:multiLevelType w:val="multilevel"/>
    <w:tmpl w:val="5FAB7D38"/>
    <w:lvl w:ilvl="0">
      <w:start w:val="1"/>
      <w:numFmt w:val="decimal"/>
      <w:lvlText w:val="%1."/>
      <w:lvlJc w:val="left"/>
      <w:pPr>
        <w:ind w:left="644" w:hanging="360"/>
      </w:pPr>
    </w:lvl>
    <w:lvl w:ilvl="1">
      <w:start w:val="1"/>
      <w:numFmt w:val="bullet"/>
      <w:lvlText w:val=""/>
      <w:lvlJc w:val="left"/>
      <w:pPr>
        <w:ind w:left="1364" w:hanging="360"/>
      </w:pPr>
      <w:rPr>
        <w:rFonts w:ascii="Symbol" w:hAnsi="Symbol" w:hint="default"/>
      </w:rPr>
    </w:lvl>
    <w:lvl w:ilvl="2">
      <w:start w:val="1"/>
      <w:numFmt w:val="lowerRoman"/>
      <w:lvlText w:val="%3."/>
      <w:lvlJc w:val="right"/>
      <w:pPr>
        <w:ind w:left="2084" w:hanging="180"/>
      </w:pPr>
    </w:lvl>
    <w:lvl w:ilvl="3">
      <w:start w:val="1"/>
      <w:numFmt w:val="decimal"/>
      <w:lvlText w:val="%4."/>
      <w:lvlJc w:val="left"/>
      <w:pPr>
        <w:ind w:left="2766" w:hanging="360"/>
      </w:pPr>
    </w:lvl>
    <w:lvl w:ilvl="4">
      <w:start w:val="1"/>
      <w:numFmt w:val="lowerLetter"/>
      <w:lvlText w:val="%5."/>
      <w:lvlJc w:val="left"/>
      <w:pPr>
        <w:ind w:left="360" w:hanging="360"/>
      </w:pPr>
    </w:lvl>
    <w:lvl w:ilvl="5">
      <w:start w:val="1"/>
      <w:numFmt w:val="lowerRoman"/>
      <w:lvlText w:val="%6."/>
      <w:lvlJc w:val="right"/>
      <w:pPr>
        <w:ind w:left="4244" w:hanging="180"/>
      </w:pPr>
    </w:lvl>
    <w:lvl w:ilvl="6">
      <w:start w:val="1"/>
      <w:numFmt w:val="decimal"/>
      <w:lvlText w:val="%7."/>
      <w:lvlJc w:val="left"/>
      <w:pPr>
        <w:ind w:left="4964" w:hanging="360"/>
      </w:pPr>
    </w:lvl>
    <w:lvl w:ilvl="7">
      <w:start w:val="1"/>
      <w:numFmt w:val="lowerLetter"/>
      <w:lvlText w:val="%8."/>
      <w:lvlJc w:val="left"/>
      <w:pPr>
        <w:ind w:left="5684" w:hanging="360"/>
      </w:pPr>
    </w:lvl>
    <w:lvl w:ilvl="8">
      <w:start w:val="1"/>
      <w:numFmt w:val="lowerRoman"/>
      <w:lvlText w:val="%9."/>
      <w:lvlJc w:val="right"/>
      <w:pPr>
        <w:ind w:left="6404" w:hanging="180"/>
      </w:pPr>
    </w:lvl>
  </w:abstractNum>
  <w:abstractNum w:abstractNumId="47" w15:restartNumberingAfterBreak="0">
    <w:nsid w:val="6504217F"/>
    <w:multiLevelType w:val="multilevel"/>
    <w:tmpl w:val="6504217F"/>
    <w:lvl w:ilvl="0">
      <w:start w:val="1"/>
      <w:numFmt w:val="lowerLetter"/>
      <w:lvlText w:val="%1."/>
      <w:lvlJc w:val="left"/>
      <w:pPr>
        <w:ind w:left="1510" w:hanging="360"/>
      </w:pPr>
    </w:lvl>
    <w:lvl w:ilvl="1">
      <w:start w:val="1"/>
      <w:numFmt w:val="lowerLetter"/>
      <w:lvlText w:val="%2."/>
      <w:lvlJc w:val="left"/>
      <w:pPr>
        <w:ind w:left="2230" w:hanging="360"/>
      </w:pPr>
    </w:lvl>
    <w:lvl w:ilvl="2">
      <w:start w:val="1"/>
      <w:numFmt w:val="lowerRoman"/>
      <w:lvlText w:val="%3."/>
      <w:lvlJc w:val="right"/>
      <w:pPr>
        <w:ind w:left="2950" w:hanging="180"/>
      </w:pPr>
    </w:lvl>
    <w:lvl w:ilvl="3">
      <w:start w:val="1"/>
      <w:numFmt w:val="decimal"/>
      <w:lvlText w:val="%4."/>
      <w:lvlJc w:val="left"/>
      <w:pPr>
        <w:ind w:left="3670" w:hanging="360"/>
      </w:pPr>
    </w:lvl>
    <w:lvl w:ilvl="4">
      <w:start w:val="1"/>
      <w:numFmt w:val="lowerLetter"/>
      <w:lvlText w:val="%5."/>
      <w:lvlJc w:val="left"/>
      <w:pPr>
        <w:ind w:left="4390" w:hanging="360"/>
      </w:pPr>
    </w:lvl>
    <w:lvl w:ilvl="5">
      <w:start w:val="1"/>
      <w:numFmt w:val="lowerRoman"/>
      <w:lvlText w:val="%6."/>
      <w:lvlJc w:val="right"/>
      <w:pPr>
        <w:ind w:left="5110" w:hanging="180"/>
      </w:pPr>
    </w:lvl>
    <w:lvl w:ilvl="6">
      <w:start w:val="1"/>
      <w:numFmt w:val="decimal"/>
      <w:lvlText w:val="%7."/>
      <w:lvlJc w:val="left"/>
      <w:pPr>
        <w:ind w:left="5830" w:hanging="360"/>
      </w:pPr>
    </w:lvl>
    <w:lvl w:ilvl="7">
      <w:start w:val="1"/>
      <w:numFmt w:val="lowerLetter"/>
      <w:lvlText w:val="%8."/>
      <w:lvlJc w:val="left"/>
      <w:pPr>
        <w:ind w:left="6550" w:hanging="360"/>
      </w:pPr>
    </w:lvl>
    <w:lvl w:ilvl="8">
      <w:start w:val="1"/>
      <w:numFmt w:val="lowerRoman"/>
      <w:lvlText w:val="%9."/>
      <w:lvlJc w:val="right"/>
      <w:pPr>
        <w:ind w:left="7270" w:hanging="180"/>
      </w:pPr>
    </w:lvl>
  </w:abstractNum>
  <w:abstractNum w:abstractNumId="48" w15:restartNumberingAfterBreak="0">
    <w:nsid w:val="66D54FD9"/>
    <w:multiLevelType w:val="multilevel"/>
    <w:tmpl w:val="66D54FD9"/>
    <w:lvl w:ilvl="0">
      <w:start w:val="2"/>
      <w:numFmt w:val="decimal"/>
      <w:lvlText w:val="%1."/>
      <w:lvlJc w:val="left"/>
      <w:pPr>
        <w:ind w:left="408" w:hanging="408"/>
      </w:pPr>
      <w:rPr>
        <w:rFonts w:hint="default"/>
      </w:rPr>
    </w:lvl>
    <w:lvl w:ilvl="1">
      <w:start w:val="1"/>
      <w:numFmt w:val="decimal"/>
      <w:lvlText w:val="%1.%2."/>
      <w:lvlJc w:val="left"/>
      <w:pPr>
        <w:ind w:left="720" w:hanging="720"/>
      </w:pPr>
      <w:rPr>
        <w:rFonts w:hint="default"/>
        <w:sz w:val="22"/>
        <w:szCs w:val="2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9" w15:restartNumberingAfterBreak="0">
    <w:nsid w:val="67DD677A"/>
    <w:multiLevelType w:val="multilevel"/>
    <w:tmpl w:val="67DD677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15:restartNumberingAfterBreak="0">
    <w:nsid w:val="6A49473A"/>
    <w:multiLevelType w:val="multilevel"/>
    <w:tmpl w:val="6A49473A"/>
    <w:lvl w:ilvl="0">
      <w:start w:val="7"/>
      <w:numFmt w:val="decimal"/>
      <w:lvlText w:val="%1."/>
      <w:lvlJc w:val="left"/>
      <w:pPr>
        <w:ind w:left="720" w:hanging="360"/>
      </w:pPr>
      <w:rPr>
        <w:rFonts w:hint="default"/>
        <w:b w:val="0"/>
        <w:bCs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15:restartNumberingAfterBreak="0">
    <w:nsid w:val="6A963997"/>
    <w:multiLevelType w:val="multilevel"/>
    <w:tmpl w:val="6A963997"/>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2" w15:restartNumberingAfterBreak="0">
    <w:nsid w:val="6D5817A4"/>
    <w:multiLevelType w:val="multilevel"/>
    <w:tmpl w:val="6D5817A4"/>
    <w:lvl w:ilvl="0">
      <w:start w:val="2"/>
      <w:numFmt w:val="lowerLetter"/>
      <w:lvlText w:val="%1."/>
      <w:lvlJc w:val="left"/>
      <w:pPr>
        <w:ind w:left="151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 w15:restartNumberingAfterBreak="0">
    <w:nsid w:val="6EBC6768"/>
    <w:multiLevelType w:val="multilevel"/>
    <w:tmpl w:val="6EBC6768"/>
    <w:lvl w:ilvl="0">
      <w:start w:val="1"/>
      <w:numFmt w:val="decimal"/>
      <w:lvlText w:val="%1."/>
      <w:lvlJc w:val="left"/>
      <w:pPr>
        <w:ind w:left="432" w:hanging="432"/>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4" w15:restartNumberingAfterBreak="0">
    <w:nsid w:val="70A364CE"/>
    <w:multiLevelType w:val="multilevel"/>
    <w:tmpl w:val="70A364CE"/>
    <w:lvl w:ilvl="0">
      <w:start w:val="10"/>
      <w:numFmt w:val="decimal"/>
      <w:lvlText w:val="%1."/>
      <w:lvlJc w:val="left"/>
      <w:pPr>
        <w:ind w:left="450" w:hanging="360"/>
      </w:pPr>
      <w:rPr>
        <w:rFonts w:hint="default"/>
        <w:sz w:val="22"/>
        <w:szCs w:val="22"/>
      </w:rPr>
    </w:lvl>
    <w:lvl w:ilvl="1">
      <w:start w:val="1"/>
      <w:numFmt w:val="lowerLetter"/>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5" w15:restartNumberingAfterBreak="0">
    <w:nsid w:val="71B63388"/>
    <w:multiLevelType w:val="multilevel"/>
    <w:tmpl w:val="71B63388"/>
    <w:lvl w:ilvl="0">
      <w:start w:val="75"/>
      <w:numFmt w:val="decimal"/>
      <w:lvlText w:val="%1."/>
      <w:lvlJc w:val="left"/>
      <w:pPr>
        <w:ind w:left="540" w:hanging="360"/>
      </w:pPr>
      <w:rPr>
        <w:rFonts w:hint="default"/>
        <w:b w:val="0"/>
        <w:bCs w:val="0"/>
        <w:i w:val="0"/>
        <w:iCs w:val="0"/>
        <w:color w:val="auto"/>
        <w:sz w:val="22"/>
        <w:szCs w:val="22"/>
      </w:rPr>
    </w:lvl>
    <w:lvl w:ilvl="1">
      <w:start w:val="1"/>
      <w:numFmt w:val="lowerLetter"/>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6" w15:restartNumberingAfterBreak="0">
    <w:nsid w:val="75C66F88"/>
    <w:multiLevelType w:val="multilevel"/>
    <w:tmpl w:val="75C66F88"/>
    <w:lvl w:ilvl="0">
      <w:start w:val="139"/>
      <w:numFmt w:val="decimal"/>
      <w:lvlText w:val="%1."/>
      <w:lvlJc w:val="left"/>
      <w:pPr>
        <w:ind w:left="786"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 w15:restartNumberingAfterBreak="0">
    <w:nsid w:val="766E2379"/>
    <w:multiLevelType w:val="multilevel"/>
    <w:tmpl w:val="766E2379"/>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8" w15:restartNumberingAfterBreak="0">
    <w:nsid w:val="76737C88"/>
    <w:multiLevelType w:val="multilevel"/>
    <w:tmpl w:val="76737C88"/>
    <w:lvl w:ilvl="0">
      <w:start w:val="1"/>
      <w:numFmt w:val="lowerLetter"/>
      <w:lvlText w:val="%1."/>
      <w:lvlJc w:val="left"/>
      <w:pPr>
        <w:ind w:left="2766" w:hanging="360"/>
      </w:pPr>
    </w:lvl>
    <w:lvl w:ilvl="1">
      <w:start w:val="1"/>
      <w:numFmt w:val="lowerLetter"/>
      <w:lvlText w:val="%2."/>
      <w:lvlJc w:val="left"/>
      <w:pPr>
        <w:ind w:left="3486" w:hanging="360"/>
      </w:pPr>
    </w:lvl>
    <w:lvl w:ilvl="2">
      <w:start w:val="1"/>
      <w:numFmt w:val="lowerRoman"/>
      <w:lvlText w:val="%3."/>
      <w:lvlJc w:val="right"/>
      <w:pPr>
        <w:ind w:left="4206" w:hanging="180"/>
      </w:pPr>
    </w:lvl>
    <w:lvl w:ilvl="3">
      <w:start w:val="1"/>
      <w:numFmt w:val="decimal"/>
      <w:lvlText w:val="%4."/>
      <w:lvlJc w:val="left"/>
      <w:pPr>
        <w:ind w:left="4926" w:hanging="360"/>
      </w:pPr>
    </w:lvl>
    <w:lvl w:ilvl="4">
      <w:start w:val="1"/>
      <w:numFmt w:val="lowerLetter"/>
      <w:lvlText w:val="%5."/>
      <w:lvlJc w:val="left"/>
      <w:pPr>
        <w:ind w:left="5646" w:hanging="360"/>
      </w:pPr>
    </w:lvl>
    <w:lvl w:ilvl="5">
      <w:start w:val="1"/>
      <w:numFmt w:val="lowerRoman"/>
      <w:lvlText w:val="%6."/>
      <w:lvlJc w:val="right"/>
      <w:pPr>
        <w:ind w:left="6366" w:hanging="180"/>
      </w:pPr>
    </w:lvl>
    <w:lvl w:ilvl="6">
      <w:start w:val="1"/>
      <w:numFmt w:val="decimal"/>
      <w:lvlText w:val="%7."/>
      <w:lvlJc w:val="left"/>
      <w:pPr>
        <w:ind w:left="7086" w:hanging="360"/>
      </w:pPr>
    </w:lvl>
    <w:lvl w:ilvl="7">
      <w:start w:val="1"/>
      <w:numFmt w:val="lowerLetter"/>
      <w:lvlText w:val="%8."/>
      <w:lvlJc w:val="left"/>
      <w:pPr>
        <w:ind w:left="7806" w:hanging="360"/>
      </w:pPr>
    </w:lvl>
    <w:lvl w:ilvl="8">
      <w:start w:val="1"/>
      <w:numFmt w:val="lowerRoman"/>
      <w:lvlText w:val="%9."/>
      <w:lvlJc w:val="right"/>
      <w:pPr>
        <w:ind w:left="8526" w:hanging="180"/>
      </w:pPr>
    </w:lvl>
  </w:abstractNum>
  <w:abstractNum w:abstractNumId="59" w15:restartNumberingAfterBreak="0">
    <w:nsid w:val="76B67CCA"/>
    <w:multiLevelType w:val="multilevel"/>
    <w:tmpl w:val="76B67CCA"/>
    <w:lvl w:ilvl="0">
      <w:start w:val="1"/>
      <w:numFmt w:val="lowerLetter"/>
      <w:lvlText w:val="%1."/>
      <w:lvlJc w:val="left"/>
      <w:pPr>
        <w:ind w:left="790" w:hanging="360"/>
      </w:pPr>
    </w:lvl>
    <w:lvl w:ilvl="1">
      <w:start w:val="1"/>
      <w:numFmt w:val="lowerLetter"/>
      <w:lvlText w:val="%2."/>
      <w:lvlJc w:val="left"/>
      <w:pPr>
        <w:ind w:left="1510" w:hanging="360"/>
      </w:pPr>
    </w:lvl>
    <w:lvl w:ilvl="2">
      <w:start w:val="1"/>
      <w:numFmt w:val="lowerRoman"/>
      <w:lvlText w:val="%3."/>
      <w:lvlJc w:val="right"/>
      <w:pPr>
        <w:ind w:left="2230" w:hanging="180"/>
      </w:pPr>
    </w:lvl>
    <w:lvl w:ilvl="3">
      <w:start w:val="1"/>
      <w:numFmt w:val="decimal"/>
      <w:lvlText w:val="%4."/>
      <w:lvlJc w:val="left"/>
      <w:pPr>
        <w:ind w:left="2950" w:hanging="360"/>
      </w:pPr>
    </w:lvl>
    <w:lvl w:ilvl="4">
      <w:start w:val="1"/>
      <w:numFmt w:val="lowerLetter"/>
      <w:lvlText w:val="%5."/>
      <w:lvlJc w:val="left"/>
      <w:pPr>
        <w:ind w:left="3670" w:hanging="360"/>
      </w:pPr>
    </w:lvl>
    <w:lvl w:ilvl="5">
      <w:start w:val="1"/>
      <w:numFmt w:val="lowerRoman"/>
      <w:lvlText w:val="%6."/>
      <w:lvlJc w:val="right"/>
      <w:pPr>
        <w:ind w:left="4390" w:hanging="180"/>
      </w:pPr>
    </w:lvl>
    <w:lvl w:ilvl="6">
      <w:start w:val="1"/>
      <w:numFmt w:val="decimal"/>
      <w:lvlText w:val="%7."/>
      <w:lvlJc w:val="left"/>
      <w:pPr>
        <w:ind w:left="5110" w:hanging="360"/>
      </w:pPr>
    </w:lvl>
    <w:lvl w:ilvl="7">
      <w:start w:val="1"/>
      <w:numFmt w:val="lowerLetter"/>
      <w:lvlText w:val="%8."/>
      <w:lvlJc w:val="left"/>
      <w:pPr>
        <w:ind w:left="5830" w:hanging="360"/>
      </w:pPr>
    </w:lvl>
    <w:lvl w:ilvl="8">
      <w:start w:val="1"/>
      <w:numFmt w:val="lowerRoman"/>
      <w:lvlText w:val="%9."/>
      <w:lvlJc w:val="right"/>
      <w:pPr>
        <w:ind w:left="6550" w:hanging="180"/>
      </w:pPr>
    </w:lvl>
  </w:abstractNum>
  <w:abstractNum w:abstractNumId="60" w15:restartNumberingAfterBreak="0">
    <w:nsid w:val="77125090"/>
    <w:multiLevelType w:val="multilevel"/>
    <w:tmpl w:val="77125090"/>
    <w:lvl w:ilvl="0">
      <w:start w:val="1"/>
      <w:numFmt w:val="lowerLetter"/>
      <w:lvlText w:val="%1."/>
      <w:lvlJc w:val="left"/>
      <w:pPr>
        <w:ind w:left="2766" w:hanging="360"/>
      </w:pPr>
    </w:lvl>
    <w:lvl w:ilvl="1">
      <w:start w:val="1"/>
      <w:numFmt w:val="lowerLetter"/>
      <w:lvlText w:val="%2."/>
      <w:lvlJc w:val="left"/>
      <w:pPr>
        <w:ind w:left="3486" w:hanging="360"/>
      </w:pPr>
    </w:lvl>
    <w:lvl w:ilvl="2">
      <w:start w:val="1"/>
      <w:numFmt w:val="lowerRoman"/>
      <w:lvlText w:val="%3."/>
      <w:lvlJc w:val="right"/>
      <w:pPr>
        <w:ind w:left="4206" w:hanging="180"/>
      </w:pPr>
    </w:lvl>
    <w:lvl w:ilvl="3">
      <w:start w:val="1"/>
      <w:numFmt w:val="decimal"/>
      <w:lvlText w:val="%4."/>
      <w:lvlJc w:val="left"/>
      <w:pPr>
        <w:ind w:left="4926" w:hanging="360"/>
      </w:pPr>
    </w:lvl>
    <w:lvl w:ilvl="4">
      <w:start w:val="1"/>
      <w:numFmt w:val="lowerLetter"/>
      <w:lvlText w:val="%5."/>
      <w:lvlJc w:val="left"/>
      <w:pPr>
        <w:ind w:left="5646" w:hanging="360"/>
      </w:pPr>
    </w:lvl>
    <w:lvl w:ilvl="5">
      <w:start w:val="1"/>
      <w:numFmt w:val="lowerRoman"/>
      <w:lvlText w:val="%6."/>
      <w:lvlJc w:val="right"/>
      <w:pPr>
        <w:ind w:left="6366" w:hanging="180"/>
      </w:pPr>
    </w:lvl>
    <w:lvl w:ilvl="6">
      <w:start w:val="1"/>
      <w:numFmt w:val="decimal"/>
      <w:lvlText w:val="%7."/>
      <w:lvlJc w:val="left"/>
      <w:pPr>
        <w:ind w:left="7086" w:hanging="360"/>
      </w:pPr>
    </w:lvl>
    <w:lvl w:ilvl="7">
      <w:start w:val="1"/>
      <w:numFmt w:val="lowerLetter"/>
      <w:lvlText w:val="%8."/>
      <w:lvlJc w:val="left"/>
      <w:pPr>
        <w:ind w:left="7806" w:hanging="360"/>
      </w:pPr>
    </w:lvl>
    <w:lvl w:ilvl="8">
      <w:start w:val="1"/>
      <w:numFmt w:val="lowerRoman"/>
      <w:lvlText w:val="%9."/>
      <w:lvlJc w:val="right"/>
      <w:pPr>
        <w:ind w:left="8526" w:hanging="180"/>
      </w:pPr>
    </w:lvl>
  </w:abstractNum>
  <w:abstractNum w:abstractNumId="61" w15:restartNumberingAfterBreak="0">
    <w:nsid w:val="779613A3"/>
    <w:multiLevelType w:val="multilevel"/>
    <w:tmpl w:val="779613A3"/>
    <w:lvl w:ilvl="0">
      <w:start w:val="1"/>
      <w:numFmt w:val="lowerLetter"/>
      <w:lvlText w:val="%1."/>
      <w:lvlJc w:val="left"/>
      <w:pPr>
        <w:ind w:left="2766" w:hanging="360"/>
      </w:pPr>
      <w:rPr>
        <w:b w:val="0"/>
        <w:bCs w:val="0"/>
      </w:rPr>
    </w:lvl>
    <w:lvl w:ilvl="1">
      <w:start w:val="1"/>
      <w:numFmt w:val="lowerLetter"/>
      <w:lvlText w:val="%2."/>
      <w:lvlJc w:val="left"/>
      <w:pPr>
        <w:ind w:left="3486" w:hanging="360"/>
      </w:pPr>
    </w:lvl>
    <w:lvl w:ilvl="2">
      <w:start w:val="1"/>
      <w:numFmt w:val="lowerRoman"/>
      <w:lvlText w:val="%3."/>
      <w:lvlJc w:val="right"/>
      <w:pPr>
        <w:ind w:left="4206" w:hanging="180"/>
      </w:pPr>
    </w:lvl>
    <w:lvl w:ilvl="3">
      <w:start w:val="1"/>
      <w:numFmt w:val="decimal"/>
      <w:lvlText w:val="%4."/>
      <w:lvlJc w:val="left"/>
      <w:pPr>
        <w:ind w:left="4926" w:hanging="360"/>
      </w:pPr>
    </w:lvl>
    <w:lvl w:ilvl="4">
      <w:start w:val="1"/>
      <w:numFmt w:val="lowerLetter"/>
      <w:lvlText w:val="%5."/>
      <w:lvlJc w:val="left"/>
      <w:pPr>
        <w:ind w:left="5646" w:hanging="360"/>
      </w:pPr>
    </w:lvl>
    <w:lvl w:ilvl="5">
      <w:start w:val="1"/>
      <w:numFmt w:val="lowerRoman"/>
      <w:lvlText w:val="%6."/>
      <w:lvlJc w:val="right"/>
      <w:pPr>
        <w:ind w:left="6366" w:hanging="180"/>
      </w:pPr>
    </w:lvl>
    <w:lvl w:ilvl="6">
      <w:start w:val="1"/>
      <w:numFmt w:val="decimal"/>
      <w:lvlText w:val="%7."/>
      <w:lvlJc w:val="left"/>
      <w:pPr>
        <w:ind w:left="7086" w:hanging="360"/>
      </w:pPr>
    </w:lvl>
    <w:lvl w:ilvl="7">
      <w:start w:val="1"/>
      <w:numFmt w:val="lowerLetter"/>
      <w:lvlText w:val="%8."/>
      <w:lvlJc w:val="left"/>
      <w:pPr>
        <w:ind w:left="7806" w:hanging="360"/>
      </w:pPr>
    </w:lvl>
    <w:lvl w:ilvl="8">
      <w:start w:val="1"/>
      <w:numFmt w:val="lowerRoman"/>
      <w:lvlText w:val="%9."/>
      <w:lvlJc w:val="right"/>
      <w:pPr>
        <w:ind w:left="8526" w:hanging="180"/>
      </w:pPr>
    </w:lvl>
  </w:abstractNum>
  <w:abstractNum w:abstractNumId="62" w15:restartNumberingAfterBreak="0">
    <w:nsid w:val="78424833"/>
    <w:multiLevelType w:val="multilevel"/>
    <w:tmpl w:val="78424833"/>
    <w:lvl w:ilvl="0">
      <w:start w:val="2"/>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3" w15:restartNumberingAfterBreak="0">
    <w:nsid w:val="78E94674"/>
    <w:multiLevelType w:val="multilevel"/>
    <w:tmpl w:val="78E94674"/>
    <w:lvl w:ilvl="0">
      <w:start w:val="5"/>
      <w:numFmt w:val="decimal"/>
      <w:lvlText w:val="%1."/>
      <w:lvlJc w:val="left"/>
      <w:pPr>
        <w:ind w:left="79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7A4E6425"/>
    <w:multiLevelType w:val="multilevel"/>
    <w:tmpl w:val="7A4E6425"/>
    <w:lvl w:ilvl="0">
      <w:start w:val="8"/>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573590062">
    <w:abstractNumId w:val="1"/>
  </w:num>
  <w:num w:numId="2" w16cid:durableId="572815493">
    <w:abstractNumId w:val="26"/>
  </w:num>
  <w:num w:numId="3" w16cid:durableId="1333991623">
    <w:abstractNumId w:val="22"/>
  </w:num>
  <w:num w:numId="4" w16cid:durableId="1393313287">
    <w:abstractNumId w:val="27"/>
  </w:num>
  <w:num w:numId="5" w16cid:durableId="205217629">
    <w:abstractNumId w:val="59"/>
  </w:num>
  <w:num w:numId="6" w16cid:durableId="1368800845">
    <w:abstractNumId w:val="63"/>
  </w:num>
  <w:num w:numId="7" w16cid:durableId="41949190">
    <w:abstractNumId w:val="44"/>
  </w:num>
  <w:num w:numId="8" w16cid:durableId="927153991">
    <w:abstractNumId w:val="46"/>
  </w:num>
  <w:num w:numId="9" w16cid:durableId="1529103068">
    <w:abstractNumId w:val="62"/>
  </w:num>
  <w:num w:numId="10" w16cid:durableId="1273779618">
    <w:abstractNumId w:val="17"/>
  </w:num>
  <w:num w:numId="11" w16cid:durableId="606929948">
    <w:abstractNumId w:val="58"/>
  </w:num>
  <w:num w:numId="12" w16cid:durableId="1338383079">
    <w:abstractNumId w:val="21"/>
  </w:num>
  <w:num w:numId="13" w16cid:durableId="1531603016">
    <w:abstractNumId w:val="50"/>
  </w:num>
  <w:num w:numId="14" w16cid:durableId="2081249547">
    <w:abstractNumId w:val="35"/>
  </w:num>
  <w:num w:numId="15" w16cid:durableId="549613416">
    <w:abstractNumId w:val="10"/>
  </w:num>
  <w:num w:numId="16" w16cid:durableId="2074811370">
    <w:abstractNumId w:val="64"/>
  </w:num>
  <w:num w:numId="17" w16cid:durableId="741560984">
    <w:abstractNumId w:val="25"/>
  </w:num>
  <w:num w:numId="18" w16cid:durableId="2005890034">
    <w:abstractNumId w:val="40"/>
  </w:num>
  <w:num w:numId="19" w16cid:durableId="77216129">
    <w:abstractNumId w:val="19"/>
  </w:num>
  <w:num w:numId="20" w16cid:durableId="471752385">
    <w:abstractNumId w:val="6"/>
  </w:num>
  <w:num w:numId="21" w16cid:durableId="1694376998">
    <w:abstractNumId w:val="54"/>
  </w:num>
  <w:num w:numId="22" w16cid:durableId="910307180">
    <w:abstractNumId w:val="53"/>
  </w:num>
  <w:num w:numId="23" w16cid:durableId="178272929">
    <w:abstractNumId w:val="9"/>
  </w:num>
  <w:num w:numId="24" w16cid:durableId="1847283598">
    <w:abstractNumId w:val="48"/>
  </w:num>
  <w:num w:numId="25" w16cid:durableId="432752681">
    <w:abstractNumId w:val="32"/>
  </w:num>
  <w:num w:numId="26" w16cid:durableId="317270523">
    <w:abstractNumId w:val="36"/>
  </w:num>
  <w:num w:numId="27" w16cid:durableId="2057048558">
    <w:abstractNumId w:val="38"/>
  </w:num>
  <w:num w:numId="28" w16cid:durableId="1599682252">
    <w:abstractNumId w:val="47"/>
  </w:num>
  <w:num w:numId="29" w16cid:durableId="2019886206">
    <w:abstractNumId w:val="12"/>
  </w:num>
  <w:num w:numId="30" w16cid:durableId="211313808">
    <w:abstractNumId w:val="20"/>
  </w:num>
  <w:num w:numId="31" w16cid:durableId="1594633360">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097361955">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975864599">
    <w:abstractNumId w:val="45"/>
  </w:num>
  <w:num w:numId="34" w16cid:durableId="1783458460">
    <w:abstractNumId w:val="55"/>
  </w:num>
  <w:num w:numId="35" w16cid:durableId="226452139">
    <w:abstractNumId w:val="51"/>
  </w:num>
  <w:num w:numId="36" w16cid:durableId="313490901">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277640580">
    <w:abstractNumId w:val="8"/>
  </w:num>
  <w:num w:numId="38" w16cid:durableId="2124112850">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382048456">
    <w:abstractNumId w:val="41"/>
  </w:num>
  <w:num w:numId="40" w16cid:durableId="1699163566">
    <w:abstractNumId w:val="34"/>
    <w:lvlOverride w:ilvl="0">
      <w:startOverride w:val="1"/>
    </w:lvlOverride>
    <w:lvlOverride w:ilvl="1">
      <w:startOverride w:val="1"/>
    </w:lvlOverride>
  </w:num>
  <w:num w:numId="41" w16cid:durableId="971515953">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622228413">
    <w:abstractNumId w:val="57"/>
  </w:num>
  <w:num w:numId="43" w16cid:durableId="1219706410">
    <w:abstractNumId w:val="28"/>
  </w:num>
  <w:num w:numId="44" w16cid:durableId="260340201">
    <w:abstractNumId w:val="16"/>
  </w:num>
  <w:num w:numId="45" w16cid:durableId="1803115072">
    <w:abstractNumId w:val="18"/>
  </w:num>
  <w:num w:numId="46" w16cid:durableId="705832523">
    <w:abstractNumId w:val="2"/>
  </w:num>
  <w:num w:numId="47" w16cid:durableId="1566338730">
    <w:abstractNumId w:val="11"/>
  </w:num>
  <w:num w:numId="48" w16cid:durableId="1313481609">
    <w:abstractNumId w:val="43"/>
  </w:num>
  <w:num w:numId="49" w16cid:durableId="1955402239">
    <w:abstractNumId w:val="31"/>
  </w:num>
  <w:num w:numId="50" w16cid:durableId="2043675335">
    <w:abstractNumId w:val="0"/>
  </w:num>
  <w:num w:numId="51" w16cid:durableId="1080445264">
    <w:abstractNumId w:val="30"/>
  </w:num>
  <w:num w:numId="52" w16cid:durableId="512839842">
    <w:abstractNumId w:val="56"/>
  </w:num>
  <w:num w:numId="53" w16cid:durableId="2005085211">
    <w:abstractNumId w:val="39"/>
  </w:num>
  <w:num w:numId="54" w16cid:durableId="1639727818">
    <w:abstractNumId w:val="29"/>
  </w:num>
  <w:num w:numId="55" w16cid:durableId="859391592">
    <w:abstractNumId w:val="52"/>
  </w:num>
  <w:num w:numId="56" w16cid:durableId="1990016928">
    <w:abstractNumId w:val="13"/>
  </w:num>
  <w:num w:numId="57" w16cid:durableId="927736220">
    <w:abstractNumId w:val="60"/>
  </w:num>
  <w:num w:numId="58" w16cid:durableId="1675107695">
    <w:abstractNumId w:val="61"/>
  </w:num>
  <w:num w:numId="59" w16cid:durableId="1522620851">
    <w:abstractNumId w:val="14"/>
  </w:num>
  <w:num w:numId="60" w16cid:durableId="889073966">
    <w:abstractNumId w:val="49"/>
  </w:num>
  <w:num w:numId="61" w16cid:durableId="1769085708">
    <w:abstractNumId w:val="4"/>
  </w:num>
  <w:num w:numId="62" w16cid:durableId="1426615778">
    <w:abstractNumId w:val="23"/>
  </w:num>
  <w:num w:numId="63" w16cid:durableId="1008866558">
    <w:abstractNumId w:val="3"/>
  </w:num>
  <w:num w:numId="64" w16cid:durableId="1499688382">
    <w:abstractNumId w:val="42"/>
  </w:num>
  <w:num w:numId="65" w16cid:durableId="551187037">
    <w:abstractNumId w:val="7"/>
  </w:num>
  <w:numIdMacAtCleanup w:val="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8"/>
  <w:bordersDoNotSurroundHeader/>
  <w:bordersDoNotSurroundFooter/>
  <w:defaultTabStop w:val="568"/>
  <w:hyphenationZone w:val="425"/>
  <w:noPunctuationKerning/>
  <w:characterSpacingControl w:val="doNotCompress"/>
  <w:hdrShapeDefaults>
    <o:shapedefaults v:ext="edit" spidmax="2050" fillcolor="white">
      <v:fill color="white"/>
    </o:shapedefaults>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2JhZWY2MDhiZDgzNmExMDVhNzg0ZTNhMDBiODIyYTcifQ=="/>
  </w:docVars>
  <w:rsids>
    <w:rsidRoot w:val="005D2388"/>
    <w:rsid w:val="00000244"/>
    <w:rsid w:val="000026E4"/>
    <w:rsid w:val="00002713"/>
    <w:rsid w:val="00003C91"/>
    <w:rsid w:val="00003CDD"/>
    <w:rsid w:val="000047A3"/>
    <w:rsid w:val="00004EE4"/>
    <w:rsid w:val="0000506F"/>
    <w:rsid w:val="00005CEC"/>
    <w:rsid w:val="00006595"/>
    <w:rsid w:val="00007E78"/>
    <w:rsid w:val="0001157A"/>
    <w:rsid w:val="00011595"/>
    <w:rsid w:val="00012CD0"/>
    <w:rsid w:val="00012E6C"/>
    <w:rsid w:val="00013DD9"/>
    <w:rsid w:val="00015EAC"/>
    <w:rsid w:val="00016109"/>
    <w:rsid w:val="00020420"/>
    <w:rsid w:val="00020B0B"/>
    <w:rsid w:val="00022030"/>
    <w:rsid w:val="00024E51"/>
    <w:rsid w:val="00025574"/>
    <w:rsid w:val="00025649"/>
    <w:rsid w:val="000256E0"/>
    <w:rsid w:val="0002652C"/>
    <w:rsid w:val="0002663A"/>
    <w:rsid w:val="00026A2F"/>
    <w:rsid w:val="00026A6F"/>
    <w:rsid w:val="00027290"/>
    <w:rsid w:val="000276C4"/>
    <w:rsid w:val="00030814"/>
    <w:rsid w:val="0003133A"/>
    <w:rsid w:val="00031626"/>
    <w:rsid w:val="000319A5"/>
    <w:rsid w:val="00031DF4"/>
    <w:rsid w:val="00032665"/>
    <w:rsid w:val="00032870"/>
    <w:rsid w:val="000334D8"/>
    <w:rsid w:val="00034675"/>
    <w:rsid w:val="0003559D"/>
    <w:rsid w:val="00035868"/>
    <w:rsid w:val="00035E77"/>
    <w:rsid w:val="00035EB5"/>
    <w:rsid w:val="00036C41"/>
    <w:rsid w:val="00040E6C"/>
    <w:rsid w:val="0004239D"/>
    <w:rsid w:val="00042B41"/>
    <w:rsid w:val="00042BA3"/>
    <w:rsid w:val="000449BF"/>
    <w:rsid w:val="00046F05"/>
    <w:rsid w:val="000472EB"/>
    <w:rsid w:val="0004773C"/>
    <w:rsid w:val="00047DD3"/>
    <w:rsid w:val="00050565"/>
    <w:rsid w:val="0005196D"/>
    <w:rsid w:val="00051A5B"/>
    <w:rsid w:val="000529A6"/>
    <w:rsid w:val="00053EB5"/>
    <w:rsid w:val="00054AF2"/>
    <w:rsid w:val="0005586F"/>
    <w:rsid w:val="00055AF3"/>
    <w:rsid w:val="00056121"/>
    <w:rsid w:val="00056366"/>
    <w:rsid w:val="00056CFB"/>
    <w:rsid w:val="00056D78"/>
    <w:rsid w:val="000605F5"/>
    <w:rsid w:val="0006065D"/>
    <w:rsid w:val="00061DE9"/>
    <w:rsid w:val="0006361F"/>
    <w:rsid w:val="00063953"/>
    <w:rsid w:val="00064476"/>
    <w:rsid w:val="000677BE"/>
    <w:rsid w:val="00070423"/>
    <w:rsid w:val="000705D0"/>
    <w:rsid w:val="00070C09"/>
    <w:rsid w:val="00070E8A"/>
    <w:rsid w:val="00071254"/>
    <w:rsid w:val="00071A9D"/>
    <w:rsid w:val="00071ACF"/>
    <w:rsid w:val="0007258D"/>
    <w:rsid w:val="000725D8"/>
    <w:rsid w:val="00072FE1"/>
    <w:rsid w:val="000733C3"/>
    <w:rsid w:val="00074073"/>
    <w:rsid w:val="000742C4"/>
    <w:rsid w:val="00074731"/>
    <w:rsid w:val="000750F0"/>
    <w:rsid w:val="0007532C"/>
    <w:rsid w:val="00077A76"/>
    <w:rsid w:val="0008004F"/>
    <w:rsid w:val="000802CD"/>
    <w:rsid w:val="000816A8"/>
    <w:rsid w:val="000825E3"/>
    <w:rsid w:val="0008273D"/>
    <w:rsid w:val="000835AA"/>
    <w:rsid w:val="00084DB0"/>
    <w:rsid w:val="00084F33"/>
    <w:rsid w:val="00085632"/>
    <w:rsid w:val="000858FE"/>
    <w:rsid w:val="00085C74"/>
    <w:rsid w:val="00086559"/>
    <w:rsid w:val="0009021B"/>
    <w:rsid w:val="000903C8"/>
    <w:rsid w:val="00090488"/>
    <w:rsid w:val="00091E5F"/>
    <w:rsid w:val="00093108"/>
    <w:rsid w:val="00093682"/>
    <w:rsid w:val="00093785"/>
    <w:rsid w:val="00094C8F"/>
    <w:rsid w:val="00095322"/>
    <w:rsid w:val="00096733"/>
    <w:rsid w:val="000974D5"/>
    <w:rsid w:val="000978E2"/>
    <w:rsid w:val="000A06B9"/>
    <w:rsid w:val="000A209A"/>
    <w:rsid w:val="000A29FC"/>
    <w:rsid w:val="000A2A93"/>
    <w:rsid w:val="000A3211"/>
    <w:rsid w:val="000A3714"/>
    <w:rsid w:val="000A3C99"/>
    <w:rsid w:val="000A4136"/>
    <w:rsid w:val="000A5CD7"/>
    <w:rsid w:val="000A605C"/>
    <w:rsid w:val="000A63E6"/>
    <w:rsid w:val="000A6575"/>
    <w:rsid w:val="000A6937"/>
    <w:rsid w:val="000A6F04"/>
    <w:rsid w:val="000A7222"/>
    <w:rsid w:val="000A7F47"/>
    <w:rsid w:val="000B0597"/>
    <w:rsid w:val="000B25D3"/>
    <w:rsid w:val="000B2702"/>
    <w:rsid w:val="000B30CA"/>
    <w:rsid w:val="000B38CF"/>
    <w:rsid w:val="000B3EC7"/>
    <w:rsid w:val="000B40A9"/>
    <w:rsid w:val="000B4CF3"/>
    <w:rsid w:val="000B5AE5"/>
    <w:rsid w:val="000B6141"/>
    <w:rsid w:val="000B6942"/>
    <w:rsid w:val="000B7EFB"/>
    <w:rsid w:val="000C0253"/>
    <w:rsid w:val="000C02A0"/>
    <w:rsid w:val="000C03E3"/>
    <w:rsid w:val="000C06AA"/>
    <w:rsid w:val="000C110C"/>
    <w:rsid w:val="000C1C0D"/>
    <w:rsid w:val="000C23AC"/>
    <w:rsid w:val="000C2E1C"/>
    <w:rsid w:val="000C2EFC"/>
    <w:rsid w:val="000C360C"/>
    <w:rsid w:val="000C46C3"/>
    <w:rsid w:val="000C495B"/>
    <w:rsid w:val="000C4C67"/>
    <w:rsid w:val="000C5FE2"/>
    <w:rsid w:val="000C7543"/>
    <w:rsid w:val="000D22AA"/>
    <w:rsid w:val="000D23C9"/>
    <w:rsid w:val="000D2DC1"/>
    <w:rsid w:val="000D3497"/>
    <w:rsid w:val="000D3687"/>
    <w:rsid w:val="000D3FBC"/>
    <w:rsid w:val="000D51AC"/>
    <w:rsid w:val="000D525E"/>
    <w:rsid w:val="000D5A01"/>
    <w:rsid w:val="000D7D1F"/>
    <w:rsid w:val="000D7DA0"/>
    <w:rsid w:val="000E0124"/>
    <w:rsid w:val="000E051B"/>
    <w:rsid w:val="000E1AD2"/>
    <w:rsid w:val="000E1FFB"/>
    <w:rsid w:val="000E2228"/>
    <w:rsid w:val="000E2C97"/>
    <w:rsid w:val="000E3098"/>
    <w:rsid w:val="000E348A"/>
    <w:rsid w:val="000E750E"/>
    <w:rsid w:val="000F0279"/>
    <w:rsid w:val="000F0D4C"/>
    <w:rsid w:val="000F1007"/>
    <w:rsid w:val="000F1C2D"/>
    <w:rsid w:val="000F49AD"/>
    <w:rsid w:val="000F4C1D"/>
    <w:rsid w:val="000F67D1"/>
    <w:rsid w:val="001008EE"/>
    <w:rsid w:val="00101B40"/>
    <w:rsid w:val="00101CAD"/>
    <w:rsid w:val="00101D80"/>
    <w:rsid w:val="00102337"/>
    <w:rsid w:val="001027B7"/>
    <w:rsid w:val="001027B9"/>
    <w:rsid w:val="0010303B"/>
    <w:rsid w:val="00103216"/>
    <w:rsid w:val="00103356"/>
    <w:rsid w:val="001049C8"/>
    <w:rsid w:val="001049D9"/>
    <w:rsid w:val="00105C27"/>
    <w:rsid w:val="001064ED"/>
    <w:rsid w:val="00111117"/>
    <w:rsid w:val="00111424"/>
    <w:rsid w:val="00112636"/>
    <w:rsid w:val="00112903"/>
    <w:rsid w:val="001134AE"/>
    <w:rsid w:val="00113D0B"/>
    <w:rsid w:val="00113F58"/>
    <w:rsid w:val="0011635D"/>
    <w:rsid w:val="0011655E"/>
    <w:rsid w:val="00120263"/>
    <w:rsid w:val="0012026C"/>
    <w:rsid w:val="00120F75"/>
    <w:rsid w:val="001218D5"/>
    <w:rsid w:val="00121EA9"/>
    <w:rsid w:val="00122856"/>
    <w:rsid w:val="00122960"/>
    <w:rsid w:val="00124643"/>
    <w:rsid w:val="001246BC"/>
    <w:rsid w:val="001255E7"/>
    <w:rsid w:val="00125887"/>
    <w:rsid w:val="00125D2C"/>
    <w:rsid w:val="00126052"/>
    <w:rsid w:val="00130111"/>
    <w:rsid w:val="001339A7"/>
    <w:rsid w:val="001339F7"/>
    <w:rsid w:val="001347C1"/>
    <w:rsid w:val="00134AF2"/>
    <w:rsid w:val="00134E1E"/>
    <w:rsid w:val="001356D2"/>
    <w:rsid w:val="00135F50"/>
    <w:rsid w:val="00136750"/>
    <w:rsid w:val="00137289"/>
    <w:rsid w:val="00137F5D"/>
    <w:rsid w:val="00142D5D"/>
    <w:rsid w:val="00146E4D"/>
    <w:rsid w:val="00150145"/>
    <w:rsid w:val="001504DF"/>
    <w:rsid w:val="0015062C"/>
    <w:rsid w:val="00151871"/>
    <w:rsid w:val="00152C1E"/>
    <w:rsid w:val="00152CD2"/>
    <w:rsid w:val="00153CA4"/>
    <w:rsid w:val="001550AC"/>
    <w:rsid w:val="00155BE3"/>
    <w:rsid w:val="00155D01"/>
    <w:rsid w:val="001572E5"/>
    <w:rsid w:val="001576D6"/>
    <w:rsid w:val="001579ED"/>
    <w:rsid w:val="001605A4"/>
    <w:rsid w:val="00160949"/>
    <w:rsid w:val="001612B6"/>
    <w:rsid w:val="001612CA"/>
    <w:rsid w:val="00161AFF"/>
    <w:rsid w:val="0016208F"/>
    <w:rsid w:val="001628D4"/>
    <w:rsid w:val="00162DF7"/>
    <w:rsid w:val="00162EE5"/>
    <w:rsid w:val="00163DF6"/>
    <w:rsid w:val="001645C1"/>
    <w:rsid w:val="0016490E"/>
    <w:rsid w:val="00164CC1"/>
    <w:rsid w:val="0016514E"/>
    <w:rsid w:val="001657F5"/>
    <w:rsid w:val="001661B1"/>
    <w:rsid w:val="00166CB3"/>
    <w:rsid w:val="00167FDD"/>
    <w:rsid w:val="001723F5"/>
    <w:rsid w:val="001728C6"/>
    <w:rsid w:val="00173DBD"/>
    <w:rsid w:val="00173F58"/>
    <w:rsid w:val="00174E7D"/>
    <w:rsid w:val="00175DC8"/>
    <w:rsid w:val="001766C1"/>
    <w:rsid w:val="00177E97"/>
    <w:rsid w:val="00180978"/>
    <w:rsid w:val="00182601"/>
    <w:rsid w:val="00184A18"/>
    <w:rsid w:val="001857DC"/>
    <w:rsid w:val="00185A50"/>
    <w:rsid w:val="00185DC5"/>
    <w:rsid w:val="001864FC"/>
    <w:rsid w:val="001866DB"/>
    <w:rsid w:val="00186E34"/>
    <w:rsid w:val="0018790B"/>
    <w:rsid w:val="00187B9C"/>
    <w:rsid w:val="00190597"/>
    <w:rsid w:val="00190635"/>
    <w:rsid w:val="001908D2"/>
    <w:rsid w:val="00190C51"/>
    <w:rsid w:val="001916E0"/>
    <w:rsid w:val="00194E5B"/>
    <w:rsid w:val="00195ACD"/>
    <w:rsid w:val="00195AFC"/>
    <w:rsid w:val="00195E51"/>
    <w:rsid w:val="00197872"/>
    <w:rsid w:val="001A05DE"/>
    <w:rsid w:val="001A09D5"/>
    <w:rsid w:val="001A0B3E"/>
    <w:rsid w:val="001A128C"/>
    <w:rsid w:val="001A1955"/>
    <w:rsid w:val="001A245B"/>
    <w:rsid w:val="001A2845"/>
    <w:rsid w:val="001A3B21"/>
    <w:rsid w:val="001A3C53"/>
    <w:rsid w:val="001A48A4"/>
    <w:rsid w:val="001A513E"/>
    <w:rsid w:val="001A72D7"/>
    <w:rsid w:val="001A7573"/>
    <w:rsid w:val="001B2635"/>
    <w:rsid w:val="001B2A7D"/>
    <w:rsid w:val="001B55DC"/>
    <w:rsid w:val="001B66FB"/>
    <w:rsid w:val="001B7D2C"/>
    <w:rsid w:val="001C0925"/>
    <w:rsid w:val="001C0F9E"/>
    <w:rsid w:val="001C1659"/>
    <w:rsid w:val="001C2220"/>
    <w:rsid w:val="001C22B9"/>
    <w:rsid w:val="001C336B"/>
    <w:rsid w:val="001C5D83"/>
    <w:rsid w:val="001C7066"/>
    <w:rsid w:val="001C7C7E"/>
    <w:rsid w:val="001C7C85"/>
    <w:rsid w:val="001C7FE2"/>
    <w:rsid w:val="001D05FF"/>
    <w:rsid w:val="001D0B2D"/>
    <w:rsid w:val="001D2F5D"/>
    <w:rsid w:val="001D3001"/>
    <w:rsid w:val="001D545D"/>
    <w:rsid w:val="001D5BD4"/>
    <w:rsid w:val="001D622D"/>
    <w:rsid w:val="001D6930"/>
    <w:rsid w:val="001D69CD"/>
    <w:rsid w:val="001D6AF6"/>
    <w:rsid w:val="001E01D6"/>
    <w:rsid w:val="001E0609"/>
    <w:rsid w:val="001E0FD0"/>
    <w:rsid w:val="001E158D"/>
    <w:rsid w:val="001E235D"/>
    <w:rsid w:val="001E2BD0"/>
    <w:rsid w:val="001E5194"/>
    <w:rsid w:val="001E61E8"/>
    <w:rsid w:val="001E6C88"/>
    <w:rsid w:val="001E7252"/>
    <w:rsid w:val="001E78A5"/>
    <w:rsid w:val="001E7CA0"/>
    <w:rsid w:val="001F1265"/>
    <w:rsid w:val="001F2264"/>
    <w:rsid w:val="001F3147"/>
    <w:rsid w:val="001F3BDD"/>
    <w:rsid w:val="001F4752"/>
    <w:rsid w:val="001F52D8"/>
    <w:rsid w:val="001F6025"/>
    <w:rsid w:val="001F7A85"/>
    <w:rsid w:val="001F7BDA"/>
    <w:rsid w:val="0020123E"/>
    <w:rsid w:val="0020272E"/>
    <w:rsid w:val="00202A06"/>
    <w:rsid w:val="00203EE0"/>
    <w:rsid w:val="002045D2"/>
    <w:rsid w:val="0020475F"/>
    <w:rsid w:val="00204897"/>
    <w:rsid w:val="00207454"/>
    <w:rsid w:val="00210676"/>
    <w:rsid w:val="00211D81"/>
    <w:rsid w:val="00213C63"/>
    <w:rsid w:val="00215138"/>
    <w:rsid w:val="00215925"/>
    <w:rsid w:val="00215DE6"/>
    <w:rsid w:val="00215F32"/>
    <w:rsid w:val="00215FAB"/>
    <w:rsid w:val="002161AE"/>
    <w:rsid w:val="00216F6F"/>
    <w:rsid w:val="00217E7D"/>
    <w:rsid w:val="00220802"/>
    <w:rsid w:val="002210A8"/>
    <w:rsid w:val="00221AB8"/>
    <w:rsid w:val="002238FC"/>
    <w:rsid w:val="00223A6F"/>
    <w:rsid w:val="00223CDC"/>
    <w:rsid w:val="00225A45"/>
    <w:rsid w:val="0022649F"/>
    <w:rsid w:val="002269C8"/>
    <w:rsid w:val="00226CC3"/>
    <w:rsid w:val="002275B9"/>
    <w:rsid w:val="00230A71"/>
    <w:rsid w:val="0023445F"/>
    <w:rsid w:val="0023534C"/>
    <w:rsid w:val="00235BAA"/>
    <w:rsid w:val="002363A1"/>
    <w:rsid w:val="00237D30"/>
    <w:rsid w:val="00237E9F"/>
    <w:rsid w:val="0024073B"/>
    <w:rsid w:val="00240D7E"/>
    <w:rsid w:val="0024139E"/>
    <w:rsid w:val="00242B13"/>
    <w:rsid w:val="00243772"/>
    <w:rsid w:val="00244D2C"/>
    <w:rsid w:val="00244F34"/>
    <w:rsid w:val="00245F1B"/>
    <w:rsid w:val="002467B0"/>
    <w:rsid w:val="00246F14"/>
    <w:rsid w:val="002470CF"/>
    <w:rsid w:val="002472DE"/>
    <w:rsid w:val="0024776B"/>
    <w:rsid w:val="00247FF4"/>
    <w:rsid w:val="00251170"/>
    <w:rsid w:val="00252410"/>
    <w:rsid w:val="00252EC8"/>
    <w:rsid w:val="00254196"/>
    <w:rsid w:val="0025571D"/>
    <w:rsid w:val="00255B35"/>
    <w:rsid w:val="00255E50"/>
    <w:rsid w:val="00257542"/>
    <w:rsid w:val="00257A4C"/>
    <w:rsid w:val="002601FC"/>
    <w:rsid w:val="0026203C"/>
    <w:rsid w:val="002620F8"/>
    <w:rsid w:val="00262843"/>
    <w:rsid w:val="002628E6"/>
    <w:rsid w:val="00263076"/>
    <w:rsid w:val="002641B1"/>
    <w:rsid w:val="00265053"/>
    <w:rsid w:val="002650ED"/>
    <w:rsid w:val="00265DC4"/>
    <w:rsid w:val="00266403"/>
    <w:rsid w:val="002673FB"/>
    <w:rsid w:val="002706AF"/>
    <w:rsid w:val="00270BAF"/>
    <w:rsid w:val="00270D33"/>
    <w:rsid w:val="00271103"/>
    <w:rsid w:val="00271377"/>
    <w:rsid w:val="00271BC1"/>
    <w:rsid w:val="00272D5F"/>
    <w:rsid w:val="002740F4"/>
    <w:rsid w:val="00274B37"/>
    <w:rsid w:val="00275DAD"/>
    <w:rsid w:val="002761F2"/>
    <w:rsid w:val="002763FB"/>
    <w:rsid w:val="00276AD6"/>
    <w:rsid w:val="00276B16"/>
    <w:rsid w:val="002770B7"/>
    <w:rsid w:val="00277B8B"/>
    <w:rsid w:val="00280FD1"/>
    <w:rsid w:val="00281943"/>
    <w:rsid w:val="00282537"/>
    <w:rsid w:val="00282D58"/>
    <w:rsid w:val="0028329F"/>
    <w:rsid w:val="0028414F"/>
    <w:rsid w:val="002850D6"/>
    <w:rsid w:val="002858BC"/>
    <w:rsid w:val="0028594E"/>
    <w:rsid w:val="00285A85"/>
    <w:rsid w:val="002873D6"/>
    <w:rsid w:val="00287460"/>
    <w:rsid w:val="002875D3"/>
    <w:rsid w:val="002909DB"/>
    <w:rsid w:val="00291908"/>
    <w:rsid w:val="00291DD4"/>
    <w:rsid w:val="0029237A"/>
    <w:rsid w:val="00292EB9"/>
    <w:rsid w:val="00292EE3"/>
    <w:rsid w:val="0029463A"/>
    <w:rsid w:val="00294899"/>
    <w:rsid w:val="00295132"/>
    <w:rsid w:val="0029575A"/>
    <w:rsid w:val="002966CC"/>
    <w:rsid w:val="00296AA4"/>
    <w:rsid w:val="0029757C"/>
    <w:rsid w:val="002977DB"/>
    <w:rsid w:val="00297C14"/>
    <w:rsid w:val="00297CF7"/>
    <w:rsid w:val="002A1517"/>
    <w:rsid w:val="002A266D"/>
    <w:rsid w:val="002A2D46"/>
    <w:rsid w:val="002A2FEE"/>
    <w:rsid w:val="002A4B85"/>
    <w:rsid w:val="002A5E63"/>
    <w:rsid w:val="002A5EF3"/>
    <w:rsid w:val="002B12F5"/>
    <w:rsid w:val="002B2A21"/>
    <w:rsid w:val="002B2D2F"/>
    <w:rsid w:val="002B33BA"/>
    <w:rsid w:val="002B3E1A"/>
    <w:rsid w:val="002B4301"/>
    <w:rsid w:val="002B43D9"/>
    <w:rsid w:val="002B4E8C"/>
    <w:rsid w:val="002B5799"/>
    <w:rsid w:val="002B58CD"/>
    <w:rsid w:val="002B6046"/>
    <w:rsid w:val="002B6628"/>
    <w:rsid w:val="002B66BC"/>
    <w:rsid w:val="002B6DF3"/>
    <w:rsid w:val="002B7CC1"/>
    <w:rsid w:val="002C1A9A"/>
    <w:rsid w:val="002C2107"/>
    <w:rsid w:val="002C239A"/>
    <w:rsid w:val="002C2DBE"/>
    <w:rsid w:val="002C2EF8"/>
    <w:rsid w:val="002C38FA"/>
    <w:rsid w:val="002C3ADB"/>
    <w:rsid w:val="002C4A73"/>
    <w:rsid w:val="002C52D4"/>
    <w:rsid w:val="002C5897"/>
    <w:rsid w:val="002C6213"/>
    <w:rsid w:val="002C6444"/>
    <w:rsid w:val="002C66AE"/>
    <w:rsid w:val="002C6FF5"/>
    <w:rsid w:val="002C74EA"/>
    <w:rsid w:val="002C7A3C"/>
    <w:rsid w:val="002C7D27"/>
    <w:rsid w:val="002D01D6"/>
    <w:rsid w:val="002D40EA"/>
    <w:rsid w:val="002D4951"/>
    <w:rsid w:val="002D5DEE"/>
    <w:rsid w:val="002D6890"/>
    <w:rsid w:val="002D7DDB"/>
    <w:rsid w:val="002E00DB"/>
    <w:rsid w:val="002E0426"/>
    <w:rsid w:val="002E0F4E"/>
    <w:rsid w:val="002E2327"/>
    <w:rsid w:val="002E6991"/>
    <w:rsid w:val="002E7047"/>
    <w:rsid w:val="002F020F"/>
    <w:rsid w:val="002F0537"/>
    <w:rsid w:val="002F097E"/>
    <w:rsid w:val="002F0D20"/>
    <w:rsid w:val="002F1209"/>
    <w:rsid w:val="002F1609"/>
    <w:rsid w:val="002F1E6C"/>
    <w:rsid w:val="002F23BD"/>
    <w:rsid w:val="002F3FFA"/>
    <w:rsid w:val="002F4057"/>
    <w:rsid w:val="002F427D"/>
    <w:rsid w:val="002F5096"/>
    <w:rsid w:val="002F57BA"/>
    <w:rsid w:val="002F5C81"/>
    <w:rsid w:val="002F6EB8"/>
    <w:rsid w:val="002F774A"/>
    <w:rsid w:val="002F7AF9"/>
    <w:rsid w:val="00300736"/>
    <w:rsid w:val="00300A38"/>
    <w:rsid w:val="00301B9F"/>
    <w:rsid w:val="00301F92"/>
    <w:rsid w:val="00304422"/>
    <w:rsid w:val="00304700"/>
    <w:rsid w:val="003048BD"/>
    <w:rsid w:val="0030545C"/>
    <w:rsid w:val="00305DD8"/>
    <w:rsid w:val="00306E4E"/>
    <w:rsid w:val="00306F0D"/>
    <w:rsid w:val="00307AE5"/>
    <w:rsid w:val="0031034A"/>
    <w:rsid w:val="0031050C"/>
    <w:rsid w:val="00311FD2"/>
    <w:rsid w:val="00311FE9"/>
    <w:rsid w:val="00312019"/>
    <w:rsid w:val="00312283"/>
    <w:rsid w:val="003125EE"/>
    <w:rsid w:val="003136C8"/>
    <w:rsid w:val="00313A1C"/>
    <w:rsid w:val="0031513A"/>
    <w:rsid w:val="00315A69"/>
    <w:rsid w:val="00316098"/>
    <w:rsid w:val="00316138"/>
    <w:rsid w:val="00317318"/>
    <w:rsid w:val="003178E9"/>
    <w:rsid w:val="003205B9"/>
    <w:rsid w:val="00320B47"/>
    <w:rsid w:val="00320E68"/>
    <w:rsid w:val="00320E95"/>
    <w:rsid w:val="00320FF2"/>
    <w:rsid w:val="003216FF"/>
    <w:rsid w:val="00321C9B"/>
    <w:rsid w:val="003229D6"/>
    <w:rsid w:val="00322AA5"/>
    <w:rsid w:val="0032355A"/>
    <w:rsid w:val="00324551"/>
    <w:rsid w:val="00324599"/>
    <w:rsid w:val="0032511D"/>
    <w:rsid w:val="003252C3"/>
    <w:rsid w:val="003252E3"/>
    <w:rsid w:val="003257AB"/>
    <w:rsid w:val="00326124"/>
    <w:rsid w:val="00326D65"/>
    <w:rsid w:val="00327B76"/>
    <w:rsid w:val="00332972"/>
    <w:rsid w:val="003345B9"/>
    <w:rsid w:val="00334E0C"/>
    <w:rsid w:val="00336F29"/>
    <w:rsid w:val="00337203"/>
    <w:rsid w:val="003373D1"/>
    <w:rsid w:val="00337758"/>
    <w:rsid w:val="00337EEE"/>
    <w:rsid w:val="00340F31"/>
    <w:rsid w:val="0034119F"/>
    <w:rsid w:val="00341C60"/>
    <w:rsid w:val="00341D49"/>
    <w:rsid w:val="00345018"/>
    <w:rsid w:val="00345212"/>
    <w:rsid w:val="00345AF2"/>
    <w:rsid w:val="003464F9"/>
    <w:rsid w:val="003469F5"/>
    <w:rsid w:val="00347550"/>
    <w:rsid w:val="00347BF5"/>
    <w:rsid w:val="003504DC"/>
    <w:rsid w:val="00350724"/>
    <w:rsid w:val="00351955"/>
    <w:rsid w:val="00352207"/>
    <w:rsid w:val="00353572"/>
    <w:rsid w:val="003543FB"/>
    <w:rsid w:val="0035489C"/>
    <w:rsid w:val="00354C14"/>
    <w:rsid w:val="00354ECF"/>
    <w:rsid w:val="00354FAC"/>
    <w:rsid w:val="00355C45"/>
    <w:rsid w:val="00357B9B"/>
    <w:rsid w:val="0036005F"/>
    <w:rsid w:val="00361808"/>
    <w:rsid w:val="00362714"/>
    <w:rsid w:val="003629BA"/>
    <w:rsid w:val="00362A01"/>
    <w:rsid w:val="00363BCD"/>
    <w:rsid w:val="00364B35"/>
    <w:rsid w:val="00365455"/>
    <w:rsid w:val="003654D6"/>
    <w:rsid w:val="00365592"/>
    <w:rsid w:val="00365DB8"/>
    <w:rsid w:val="00366AB6"/>
    <w:rsid w:val="0036756A"/>
    <w:rsid w:val="00370973"/>
    <w:rsid w:val="00370DA3"/>
    <w:rsid w:val="00371060"/>
    <w:rsid w:val="00372B89"/>
    <w:rsid w:val="00373476"/>
    <w:rsid w:val="00373BC8"/>
    <w:rsid w:val="003744C7"/>
    <w:rsid w:val="00375F1B"/>
    <w:rsid w:val="0037792A"/>
    <w:rsid w:val="00380100"/>
    <w:rsid w:val="00380BAA"/>
    <w:rsid w:val="003813D6"/>
    <w:rsid w:val="00383B79"/>
    <w:rsid w:val="00383BB3"/>
    <w:rsid w:val="003874C1"/>
    <w:rsid w:val="0038761A"/>
    <w:rsid w:val="00387749"/>
    <w:rsid w:val="00387CE8"/>
    <w:rsid w:val="003907DD"/>
    <w:rsid w:val="00390A83"/>
    <w:rsid w:val="003913FF"/>
    <w:rsid w:val="00391512"/>
    <w:rsid w:val="00391806"/>
    <w:rsid w:val="00391C9B"/>
    <w:rsid w:val="00394913"/>
    <w:rsid w:val="003957ED"/>
    <w:rsid w:val="0039667D"/>
    <w:rsid w:val="00396AC6"/>
    <w:rsid w:val="00396C50"/>
    <w:rsid w:val="00397F04"/>
    <w:rsid w:val="003A0295"/>
    <w:rsid w:val="003A205B"/>
    <w:rsid w:val="003A26DB"/>
    <w:rsid w:val="003A2878"/>
    <w:rsid w:val="003A316E"/>
    <w:rsid w:val="003A38A0"/>
    <w:rsid w:val="003A5F73"/>
    <w:rsid w:val="003A6176"/>
    <w:rsid w:val="003A73F0"/>
    <w:rsid w:val="003A7B59"/>
    <w:rsid w:val="003B0A9C"/>
    <w:rsid w:val="003B172F"/>
    <w:rsid w:val="003B1933"/>
    <w:rsid w:val="003B50A9"/>
    <w:rsid w:val="003B5341"/>
    <w:rsid w:val="003B57A0"/>
    <w:rsid w:val="003B5B74"/>
    <w:rsid w:val="003B5DE5"/>
    <w:rsid w:val="003B63A5"/>
    <w:rsid w:val="003B67C0"/>
    <w:rsid w:val="003B6BB9"/>
    <w:rsid w:val="003B6F79"/>
    <w:rsid w:val="003B71FB"/>
    <w:rsid w:val="003B7E1B"/>
    <w:rsid w:val="003C02DA"/>
    <w:rsid w:val="003C0A9A"/>
    <w:rsid w:val="003C1F46"/>
    <w:rsid w:val="003C2831"/>
    <w:rsid w:val="003C3243"/>
    <w:rsid w:val="003C3475"/>
    <w:rsid w:val="003C3947"/>
    <w:rsid w:val="003C3E1C"/>
    <w:rsid w:val="003C4824"/>
    <w:rsid w:val="003C6256"/>
    <w:rsid w:val="003C6EC1"/>
    <w:rsid w:val="003C772C"/>
    <w:rsid w:val="003D1CDC"/>
    <w:rsid w:val="003D3164"/>
    <w:rsid w:val="003D32DF"/>
    <w:rsid w:val="003D451F"/>
    <w:rsid w:val="003D567B"/>
    <w:rsid w:val="003D5E39"/>
    <w:rsid w:val="003D667B"/>
    <w:rsid w:val="003D7B23"/>
    <w:rsid w:val="003E04A1"/>
    <w:rsid w:val="003E10CD"/>
    <w:rsid w:val="003E1238"/>
    <w:rsid w:val="003E1AA9"/>
    <w:rsid w:val="003E2027"/>
    <w:rsid w:val="003E338E"/>
    <w:rsid w:val="003E3428"/>
    <w:rsid w:val="003E38B3"/>
    <w:rsid w:val="003E3D6D"/>
    <w:rsid w:val="003E3EAD"/>
    <w:rsid w:val="003E45C7"/>
    <w:rsid w:val="003E4812"/>
    <w:rsid w:val="003E4BB7"/>
    <w:rsid w:val="003E521B"/>
    <w:rsid w:val="003E5E47"/>
    <w:rsid w:val="003E6659"/>
    <w:rsid w:val="003E7A56"/>
    <w:rsid w:val="003F0951"/>
    <w:rsid w:val="003F0957"/>
    <w:rsid w:val="003F0F37"/>
    <w:rsid w:val="003F15EE"/>
    <w:rsid w:val="003F1906"/>
    <w:rsid w:val="003F1A5F"/>
    <w:rsid w:val="003F1FDB"/>
    <w:rsid w:val="003F24F0"/>
    <w:rsid w:val="003F2668"/>
    <w:rsid w:val="003F28F7"/>
    <w:rsid w:val="003F2C54"/>
    <w:rsid w:val="003F3AA6"/>
    <w:rsid w:val="003F3DD2"/>
    <w:rsid w:val="003F3E27"/>
    <w:rsid w:val="003F4DB4"/>
    <w:rsid w:val="003F6E82"/>
    <w:rsid w:val="003F70F3"/>
    <w:rsid w:val="003F7C64"/>
    <w:rsid w:val="0040133C"/>
    <w:rsid w:val="00401E4B"/>
    <w:rsid w:val="00404E14"/>
    <w:rsid w:val="00405C02"/>
    <w:rsid w:val="0040639E"/>
    <w:rsid w:val="004073E1"/>
    <w:rsid w:val="00411117"/>
    <w:rsid w:val="00411188"/>
    <w:rsid w:val="004120A3"/>
    <w:rsid w:val="00413E38"/>
    <w:rsid w:val="00414248"/>
    <w:rsid w:val="00414328"/>
    <w:rsid w:val="004144CC"/>
    <w:rsid w:val="00416A5A"/>
    <w:rsid w:val="0041743B"/>
    <w:rsid w:val="004175F2"/>
    <w:rsid w:val="00417861"/>
    <w:rsid w:val="00422392"/>
    <w:rsid w:val="00422DD0"/>
    <w:rsid w:val="0042425E"/>
    <w:rsid w:val="004246EC"/>
    <w:rsid w:val="00424A46"/>
    <w:rsid w:val="00425E6B"/>
    <w:rsid w:val="00427EF0"/>
    <w:rsid w:val="004301BB"/>
    <w:rsid w:val="00430472"/>
    <w:rsid w:val="00430473"/>
    <w:rsid w:val="00430CDB"/>
    <w:rsid w:val="004313CB"/>
    <w:rsid w:val="0043396F"/>
    <w:rsid w:val="004348B3"/>
    <w:rsid w:val="00434F38"/>
    <w:rsid w:val="004360BB"/>
    <w:rsid w:val="00436333"/>
    <w:rsid w:val="00436DB3"/>
    <w:rsid w:val="00437D4C"/>
    <w:rsid w:val="00437D91"/>
    <w:rsid w:val="004404AE"/>
    <w:rsid w:val="00440902"/>
    <w:rsid w:val="004413FA"/>
    <w:rsid w:val="00441D61"/>
    <w:rsid w:val="00441F4A"/>
    <w:rsid w:val="004436B0"/>
    <w:rsid w:val="00444787"/>
    <w:rsid w:val="00444D2B"/>
    <w:rsid w:val="00445083"/>
    <w:rsid w:val="00445DBE"/>
    <w:rsid w:val="00446E96"/>
    <w:rsid w:val="004470BA"/>
    <w:rsid w:val="004470C4"/>
    <w:rsid w:val="0044789F"/>
    <w:rsid w:val="004478CB"/>
    <w:rsid w:val="00450C12"/>
    <w:rsid w:val="00451FDB"/>
    <w:rsid w:val="00452A20"/>
    <w:rsid w:val="004538C5"/>
    <w:rsid w:val="00454637"/>
    <w:rsid w:val="0045511B"/>
    <w:rsid w:val="004558C1"/>
    <w:rsid w:val="00455B22"/>
    <w:rsid w:val="004567BB"/>
    <w:rsid w:val="00456E1D"/>
    <w:rsid w:val="0045739A"/>
    <w:rsid w:val="0045759A"/>
    <w:rsid w:val="00457E3D"/>
    <w:rsid w:val="00460C50"/>
    <w:rsid w:val="00461045"/>
    <w:rsid w:val="004612DB"/>
    <w:rsid w:val="0046161B"/>
    <w:rsid w:val="0046202A"/>
    <w:rsid w:val="004623BE"/>
    <w:rsid w:val="004631BC"/>
    <w:rsid w:val="004649D4"/>
    <w:rsid w:val="00464B57"/>
    <w:rsid w:val="00465C34"/>
    <w:rsid w:val="00465F20"/>
    <w:rsid w:val="00465FE5"/>
    <w:rsid w:val="00466E46"/>
    <w:rsid w:val="00467758"/>
    <w:rsid w:val="00467F40"/>
    <w:rsid w:val="0047093A"/>
    <w:rsid w:val="0047177F"/>
    <w:rsid w:val="00472880"/>
    <w:rsid w:val="00473AD6"/>
    <w:rsid w:val="00473B72"/>
    <w:rsid w:val="0047499A"/>
    <w:rsid w:val="00475750"/>
    <w:rsid w:val="0047775B"/>
    <w:rsid w:val="0048018E"/>
    <w:rsid w:val="00480249"/>
    <w:rsid w:val="004814D3"/>
    <w:rsid w:val="004816EB"/>
    <w:rsid w:val="00482404"/>
    <w:rsid w:val="00482751"/>
    <w:rsid w:val="00484B80"/>
    <w:rsid w:val="004853C3"/>
    <w:rsid w:val="00485AF6"/>
    <w:rsid w:val="00486212"/>
    <w:rsid w:val="004869B9"/>
    <w:rsid w:val="00486C8B"/>
    <w:rsid w:val="00490111"/>
    <w:rsid w:val="00492D11"/>
    <w:rsid w:val="004935E3"/>
    <w:rsid w:val="00493A37"/>
    <w:rsid w:val="004948CC"/>
    <w:rsid w:val="00496B64"/>
    <w:rsid w:val="004972BA"/>
    <w:rsid w:val="0049796C"/>
    <w:rsid w:val="00497D48"/>
    <w:rsid w:val="004A0688"/>
    <w:rsid w:val="004A075B"/>
    <w:rsid w:val="004A1FF8"/>
    <w:rsid w:val="004A2F45"/>
    <w:rsid w:val="004A32E6"/>
    <w:rsid w:val="004A3847"/>
    <w:rsid w:val="004A4873"/>
    <w:rsid w:val="004A5124"/>
    <w:rsid w:val="004A60ED"/>
    <w:rsid w:val="004A6467"/>
    <w:rsid w:val="004A6670"/>
    <w:rsid w:val="004B1204"/>
    <w:rsid w:val="004B2555"/>
    <w:rsid w:val="004B2B4E"/>
    <w:rsid w:val="004B3191"/>
    <w:rsid w:val="004B48D7"/>
    <w:rsid w:val="004B4991"/>
    <w:rsid w:val="004B61E1"/>
    <w:rsid w:val="004B7F02"/>
    <w:rsid w:val="004C0783"/>
    <w:rsid w:val="004C0E8A"/>
    <w:rsid w:val="004C13EA"/>
    <w:rsid w:val="004C1638"/>
    <w:rsid w:val="004C1BDF"/>
    <w:rsid w:val="004C2483"/>
    <w:rsid w:val="004C2A95"/>
    <w:rsid w:val="004C2FDF"/>
    <w:rsid w:val="004C4320"/>
    <w:rsid w:val="004C4390"/>
    <w:rsid w:val="004C4A40"/>
    <w:rsid w:val="004C4BC7"/>
    <w:rsid w:val="004C4DD5"/>
    <w:rsid w:val="004C523E"/>
    <w:rsid w:val="004C5629"/>
    <w:rsid w:val="004C5C33"/>
    <w:rsid w:val="004D25FF"/>
    <w:rsid w:val="004D33AC"/>
    <w:rsid w:val="004D3B16"/>
    <w:rsid w:val="004D3D83"/>
    <w:rsid w:val="004D3F95"/>
    <w:rsid w:val="004D49C9"/>
    <w:rsid w:val="004D4D7B"/>
    <w:rsid w:val="004D5818"/>
    <w:rsid w:val="004D64D6"/>
    <w:rsid w:val="004D70E7"/>
    <w:rsid w:val="004D715B"/>
    <w:rsid w:val="004E0601"/>
    <w:rsid w:val="004E1E3C"/>
    <w:rsid w:val="004E237A"/>
    <w:rsid w:val="004E2D83"/>
    <w:rsid w:val="004E3C06"/>
    <w:rsid w:val="004E41E9"/>
    <w:rsid w:val="004E4251"/>
    <w:rsid w:val="004E4B3F"/>
    <w:rsid w:val="004E7092"/>
    <w:rsid w:val="004E70D3"/>
    <w:rsid w:val="004F1340"/>
    <w:rsid w:val="004F163D"/>
    <w:rsid w:val="004F25D7"/>
    <w:rsid w:val="004F3030"/>
    <w:rsid w:val="004F3FA1"/>
    <w:rsid w:val="004F41FD"/>
    <w:rsid w:val="004F425D"/>
    <w:rsid w:val="004F4902"/>
    <w:rsid w:val="004F4DD5"/>
    <w:rsid w:val="004F591A"/>
    <w:rsid w:val="004F5FC5"/>
    <w:rsid w:val="004F6356"/>
    <w:rsid w:val="004F6B06"/>
    <w:rsid w:val="004F6F82"/>
    <w:rsid w:val="004F7263"/>
    <w:rsid w:val="004F730B"/>
    <w:rsid w:val="00500F06"/>
    <w:rsid w:val="005016F1"/>
    <w:rsid w:val="00502DA0"/>
    <w:rsid w:val="0050338A"/>
    <w:rsid w:val="00503F5E"/>
    <w:rsid w:val="00504896"/>
    <w:rsid w:val="005054F1"/>
    <w:rsid w:val="00505813"/>
    <w:rsid w:val="0050589B"/>
    <w:rsid w:val="00506650"/>
    <w:rsid w:val="005068AF"/>
    <w:rsid w:val="005069C0"/>
    <w:rsid w:val="00507E37"/>
    <w:rsid w:val="00510EC9"/>
    <w:rsid w:val="00511380"/>
    <w:rsid w:val="00511A43"/>
    <w:rsid w:val="00511E9A"/>
    <w:rsid w:val="00512EAE"/>
    <w:rsid w:val="00513B52"/>
    <w:rsid w:val="00513D3C"/>
    <w:rsid w:val="0051693B"/>
    <w:rsid w:val="00517718"/>
    <w:rsid w:val="00517B49"/>
    <w:rsid w:val="00521FA6"/>
    <w:rsid w:val="0052266F"/>
    <w:rsid w:val="00523077"/>
    <w:rsid w:val="0052307E"/>
    <w:rsid w:val="00523462"/>
    <w:rsid w:val="005235DF"/>
    <w:rsid w:val="0052378E"/>
    <w:rsid w:val="00523C3D"/>
    <w:rsid w:val="00523CD3"/>
    <w:rsid w:val="00523CED"/>
    <w:rsid w:val="00524807"/>
    <w:rsid w:val="00526AB3"/>
    <w:rsid w:val="0052793E"/>
    <w:rsid w:val="005301D6"/>
    <w:rsid w:val="005304C4"/>
    <w:rsid w:val="00530E87"/>
    <w:rsid w:val="00531B41"/>
    <w:rsid w:val="00531BC8"/>
    <w:rsid w:val="00531C3F"/>
    <w:rsid w:val="00532F46"/>
    <w:rsid w:val="005339F3"/>
    <w:rsid w:val="00533A6E"/>
    <w:rsid w:val="00533E32"/>
    <w:rsid w:val="0053432F"/>
    <w:rsid w:val="00535E83"/>
    <w:rsid w:val="0053671A"/>
    <w:rsid w:val="00536FB9"/>
    <w:rsid w:val="00537076"/>
    <w:rsid w:val="005370F7"/>
    <w:rsid w:val="005374FC"/>
    <w:rsid w:val="0054078B"/>
    <w:rsid w:val="00540EAF"/>
    <w:rsid w:val="0054221E"/>
    <w:rsid w:val="00542589"/>
    <w:rsid w:val="00543D3E"/>
    <w:rsid w:val="00544108"/>
    <w:rsid w:val="00544D8E"/>
    <w:rsid w:val="005459C2"/>
    <w:rsid w:val="00545A26"/>
    <w:rsid w:val="00545D31"/>
    <w:rsid w:val="00546550"/>
    <w:rsid w:val="005469AC"/>
    <w:rsid w:val="00546CBF"/>
    <w:rsid w:val="00546F3B"/>
    <w:rsid w:val="005476A3"/>
    <w:rsid w:val="00547EDC"/>
    <w:rsid w:val="00551428"/>
    <w:rsid w:val="00551508"/>
    <w:rsid w:val="005523E7"/>
    <w:rsid w:val="00552BC5"/>
    <w:rsid w:val="00553374"/>
    <w:rsid w:val="005549E7"/>
    <w:rsid w:val="00554E9A"/>
    <w:rsid w:val="005555A6"/>
    <w:rsid w:val="00555980"/>
    <w:rsid w:val="005562E4"/>
    <w:rsid w:val="005567F8"/>
    <w:rsid w:val="00556805"/>
    <w:rsid w:val="00560A28"/>
    <w:rsid w:val="0056152A"/>
    <w:rsid w:val="00561C9A"/>
    <w:rsid w:val="00562E68"/>
    <w:rsid w:val="00563AAF"/>
    <w:rsid w:val="00564FC6"/>
    <w:rsid w:val="0056597A"/>
    <w:rsid w:val="00566891"/>
    <w:rsid w:val="00566A5B"/>
    <w:rsid w:val="00566F9B"/>
    <w:rsid w:val="00567619"/>
    <w:rsid w:val="00567FF9"/>
    <w:rsid w:val="0057054A"/>
    <w:rsid w:val="005711E9"/>
    <w:rsid w:val="00571632"/>
    <w:rsid w:val="00574E42"/>
    <w:rsid w:val="00575C2D"/>
    <w:rsid w:val="005763B1"/>
    <w:rsid w:val="0057644B"/>
    <w:rsid w:val="00576490"/>
    <w:rsid w:val="00577B14"/>
    <w:rsid w:val="00580125"/>
    <w:rsid w:val="00580EC3"/>
    <w:rsid w:val="00581178"/>
    <w:rsid w:val="005817AB"/>
    <w:rsid w:val="00582EBD"/>
    <w:rsid w:val="00583696"/>
    <w:rsid w:val="0058445C"/>
    <w:rsid w:val="005863F0"/>
    <w:rsid w:val="00586846"/>
    <w:rsid w:val="0058697B"/>
    <w:rsid w:val="00586BB2"/>
    <w:rsid w:val="00586CC7"/>
    <w:rsid w:val="00586FBC"/>
    <w:rsid w:val="0058735E"/>
    <w:rsid w:val="00587B16"/>
    <w:rsid w:val="00591A2F"/>
    <w:rsid w:val="005955B0"/>
    <w:rsid w:val="00595FD6"/>
    <w:rsid w:val="0059605D"/>
    <w:rsid w:val="00596FA3"/>
    <w:rsid w:val="005A01C8"/>
    <w:rsid w:val="005A076F"/>
    <w:rsid w:val="005A0EA4"/>
    <w:rsid w:val="005A110E"/>
    <w:rsid w:val="005A27E7"/>
    <w:rsid w:val="005A2A3C"/>
    <w:rsid w:val="005A376E"/>
    <w:rsid w:val="005A3A8B"/>
    <w:rsid w:val="005A3E91"/>
    <w:rsid w:val="005A3FE8"/>
    <w:rsid w:val="005A57AA"/>
    <w:rsid w:val="005A5802"/>
    <w:rsid w:val="005A790D"/>
    <w:rsid w:val="005B053A"/>
    <w:rsid w:val="005B14D9"/>
    <w:rsid w:val="005B159E"/>
    <w:rsid w:val="005B1756"/>
    <w:rsid w:val="005B267B"/>
    <w:rsid w:val="005B286E"/>
    <w:rsid w:val="005B3CD6"/>
    <w:rsid w:val="005B3F14"/>
    <w:rsid w:val="005B4230"/>
    <w:rsid w:val="005B434E"/>
    <w:rsid w:val="005B4928"/>
    <w:rsid w:val="005B4A69"/>
    <w:rsid w:val="005B4C1C"/>
    <w:rsid w:val="005B4CD1"/>
    <w:rsid w:val="005B4E19"/>
    <w:rsid w:val="005B4E91"/>
    <w:rsid w:val="005B52BB"/>
    <w:rsid w:val="005B53F4"/>
    <w:rsid w:val="005B5ADC"/>
    <w:rsid w:val="005B78D9"/>
    <w:rsid w:val="005B7ABB"/>
    <w:rsid w:val="005C0462"/>
    <w:rsid w:val="005C22EE"/>
    <w:rsid w:val="005C2908"/>
    <w:rsid w:val="005C3E5B"/>
    <w:rsid w:val="005C3E9E"/>
    <w:rsid w:val="005C4793"/>
    <w:rsid w:val="005C6568"/>
    <w:rsid w:val="005C658C"/>
    <w:rsid w:val="005C66D2"/>
    <w:rsid w:val="005C6D85"/>
    <w:rsid w:val="005C7139"/>
    <w:rsid w:val="005C72E0"/>
    <w:rsid w:val="005C7352"/>
    <w:rsid w:val="005D08D4"/>
    <w:rsid w:val="005D1A00"/>
    <w:rsid w:val="005D1A11"/>
    <w:rsid w:val="005D237C"/>
    <w:rsid w:val="005D2388"/>
    <w:rsid w:val="005D291F"/>
    <w:rsid w:val="005D3A19"/>
    <w:rsid w:val="005D3CE6"/>
    <w:rsid w:val="005D3E56"/>
    <w:rsid w:val="005D5B13"/>
    <w:rsid w:val="005D6F7E"/>
    <w:rsid w:val="005D7DCB"/>
    <w:rsid w:val="005E0578"/>
    <w:rsid w:val="005E217F"/>
    <w:rsid w:val="005E220B"/>
    <w:rsid w:val="005E3701"/>
    <w:rsid w:val="005E3DC0"/>
    <w:rsid w:val="005E421F"/>
    <w:rsid w:val="005E540E"/>
    <w:rsid w:val="005E56A6"/>
    <w:rsid w:val="005E66C3"/>
    <w:rsid w:val="005E7025"/>
    <w:rsid w:val="005E78E7"/>
    <w:rsid w:val="005F06F0"/>
    <w:rsid w:val="005F0CA1"/>
    <w:rsid w:val="005F1A47"/>
    <w:rsid w:val="005F1FDE"/>
    <w:rsid w:val="005F351A"/>
    <w:rsid w:val="005F3D70"/>
    <w:rsid w:val="005F3E4F"/>
    <w:rsid w:val="005F508D"/>
    <w:rsid w:val="005F69FB"/>
    <w:rsid w:val="005F6BDC"/>
    <w:rsid w:val="006001EA"/>
    <w:rsid w:val="00600507"/>
    <w:rsid w:val="00600A1B"/>
    <w:rsid w:val="00600E75"/>
    <w:rsid w:val="00601734"/>
    <w:rsid w:val="006049DA"/>
    <w:rsid w:val="006062E3"/>
    <w:rsid w:val="0061224F"/>
    <w:rsid w:val="00612BC3"/>
    <w:rsid w:val="00612CBC"/>
    <w:rsid w:val="00612F0B"/>
    <w:rsid w:val="00614201"/>
    <w:rsid w:val="006143CF"/>
    <w:rsid w:val="00615598"/>
    <w:rsid w:val="006159C2"/>
    <w:rsid w:val="00615A1E"/>
    <w:rsid w:val="00616118"/>
    <w:rsid w:val="006164EA"/>
    <w:rsid w:val="006166F7"/>
    <w:rsid w:val="00616AB5"/>
    <w:rsid w:val="0061705C"/>
    <w:rsid w:val="0061732F"/>
    <w:rsid w:val="006176D4"/>
    <w:rsid w:val="00617726"/>
    <w:rsid w:val="006178D7"/>
    <w:rsid w:val="006203D9"/>
    <w:rsid w:val="0062214E"/>
    <w:rsid w:val="00622FD8"/>
    <w:rsid w:val="0062347D"/>
    <w:rsid w:val="00623632"/>
    <w:rsid w:val="00623B4B"/>
    <w:rsid w:val="006247E8"/>
    <w:rsid w:val="00624824"/>
    <w:rsid w:val="00624A92"/>
    <w:rsid w:val="006254D5"/>
    <w:rsid w:val="00625BB3"/>
    <w:rsid w:val="00630194"/>
    <w:rsid w:val="00630726"/>
    <w:rsid w:val="00631262"/>
    <w:rsid w:val="006318CF"/>
    <w:rsid w:val="00632DC5"/>
    <w:rsid w:val="00633199"/>
    <w:rsid w:val="0063387F"/>
    <w:rsid w:val="006357CE"/>
    <w:rsid w:val="006365BC"/>
    <w:rsid w:val="00637096"/>
    <w:rsid w:val="00637810"/>
    <w:rsid w:val="00640720"/>
    <w:rsid w:val="0064197C"/>
    <w:rsid w:val="006419A9"/>
    <w:rsid w:val="00641E03"/>
    <w:rsid w:val="0064378A"/>
    <w:rsid w:val="00643821"/>
    <w:rsid w:val="00643A23"/>
    <w:rsid w:val="00643EC9"/>
    <w:rsid w:val="00643F69"/>
    <w:rsid w:val="0064416C"/>
    <w:rsid w:val="0064468F"/>
    <w:rsid w:val="00646890"/>
    <w:rsid w:val="00646A21"/>
    <w:rsid w:val="006476DD"/>
    <w:rsid w:val="00650CD4"/>
    <w:rsid w:val="00651CAD"/>
    <w:rsid w:val="00651E81"/>
    <w:rsid w:val="00651F9C"/>
    <w:rsid w:val="0065259D"/>
    <w:rsid w:val="006532C5"/>
    <w:rsid w:val="006537BB"/>
    <w:rsid w:val="00653868"/>
    <w:rsid w:val="00653B7E"/>
    <w:rsid w:val="006542CE"/>
    <w:rsid w:val="0065430B"/>
    <w:rsid w:val="00654BCE"/>
    <w:rsid w:val="00655BA8"/>
    <w:rsid w:val="0065614F"/>
    <w:rsid w:val="00656752"/>
    <w:rsid w:val="0065678E"/>
    <w:rsid w:val="006570F4"/>
    <w:rsid w:val="006571B3"/>
    <w:rsid w:val="00657D92"/>
    <w:rsid w:val="00657DC1"/>
    <w:rsid w:val="0066088C"/>
    <w:rsid w:val="006636BB"/>
    <w:rsid w:val="0066386E"/>
    <w:rsid w:val="00666D5B"/>
    <w:rsid w:val="00667984"/>
    <w:rsid w:val="00667EA4"/>
    <w:rsid w:val="00670105"/>
    <w:rsid w:val="006702F6"/>
    <w:rsid w:val="006703A4"/>
    <w:rsid w:val="006708CF"/>
    <w:rsid w:val="0067144B"/>
    <w:rsid w:val="0067339B"/>
    <w:rsid w:val="00674649"/>
    <w:rsid w:val="00675031"/>
    <w:rsid w:val="006778D0"/>
    <w:rsid w:val="006817A1"/>
    <w:rsid w:val="00681A20"/>
    <w:rsid w:val="00683AE9"/>
    <w:rsid w:val="00684D5A"/>
    <w:rsid w:val="0068536B"/>
    <w:rsid w:val="00685551"/>
    <w:rsid w:val="00685863"/>
    <w:rsid w:val="0068586E"/>
    <w:rsid w:val="00685C2E"/>
    <w:rsid w:val="00685FD4"/>
    <w:rsid w:val="00686705"/>
    <w:rsid w:val="006868C5"/>
    <w:rsid w:val="00687D00"/>
    <w:rsid w:val="00690435"/>
    <w:rsid w:val="0069071B"/>
    <w:rsid w:val="006909D8"/>
    <w:rsid w:val="006917CC"/>
    <w:rsid w:val="006919E2"/>
    <w:rsid w:val="0069225F"/>
    <w:rsid w:val="006923EA"/>
    <w:rsid w:val="00693090"/>
    <w:rsid w:val="00693418"/>
    <w:rsid w:val="00693D94"/>
    <w:rsid w:val="006946A4"/>
    <w:rsid w:val="00695143"/>
    <w:rsid w:val="0069604F"/>
    <w:rsid w:val="006964C8"/>
    <w:rsid w:val="006977B2"/>
    <w:rsid w:val="006A0E9A"/>
    <w:rsid w:val="006A11C5"/>
    <w:rsid w:val="006A1F16"/>
    <w:rsid w:val="006A2376"/>
    <w:rsid w:val="006A29BA"/>
    <w:rsid w:val="006A2F67"/>
    <w:rsid w:val="006A358E"/>
    <w:rsid w:val="006A5372"/>
    <w:rsid w:val="006A5CD5"/>
    <w:rsid w:val="006B142C"/>
    <w:rsid w:val="006B186C"/>
    <w:rsid w:val="006B1BFE"/>
    <w:rsid w:val="006B28F3"/>
    <w:rsid w:val="006B3C0A"/>
    <w:rsid w:val="006B49B8"/>
    <w:rsid w:val="006B5257"/>
    <w:rsid w:val="006B5304"/>
    <w:rsid w:val="006B7BAD"/>
    <w:rsid w:val="006C02EA"/>
    <w:rsid w:val="006C0AAB"/>
    <w:rsid w:val="006C0D44"/>
    <w:rsid w:val="006C0EF6"/>
    <w:rsid w:val="006C1BD1"/>
    <w:rsid w:val="006C2A52"/>
    <w:rsid w:val="006C2EBA"/>
    <w:rsid w:val="006C2F4F"/>
    <w:rsid w:val="006C451B"/>
    <w:rsid w:val="006C4748"/>
    <w:rsid w:val="006C6762"/>
    <w:rsid w:val="006C72EE"/>
    <w:rsid w:val="006D0A96"/>
    <w:rsid w:val="006D0E8B"/>
    <w:rsid w:val="006D13F7"/>
    <w:rsid w:val="006D23F3"/>
    <w:rsid w:val="006D265E"/>
    <w:rsid w:val="006D41D2"/>
    <w:rsid w:val="006D4868"/>
    <w:rsid w:val="006D4D9A"/>
    <w:rsid w:val="006D5631"/>
    <w:rsid w:val="006D6C4A"/>
    <w:rsid w:val="006D70A2"/>
    <w:rsid w:val="006E055C"/>
    <w:rsid w:val="006E1709"/>
    <w:rsid w:val="006E2EF1"/>
    <w:rsid w:val="006E2F4A"/>
    <w:rsid w:val="006E3A3E"/>
    <w:rsid w:val="006E3B5B"/>
    <w:rsid w:val="006E406C"/>
    <w:rsid w:val="006E4A5F"/>
    <w:rsid w:val="006E4E2A"/>
    <w:rsid w:val="006E548D"/>
    <w:rsid w:val="006E54F1"/>
    <w:rsid w:val="006E6C8E"/>
    <w:rsid w:val="006E7982"/>
    <w:rsid w:val="006F1305"/>
    <w:rsid w:val="006F207A"/>
    <w:rsid w:val="006F2576"/>
    <w:rsid w:val="006F2972"/>
    <w:rsid w:val="006F2D99"/>
    <w:rsid w:val="006F2E99"/>
    <w:rsid w:val="006F302F"/>
    <w:rsid w:val="006F3C57"/>
    <w:rsid w:val="006F3D73"/>
    <w:rsid w:val="006F413C"/>
    <w:rsid w:val="006F452D"/>
    <w:rsid w:val="006F464C"/>
    <w:rsid w:val="006F4729"/>
    <w:rsid w:val="006F4783"/>
    <w:rsid w:val="006F4869"/>
    <w:rsid w:val="006F5591"/>
    <w:rsid w:val="006F5DBC"/>
    <w:rsid w:val="006F5DD2"/>
    <w:rsid w:val="006F781B"/>
    <w:rsid w:val="006F7BC2"/>
    <w:rsid w:val="0070070E"/>
    <w:rsid w:val="00700D50"/>
    <w:rsid w:val="0070100D"/>
    <w:rsid w:val="007012D2"/>
    <w:rsid w:val="007020D7"/>
    <w:rsid w:val="00702983"/>
    <w:rsid w:val="00702C40"/>
    <w:rsid w:val="0070312F"/>
    <w:rsid w:val="0070340E"/>
    <w:rsid w:val="00703ACC"/>
    <w:rsid w:val="00703BE2"/>
    <w:rsid w:val="0070401E"/>
    <w:rsid w:val="007060AB"/>
    <w:rsid w:val="00706405"/>
    <w:rsid w:val="007068EB"/>
    <w:rsid w:val="007101D2"/>
    <w:rsid w:val="0071024F"/>
    <w:rsid w:val="0071142B"/>
    <w:rsid w:val="00711594"/>
    <w:rsid w:val="00711E6B"/>
    <w:rsid w:val="007123AF"/>
    <w:rsid w:val="007123CD"/>
    <w:rsid w:val="00712960"/>
    <w:rsid w:val="00714964"/>
    <w:rsid w:val="0071557B"/>
    <w:rsid w:val="007156E2"/>
    <w:rsid w:val="007158D8"/>
    <w:rsid w:val="007162EC"/>
    <w:rsid w:val="0071775C"/>
    <w:rsid w:val="00717E3D"/>
    <w:rsid w:val="00720BD5"/>
    <w:rsid w:val="00720EDC"/>
    <w:rsid w:val="00721256"/>
    <w:rsid w:val="0072165E"/>
    <w:rsid w:val="00723BDE"/>
    <w:rsid w:val="00723C3D"/>
    <w:rsid w:val="00723CF8"/>
    <w:rsid w:val="007241C8"/>
    <w:rsid w:val="0072491C"/>
    <w:rsid w:val="00726207"/>
    <w:rsid w:val="007263F6"/>
    <w:rsid w:val="00726545"/>
    <w:rsid w:val="00726739"/>
    <w:rsid w:val="007273D8"/>
    <w:rsid w:val="0072752F"/>
    <w:rsid w:val="00730921"/>
    <w:rsid w:val="00731293"/>
    <w:rsid w:val="00732639"/>
    <w:rsid w:val="00732D94"/>
    <w:rsid w:val="00733437"/>
    <w:rsid w:val="00733752"/>
    <w:rsid w:val="007356F6"/>
    <w:rsid w:val="007405B5"/>
    <w:rsid w:val="00740723"/>
    <w:rsid w:val="00740E9B"/>
    <w:rsid w:val="007410D4"/>
    <w:rsid w:val="0074118A"/>
    <w:rsid w:val="00741D6C"/>
    <w:rsid w:val="007425E4"/>
    <w:rsid w:val="00742C5A"/>
    <w:rsid w:val="0074392A"/>
    <w:rsid w:val="00744B0E"/>
    <w:rsid w:val="00744FAD"/>
    <w:rsid w:val="00745384"/>
    <w:rsid w:val="00745500"/>
    <w:rsid w:val="00746EB5"/>
    <w:rsid w:val="00750549"/>
    <w:rsid w:val="00750573"/>
    <w:rsid w:val="00751349"/>
    <w:rsid w:val="00752745"/>
    <w:rsid w:val="00753903"/>
    <w:rsid w:val="00756139"/>
    <w:rsid w:val="00757095"/>
    <w:rsid w:val="007573D9"/>
    <w:rsid w:val="00762771"/>
    <w:rsid w:val="00763081"/>
    <w:rsid w:val="007630A9"/>
    <w:rsid w:val="00763EAF"/>
    <w:rsid w:val="0076453A"/>
    <w:rsid w:val="00764AB7"/>
    <w:rsid w:val="00764E65"/>
    <w:rsid w:val="00765288"/>
    <w:rsid w:val="0076557C"/>
    <w:rsid w:val="0076560F"/>
    <w:rsid w:val="00765E81"/>
    <w:rsid w:val="00766D50"/>
    <w:rsid w:val="00767727"/>
    <w:rsid w:val="00770164"/>
    <w:rsid w:val="00770B7C"/>
    <w:rsid w:val="0077107E"/>
    <w:rsid w:val="007717B4"/>
    <w:rsid w:val="007722FF"/>
    <w:rsid w:val="007739C1"/>
    <w:rsid w:val="00773F3D"/>
    <w:rsid w:val="00773F68"/>
    <w:rsid w:val="00774F51"/>
    <w:rsid w:val="00776ADF"/>
    <w:rsid w:val="00777109"/>
    <w:rsid w:val="007774A0"/>
    <w:rsid w:val="00777D33"/>
    <w:rsid w:val="007803F2"/>
    <w:rsid w:val="0078200D"/>
    <w:rsid w:val="00782F00"/>
    <w:rsid w:val="007831FA"/>
    <w:rsid w:val="0078331C"/>
    <w:rsid w:val="00784191"/>
    <w:rsid w:val="00784C37"/>
    <w:rsid w:val="00786458"/>
    <w:rsid w:val="0078649E"/>
    <w:rsid w:val="00786E3C"/>
    <w:rsid w:val="007870BC"/>
    <w:rsid w:val="00787165"/>
    <w:rsid w:val="00787C0C"/>
    <w:rsid w:val="00787D64"/>
    <w:rsid w:val="007906BF"/>
    <w:rsid w:val="00793232"/>
    <w:rsid w:val="00794042"/>
    <w:rsid w:val="00794AF6"/>
    <w:rsid w:val="00794DC5"/>
    <w:rsid w:val="00794F29"/>
    <w:rsid w:val="0079529A"/>
    <w:rsid w:val="007955D0"/>
    <w:rsid w:val="00795C0C"/>
    <w:rsid w:val="00796B8B"/>
    <w:rsid w:val="007A07F4"/>
    <w:rsid w:val="007A2417"/>
    <w:rsid w:val="007A2741"/>
    <w:rsid w:val="007A3FC5"/>
    <w:rsid w:val="007A6D8A"/>
    <w:rsid w:val="007A7CB6"/>
    <w:rsid w:val="007B040B"/>
    <w:rsid w:val="007B0A9F"/>
    <w:rsid w:val="007B1472"/>
    <w:rsid w:val="007B2D66"/>
    <w:rsid w:val="007B3B0F"/>
    <w:rsid w:val="007B3DF6"/>
    <w:rsid w:val="007B3E22"/>
    <w:rsid w:val="007B5CAD"/>
    <w:rsid w:val="007B64E4"/>
    <w:rsid w:val="007B66DA"/>
    <w:rsid w:val="007B6D62"/>
    <w:rsid w:val="007B7454"/>
    <w:rsid w:val="007C01D2"/>
    <w:rsid w:val="007C04EE"/>
    <w:rsid w:val="007C097A"/>
    <w:rsid w:val="007C172D"/>
    <w:rsid w:val="007C1BB7"/>
    <w:rsid w:val="007C22A8"/>
    <w:rsid w:val="007C2AA9"/>
    <w:rsid w:val="007C3238"/>
    <w:rsid w:val="007C6C98"/>
    <w:rsid w:val="007C6F8C"/>
    <w:rsid w:val="007C733C"/>
    <w:rsid w:val="007D00B6"/>
    <w:rsid w:val="007D2FF0"/>
    <w:rsid w:val="007D304B"/>
    <w:rsid w:val="007D37F4"/>
    <w:rsid w:val="007D42D5"/>
    <w:rsid w:val="007D54AB"/>
    <w:rsid w:val="007D59BD"/>
    <w:rsid w:val="007D5DB9"/>
    <w:rsid w:val="007D65CD"/>
    <w:rsid w:val="007D79EA"/>
    <w:rsid w:val="007D7F25"/>
    <w:rsid w:val="007E1505"/>
    <w:rsid w:val="007E2326"/>
    <w:rsid w:val="007E2CAC"/>
    <w:rsid w:val="007E2E73"/>
    <w:rsid w:val="007E4541"/>
    <w:rsid w:val="007E48CF"/>
    <w:rsid w:val="007E6315"/>
    <w:rsid w:val="007E6CEF"/>
    <w:rsid w:val="007E6D2F"/>
    <w:rsid w:val="007F055C"/>
    <w:rsid w:val="007F09C9"/>
    <w:rsid w:val="007F0A4C"/>
    <w:rsid w:val="007F1034"/>
    <w:rsid w:val="007F1120"/>
    <w:rsid w:val="007F16DE"/>
    <w:rsid w:val="007F1DF3"/>
    <w:rsid w:val="007F3019"/>
    <w:rsid w:val="007F3051"/>
    <w:rsid w:val="007F3641"/>
    <w:rsid w:val="007F3C94"/>
    <w:rsid w:val="007F58BF"/>
    <w:rsid w:val="007F63C1"/>
    <w:rsid w:val="007F6B23"/>
    <w:rsid w:val="007F6CBF"/>
    <w:rsid w:val="007F7597"/>
    <w:rsid w:val="007F7CBF"/>
    <w:rsid w:val="008000F5"/>
    <w:rsid w:val="00800BA0"/>
    <w:rsid w:val="008016CD"/>
    <w:rsid w:val="00802650"/>
    <w:rsid w:val="008027B7"/>
    <w:rsid w:val="00803618"/>
    <w:rsid w:val="00804EDB"/>
    <w:rsid w:val="00804F4D"/>
    <w:rsid w:val="00805F0D"/>
    <w:rsid w:val="008065AF"/>
    <w:rsid w:val="00811630"/>
    <w:rsid w:val="0081214A"/>
    <w:rsid w:val="0081329D"/>
    <w:rsid w:val="0081399C"/>
    <w:rsid w:val="0081432C"/>
    <w:rsid w:val="00814F5B"/>
    <w:rsid w:val="00815156"/>
    <w:rsid w:val="0081535D"/>
    <w:rsid w:val="00816569"/>
    <w:rsid w:val="0081688E"/>
    <w:rsid w:val="00821E24"/>
    <w:rsid w:val="00822E3A"/>
    <w:rsid w:val="00823F2B"/>
    <w:rsid w:val="00825510"/>
    <w:rsid w:val="00825C00"/>
    <w:rsid w:val="00826201"/>
    <w:rsid w:val="00826B7C"/>
    <w:rsid w:val="008271A5"/>
    <w:rsid w:val="008319DA"/>
    <w:rsid w:val="00831C7A"/>
    <w:rsid w:val="00831F05"/>
    <w:rsid w:val="0083218E"/>
    <w:rsid w:val="008339A8"/>
    <w:rsid w:val="00833A4E"/>
    <w:rsid w:val="00833E36"/>
    <w:rsid w:val="00834CD4"/>
    <w:rsid w:val="00835A7E"/>
    <w:rsid w:val="00835C09"/>
    <w:rsid w:val="00836E37"/>
    <w:rsid w:val="008402CD"/>
    <w:rsid w:val="00840874"/>
    <w:rsid w:val="00841D66"/>
    <w:rsid w:val="008442AC"/>
    <w:rsid w:val="00844B03"/>
    <w:rsid w:val="00845158"/>
    <w:rsid w:val="00845615"/>
    <w:rsid w:val="00845A25"/>
    <w:rsid w:val="0084625E"/>
    <w:rsid w:val="008464BD"/>
    <w:rsid w:val="00846795"/>
    <w:rsid w:val="00846B24"/>
    <w:rsid w:val="00846F65"/>
    <w:rsid w:val="00846FEC"/>
    <w:rsid w:val="00847AA5"/>
    <w:rsid w:val="00850C35"/>
    <w:rsid w:val="008528F2"/>
    <w:rsid w:val="00853842"/>
    <w:rsid w:val="00853B60"/>
    <w:rsid w:val="00854CB7"/>
    <w:rsid w:val="00856822"/>
    <w:rsid w:val="00856B6B"/>
    <w:rsid w:val="00857488"/>
    <w:rsid w:val="00857874"/>
    <w:rsid w:val="00857B99"/>
    <w:rsid w:val="00861954"/>
    <w:rsid w:val="00862321"/>
    <w:rsid w:val="00862432"/>
    <w:rsid w:val="00871446"/>
    <w:rsid w:val="008735C2"/>
    <w:rsid w:val="0087475D"/>
    <w:rsid w:val="008747F8"/>
    <w:rsid w:val="00875093"/>
    <w:rsid w:val="008764A9"/>
    <w:rsid w:val="008779A3"/>
    <w:rsid w:val="00877EE4"/>
    <w:rsid w:val="00880C33"/>
    <w:rsid w:val="0088177E"/>
    <w:rsid w:val="008819AC"/>
    <w:rsid w:val="00882411"/>
    <w:rsid w:val="00882B18"/>
    <w:rsid w:val="00882BE8"/>
    <w:rsid w:val="00882C8E"/>
    <w:rsid w:val="0088429A"/>
    <w:rsid w:val="00884AD9"/>
    <w:rsid w:val="00885891"/>
    <w:rsid w:val="00885933"/>
    <w:rsid w:val="008864F6"/>
    <w:rsid w:val="00886D59"/>
    <w:rsid w:val="00887681"/>
    <w:rsid w:val="0088775E"/>
    <w:rsid w:val="00887EFA"/>
    <w:rsid w:val="00891AB6"/>
    <w:rsid w:val="0089284B"/>
    <w:rsid w:val="00892D4D"/>
    <w:rsid w:val="00893FF7"/>
    <w:rsid w:val="008949F4"/>
    <w:rsid w:val="00894E1A"/>
    <w:rsid w:val="00894E2E"/>
    <w:rsid w:val="008959E3"/>
    <w:rsid w:val="00896CF2"/>
    <w:rsid w:val="008A07B7"/>
    <w:rsid w:val="008A0E37"/>
    <w:rsid w:val="008A2703"/>
    <w:rsid w:val="008A34A8"/>
    <w:rsid w:val="008A4020"/>
    <w:rsid w:val="008A514D"/>
    <w:rsid w:val="008A5A3A"/>
    <w:rsid w:val="008A5AD6"/>
    <w:rsid w:val="008A6549"/>
    <w:rsid w:val="008B156C"/>
    <w:rsid w:val="008B2ABE"/>
    <w:rsid w:val="008B3413"/>
    <w:rsid w:val="008B3D15"/>
    <w:rsid w:val="008B43B6"/>
    <w:rsid w:val="008B45F3"/>
    <w:rsid w:val="008B6C1F"/>
    <w:rsid w:val="008B75BD"/>
    <w:rsid w:val="008B7B97"/>
    <w:rsid w:val="008B7F78"/>
    <w:rsid w:val="008C025D"/>
    <w:rsid w:val="008C1212"/>
    <w:rsid w:val="008C23CB"/>
    <w:rsid w:val="008C2C1F"/>
    <w:rsid w:val="008C2C59"/>
    <w:rsid w:val="008C353A"/>
    <w:rsid w:val="008C376D"/>
    <w:rsid w:val="008C3D6E"/>
    <w:rsid w:val="008C4FD4"/>
    <w:rsid w:val="008C5727"/>
    <w:rsid w:val="008C6010"/>
    <w:rsid w:val="008C6084"/>
    <w:rsid w:val="008C71C4"/>
    <w:rsid w:val="008C77F3"/>
    <w:rsid w:val="008D0C5A"/>
    <w:rsid w:val="008D1C45"/>
    <w:rsid w:val="008D241C"/>
    <w:rsid w:val="008D2503"/>
    <w:rsid w:val="008D2892"/>
    <w:rsid w:val="008D3532"/>
    <w:rsid w:val="008D364B"/>
    <w:rsid w:val="008D427C"/>
    <w:rsid w:val="008D6086"/>
    <w:rsid w:val="008D6554"/>
    <w:rsid w:val="008D67B1"/>
    <w:rsid w:val="008D6929"/>
    <w:rsid w:val="008D6F2E"/>
    <w:rsid w:val="008D726E"/>
    <w:rsid w:val="008D74E3"/>
    <w:rsid w:val="008D7597"/>
    <w:rsid w:val="008E06AD"/>
    <w:rsid w:val="008E349A"/>
    <w:rsid w:val="008E4E52"/>
    <w:rsid w:val="008E5FA6"/>
    <w:rsid w:val="008E67DD"/>
    <w:rsid w:val="008E7C61"/>
    <w:rsid w:val="008F0AE0"/>
    <w:rsid w:val="008F1BC5"/>
    <w:rsid w:val="008F1F55"/>
    <w:rsid w:val="008F23AA"/>
    <w:rsid w:val="008F280C"/>
    <w:rsid w:val="008F394C"/>
    <w:rsid w:val="008F67F3"/>
    <w:rsid w:val="008F6C9E"/>
    <w:rsid w:val="008F6F44"/>
    <w:rsid w:val="008F797C"/>
    <w:rsid w:val="009015D1"/>
    <w:rsid w:val="00903262"/>
    <w:rsid w:val="0090326C"/>
    <w:rsid w:val="0090361B"/>
    <w:rsid w:val="00903858"/>
    <w:rsid w:val="00904576"/>
    <w:rsid w:val="009048D9"/>
    <w:rsid w:val="00904C2E"/>
    <w:rsid w:val="009052C5"/>
    <w:rsid w:val="00905450"/>
    <w:rsid w:val="0090550E"/>
    <w:rsid w:val="00905C80"/>
    <w:rsid w:val="00905D02"/>
    <w:rsid w:val="00905E56"/>
    <w:rsid w:val="00906E5E"/>
    <w:rsid w:val="00906E74"/>
    <w:rsid w:val="00906E96"/>
    <w:rsid w:val="009071CA"/>
    <w:rsid w:val="00907BB5"/>
    <w:rsid w:val="00907C5C"/>
    <w:rsid w:val="00910BCD"/>
    <w:rsid w:val="00910BF0"/>
    <w:rsid w:val="00910EE7"/>
    <w:rsid w:val="00911616"/>
    <w:rsid w:val="00911702"/>
    <w:rsid w:val="00912876"/>
    <w:rsid w:val="00913589"/>
    <w:rsid w:val="0091407E"/>
    <w:rsid w:val="009142C7"/>
    <w:rsid w:val="0091485B"/>
    <w:rsid w:val="00915605"/>
    <w:rsid w:val="00917C6B"/>
    <w:rsid w:val="00921FF5"/>
    <w:rsid w:val="009223ED"/>
    <w:rsid w:val="009226F0"/>
    <w:rsid w:val="00922818"/>
    <w:rsid w:val="00923BD9"/>
    <w:rsid w:val="00924660"/>
    <w:rsid w:val="009248AB"/>
    <w:rsid w:val="00925F3B"/>
    <w:rsid w:val="0092610C"/>
    <w:rsid w:val="00926A12"/>
    <w:rsid w:val="0092721E"/>
    <w:rsid w:val="009273F7"/>
    <w:rsid w:val="0093059B"/>
    <w:rsid w:val="009305EC"/>
    <w:rsid w:val="00930750"/>
    <w:rsid w:val="0093289E"/>
    <w:rsid w:val="009334D7"/>
    <w:rsid w:val="009335A3"/>
    <w:rsid w:val="00933DC8"/>
    <w:rsid w:val="00934611"/>
    <w:rsid w:val="00935A88"/>
    <w:rsid w:val="0093653D"/>
    <w:rsid w:val="00936F88"/>
    <w:rsid w:val="00943164"/>
    <w:rsid w:val="009438BD"/>
    <w:rsid w:val="00943DAC"/>
    <w:rsid w:val="009440A1"/>
    <w:rsid w:val="009443BD"/>
    <w:rsid w:val="00945A6F"/>
    <w:rsid w:val="00947CAA"/>
    <w:rsid w:val="009523E8"/>
    <w:rsid w:val="009527D7"/>
    <w:rsid w:val="00952D94"/>
    <w:rsid w:val="00953348"/>
    <w:rsid w:val="00954E38"/>
    <w:rsid w:val="0095517C"/>
    <w:rsid w:val="0095521F"/>
    <w:rsid w:val="009552E8"/>
    <w:rsid w:val="009556D2"/>
    <w:rsid w:val="00956598"/>
    <w:rsid w:val="0095682C"/>
    <w:rsid w:val="00957066"/>
    <w:rsid w:val="00957187"/>
    <w:rsid w:val="00957794"/>
    <w:rsid w:val="00957840"/>
    <w:rsid w:val="00957B25"/>
    <w:rsid w:val="00960130"/>
    <w:rsid w:val="00960C46"/>
    <w:rsid w:val="00961848"/>
    <w:rsid w:val="009621B8"/>
    <w:rsid w:val="009627D3"/>
    <w:rsid w:val="00962E9F"/>
    <w:rsid w:val="00962F62"/>
    <w:rsid w:val="00964C26"/>
    <w:rsid w:val="00965DCF"/>
    <w:rsid w:val="00966FE1"/>
    <w:rsid w:val="00970EC3"/>
    <w:rsid w:val="009727CE"/>
    <w:rsid w:val="00972F3C"/>
    <w:rsid w:val="00974C87"/>
    <w:rsid w:val="009751FD"/>
    <w:rsid w:val="009753BC"/>
    <w:rsid w:val="00976869"/>
    <w:rsid w:val="00977F3A"/>
    <w:rsid w:val="009806ED"/>
    <w:rsid w:val="009808E6"/>
    <w:rsid w:val="00980DC0"/>
    <w:rsid w:val="00981012"/>
    <w:rsid w:val="00982BC2"/>
    <w:rsid w:val="00983547"/>
    <w:rsid w:val="0098355D"/>
    <w:rsid w:val="0098374E"/>
    <w:rsid w:val="00986A73"/>
    <w:rsid w:val="00986C0C"/>
    <w:rsid w:val="00987016"/>
    <w:rsid w:val="0098756C"/>
    <w:rsid w:val="00987D5B"/>
    <w:rsid w:val="00990F34"/>
    <w:rsid w:val="00992653"/>
    <w:rsid w:val="009949A9"/>
    <w:rsid w:val="00994ED2"/>
    <w:rsid w:val="0099645E"/>
    <w:rsid w:val="00996D53"/>
    <w:rsid w:val="009978B8"/>
    <w:rsid w:val="00997E9C"/>
    <w:rsid w:val="00997F66"/>
    <w:rsid w:val="009A0256"/>
    <w:rsid w:val="009A03F8"/>
    <w:rsid w:val="009A0BF7"/>
    <w:rsid w:val="009A1A19"/>
    <w:rsid w:val="009A29DE"/>
    <w:rsid w:val="009A2B03"/>
    <w:rsid w:val="009A3638"/>
    <w:rsid w:val="009A37D8"/>
    <w:rsid w:val="009A5439"/>
    <w:rsid w:val="009A56DD"/>
    <w:rsid w:val="009A67FC"/>
    <w:rsid w:val="009A79E0"/>
    <w:rsid w:val="009B096B"/>
    <w:rsid w:val="009B0B46"/>
    <w:rsid w:val="009B0B86"/>
    <w:rsid w:val="009B0BD1"/>
    <w:rsid w:val="009B1356"/>
    <w:rsid w:val="009B1D9D"/>
    <w:rsid w:val="009B1EC0"/>
    <w:rsid w:val="009B2600"/>
    <w:rsid w:val="009B2972"/>
    <w:rsid w:val="009B2F10"/>
    <w:rsid w:val="009B32D6"/>
    <w:rsid w:val="009B33E1"/>
    <w:rsid w:val="009B432F"/>
    <w:rsid w:val="009B4391"/>
    <w:rsid w:val="009B4A5F"/>
    <w:rsid w:val="009B58FE"/>
    <w:rsid w:val="009B7C5B"/>
    <w:rsid w:val="009B7D61"/>
    <w:rsid w:val="009C03CF"/>
    <w:rsid w:val="009C0B76"/>
    <w:rsid w:val="009C1004"/>
    <w:rsid w:val="009C23A2"/>
    <w:rsid w:val="009C315D"/>
    <w:rsid w:val="009C33F6"/>
    <w:rsid w:val="009C3A09"/>
    <w:rsid w:val="009C40FD"/>
    <w:rsid w:val="009C44F4"/>
    <w:rsid w:val="009C4F48"/>
    <w:rsid w:val="009C549D"/>
    <w:rsid w:val="009C6790"/>
    <w:rsid w:val="009C73B3"/>
    <w:rsid w:val="009C75EB"/>
    <w:rsid w:val="009D083A"/>
    <w:rsid w:val="009D1341"/>
    <w:rsid w:val="009D340B"/>
    <w:rsid w:val="009D37A7"/>
    <w:rsid w:val="009D3C6F"/>
    <w:rsid w:val="009D3F34"/>
    <w:rsid w:val="009D4713"/>
    <w:rsid w:val="009D537B"/>
    <w:rsid w:val="009D633B"/>
    <w:rsid w:val="009D6A4C"/>
    <w:rsid w:val="009D6FE0"/>
    <w:rsid w:val="009E007A"/>
    <w:rsid w:val="009E260F"/>
    <w:rsid w:val="009E38FD"/>
    <w:rsid w:val="009E3F23"/>
    <w:rsid w:val="009E4216"/>
    <w:rsid w:val="009E4BBA"/>
    <w:rsid w:val="009E598F"/>
    <w:rsid w:val="009E5E86"/>
    <w:rsid w:val="009E685C"/>
    <w:rsid w:val="009E79CF"/>
    <w:rsid w:val="009F01A2"/>
    <w:rsid w:val="009F1E54"/>
    <w:rsid w:val="009F2120"/>
    <w:rsid w:val="009F3313"/>
    <w:rsid w:val="009F3725"/>
    <w:rsid w:val="009F3EA1"/>
    <w:rsid w:val="009F5705"/>
    <w:rsid w:val="009F594C"/>
    <w:rsid w:val="009F66D9"/>
    <w:rsid w:val="009F6BBF"/>
    <w:rsid w:val="009F7E95"/>
    <w:rsid w:val="00A02088"/>
    <w:rsid w:val="00A0217C"/>
    <w:rsid w:val="00A057F8"/>
    <w:rsid w:val="00A05D1B"/>
    <w:rsid w:val="00A05EE5"/>
    <w:rsid w:val="00A05F80"/>
    <w:rsid w:val="00A065CC"/>
    <w:rsid w:val="00A06FAD"/>
    <w:rsid w:val="00A0740C"/>
    <w:rsid w:val="00A10CBE"/>
    <w:rsid w:val="00A111B9"/>
    <w:rsid w:val="00A11457"/>
    <w:rsid w:val="00A121DB"/>
    <w:rsid w:val="00A12292"/>
    <w:rsid w:val="00A12A8A"/>
    <w:rsid w:val="00A12E14"/>
    <w:rsid w:val="00A137D5"/>
    <w:rsid w:val="00A139F1"/>
    <w:rsid w:val="00A161E1"/>
    <w:rsid w:val="00A17AD0"/>
    <w:rsid w:val="00A17FBA"/>
    <w:rsid w:val="00A21CB9"/>
    <w:rsid w:val="00A21FBE"/>
    <w:rsid w:val="00A2237C"/>
    <w:rsid w:val="00A225CB"/>
    <w:rsid w:val="00A227FC"/>
    <w:rsid w:val="00A229C4"/>
    <w:rsid w:val="00A22BF9"/>
    <w:rsid w:val="00A23549"/>
    <w:rsid w:val="00A23BD8"/>
    <w:rsid w:val="00A25517"/>
    <w:rsid w:val="00A25900"/>
    <w:rsid w:val="00A25BD2"/>
    <w:rsid w:val="00A26638"/>
    <w:rsid w:val="00A26B3B"/>
    <w:rsid w:val="00A2721F"/>
    <w:rsid w:val="00A275DA"/>
    <w:rsid w:val="00A27646"/>
    <w:rsid w:val="00A30696"/>
    <w:rsid w:val="00A30AD1"/>
    <w:rsid w:val="00A30D07"/>
    <w:rsid w:val="00A320FB"/>
    <w:rsid w:val="00A329B2"/>
    <w:rsid w:val="00A3332C"/>
    <w:rsid w:val="00A3351A"/>
    <w:rsid w:val="00A33F28"/>
    <w:rsid w:val="00A34563"/>
    <w:rsid w:val="00A34B23"/>
    <w:rsid w:val="00A34D19"/>
    <w:rsid w:val="00A34D1D"/>
    <w:rsid w:val="00A3587C"/>
    <w:rsid w:val="00A36833"/>
    <w:rsid w:val="00A36C68"/>
    <w:rsid w:val="00A4073D"/>
    <w:rsid w:val="00A4093F"/>
    <w:rsid w:val="00A415B7"/>
    <w:rsid w:val="00A41705"/>
    <w:rsid w:val="00A41CED"/>
    <w:rsid w:val="00A4207F"/>
    <w:rsid w:val="00A430DE"/>
    <w:rsid w:val="00A43195"/>
    <w:rsid w:val="00A431E8"/>
    <w:rsid w:val="00A43527"/>
    <w:rsid w:val="00A44095"/>
    <w:rsid w:val="00A4435F"/>
    <w:rsid w:val="00A44490"/>
    <w:rsid w:val="00A44FF5"/>
    <w:rsid w:val="00A4567B"/>
    <w:rsid w:val="00A458AD"/>
    <w:rsid w:val="00A46CD1"/>
    <w:rsid w:val="00A5015D"/>
    <w:rsid w:val="00A50310"/>
    <w:rsid w:val="00A504EA"/>
    <w:rsid w:val="00A50E31"/>
    <w:rsid w:val="00A53029"/>
    <w:rsid w:val="00A53E63"/>
    <w:rsid w:val="00A53F89"/>
    <w:rsid w:val="00A56862"/>
    <w:rsid w:val="00A57E50"/>
    <w:rsid w:val="00A605DD"/>
    <w:rsid w:val="00A606C9"/>
    <w:rsid w:val="00A60CEA"/>
    <w:rsid w:val="00A60F22"/>
    <w:rsid w:val="00A6166D"/>
    <w:rsid w:val="00A621CB"/>
    <w:rsid w:val="00A6250F"/>
    <w:rsid w:val="00A63F3D"/>
    <w:rsid w:val="00A6518E"/>
    <w:rsid w:val="00A67EA1"/>
    <w:rsid w:val="00A71077"/>
    <w:rsid w:val="00A7123E"/>
    <w:rsid w:val="00A71254"/>
    <w:rsid w:val="00A72634"/>
    <w:rsid w:val="00A732EE"/>
    <w:rsid w:val="00A7331D"/>
    <w:rsid w:val="00A73712"/>
    <w:rsid w:val="00A73E7C"/>
    <w:rsid w:val="00A7456D"/>
    <w:rsid w:val="00A75F04"/>
    <w:rsid w:val="00A77742"/>
    <w:rsid w:val="00A80405"/>
    <w:rsid w:val="00A81ACF"/>
    <w:rsid w:val="00A81E0A"/>
    <w:rsid w:val="00A81FC4"/>
    <w:rsid w:val="00A82274"/>
    <w:rsid w:val="00A826DC"/>
    <w:rsid w:val="00A82962"/>
    <w:rsid w:val="00A82CCB"/>
    <w:rsid w:val="00A833BC"/>
    <w:rsid w:val="00A83866"/>
    <w:rsid w:val="00A8603B"/>
    <w:rsid w:val="00A86351"/>
    <w:rsid w:val="00A8789A"/>
    <w:rsid w:val="00A9078A"/>
    <w:rsid w:val="00A90FD0"/>
    <w:rsid w:val="00A91A89"/>
    <w:rsid w:val="00A925E2"/>
    <w:rsid w:val="00A93C9B"/>
    <w:rsid w:val="00A93E26"/>
    <w:rsid w:val="00A941AA"/>
    <w:rsid w:val="00A962BC"/>
    <w:rsid w:val="00A96A47"/>
    <w:rsid w:val="00AA0CF7"/>
    <w:rsid w:val="00AA1056"/>
    <w:rsid w:val="00AA11FE"/>
    <w:rsid w:val="00AA1A91"/>
    <w:rsid w:val="00AA2CE6"/>
    <w:rsid w:val="00AA2E25"/>
    <w:rsid w:val="00AA5151"/>
    <w:rsid w:val="00AA5A2D"/>
    <w:rsid w:val="00AA5A99"/>
    <w:rsid w:val="00AA60C2"/>
    <w:rsid w:val="00AA6C37"/>
    <w:rsid w:val="00AB0387"/>
    <w:rsid w:val="00AB19A7"/>
    <w:rsid w:val="00AB1C3B"/>
    <w:rsid w:val="00AB30B1"/>
    <w:rsid w:val="00AB5E20"/>
    <w:rsid w:val="00AB5E58"/>
    <w:rsid w:val="00AB6093"/>
    <w:rsid w:val="00AB639B"/>
    <w:rsid w:val="00AC1066"/>
    <w:rsid w:val="00AC26C9"/>
    <w:rsid w:val="00AC3065"/>
    <w:rsid w:val="00AC552F"/>
    <w:rsid w:val="00AC5D1A"/>
    <w:rsid w:val="00AC77A6"/>
    <w:rsid w:val="00AC78C8"/>
    <w:rsid w:val="00AC7EB8"/>
    <w:rsid w:val="00AD0FBD"/>
    <w:rsid w:val="00AD1863"/>
    <w:rsid w:val="00AD36D3"/>
    <w:rsid w:val="00AD4502"/>
    <w:rsid w:val="00AD58C9"/>
    <w:rsid w:val="00AD68C1"/>
    <w:rsid w:val="00AD6F8B"/>
    <w:rsid w:val="00AE067F"/>
    <w:rsid w:val="00AE0A10"/>
    <w:rsid w:val="00AE1B0B"/>
    <w:rsid w:val="00AE2033"/>
    <w:rsid w:val="00AE2309"/>
    <w:rsid w:val="00AE2EF8"/>
    <w:rsid w:val="00AE4D89"/>
    <w:rsid w:val="00AE580D"/>
    <w:rsid w:val="00AE6B3F"/>
    <w:rsid w:val="00AE7549"/>
    <w:rsid w:val="00AE759E"/>
    <w:rsid w:val="00AF006C"/>
    <w:rsid w:val="00AF0275"/>
    <w:rsid w:val="00AF061E"/>
    <w:rsid w:val="00AF0CB0"/>
    <w:rsid w:val="00AF14BD"/>
    <w:rsid w:val="00AF164E"/>
    <w:rsid w:val="00AF191B"/>
    <w:rsid w:val="00AF3C68"/>
    <w:rsid w:val="00AF4750"/>
    <w:rsid w:val="00AF4D37"/>
    <w:rsid w:val="00AF5084"/>
    <w:rsid w:val="00AF5F1F"/>
    <w:rsid w:val="00AF6509"/>
    <w:rsid w:val="00AF6D38"/>
    <w:rsid w:val="00AF6FEF"/>
    <w:rsid w:val="00AF71E3"/>
    <w:rsid w:val="00B01CCD"/>
    <w:rsid w:val="00B02943"/>
    <w:rsid w:val="00B03420"/>
    <w:rsid w:val="00B03468"/>
    <w:rsid w:val="00B036D9"/>
    <w:rsid w:val="00B047EC"/>
    <w:rsid w:val="00B10845"/>
    <w:rsid w:val="00B11216"/>
    <w:rsid w:val="00B13BE8"/>
    <w:rsid w:val="00B14A0E"/>
    <w:rsid w:val="00B15B4E"/>
    <w:rsid w:val="00B179D8"/>
    <w:rsid w:val="00B179DC"/>
    <w:rsid w:val="00B17FAE"/>
    <w:rsid w:val="00B20655"/>
    <w:rsid w:val="00B20A90"/>
    <w:rsid w:val="00B21B00"/>
    <w:rsid w:val="00B2200D"/>
    <w:rsid w:val="00B22151"/>
    <w:rsid w:val="00B2297A"/>
    <w:rsid w:val="00B241BF"/>
    <w:rsid w:val="00B24486"/>
    <w:rsid w:val="00B2497F"/>
    <w:rsid w:val="00B24A4F"/>
    <w:rsid w:val="00B2603B"/>
    <w:rsid w:val="00B26B52"/>
    <w:rsid w:val="00B27552"/>
    <w:rsid w:val="00B30255"/>
    <w:rsid w:val="00B302B2"/>
    <w:rsid w:val="00B3045B"/>
    <w:rsid w:val="00B32450"/>
    <w:rsid w:val="00B3307A"/>
    <w:rsid w:val="00B3374C"/>
    <w:rsid w:val="00B33999"/>
    <w:rsid w:val="00B34069"/>
    <w:rsid w:val="00B349C4"/>
    <w:rsid w:val="00B34DC8"/>
    <w:rsid w:val="00B34F50"/>
    <w:rsid w:val="00B3710E"/>
    <w:rsid w:val="00B376EF"/>
    <w:rsid w:val="00B4027A"/>
    <w:rsid w:val="00B41151"/>
    <w:rsid w:val="00B41EAF"/>
    <w:rsid w:val="00B420D9"/>
    <w:rsid w:val="00B422D7"/>
    <w:rsid w:val="00B424DC"/>
    <w:rsid w:val="00B43A39"/>
    <w:rsid w:val="00B46C91"/>
    <w:rsid w:val="00B472E2"/>
    <w:rsid w:val="00B5041B"/>
    <w:rsid w:val="00B512C1"/>
    <w:rsid w:val="00B515AE"/>
    <w:rsid w:val="00B51BBA"/>
    <w:rsid w:val="00B52DCC"/>
    <w:rsid w:val="00B5423B"/>
    <w:rsid w:val="00B54EC5"/>
    <w:rsid w:val="00B553B7"/>
    <w:rsid w:val="00B557F5"/>
    <w:rsid w:val="00B558D8"/>
    <w:rsid w:val="00B56369"/>
    <w:rsid w:val="00B56AB4"/>
    <w:rsid w:val="00B5750E"/>
    <w:rsid w:val="00B577D6"/>
    <w:rsid w:val="00B60CCA"/>
    <w:rsid w:val="00B6157B"/>
    <w:rsid w:val="00B615DB"/>
    <w:rsid w:val="00B61865"/>
    <w:rsid w:val="00B62077"/>
    <w:rsid w:val="00B621B9"/>
    <w:rsid w:val="00B62B28"/>
    <w:rsid w:val="00B62F9B"/>
    <w:rsid w:val="00B63105"/>
    <w:rsid w:val="00B63F68"/>
    <w:rsid w:val="00B6454C"/>
    <w:rsid w:val="00B64C03"/>
    <w:rsid w:val="00B670E9"/>
    <w:rsid w:val="00B671FD"/>
    <w:rsid w:val="00B70944"/>
    <w:rsid w:val="00B71BFA"/>
    <w:rsid w:val="00B728DD"/>
    <w:rsid w:val="00B73811"/>
    <w:rsid w:val="00B75C3D"/>
    <w:rsid w:val="00B76404"/>
    <w:rsid w:val="00B77939"/>
    <w:rsid w:val="00B77D9F"/>
    <w:rsid w:val="00B802F9"/>
    <w:rsid w:val="00B811DA"/>
    <w:rsid w:val="00B814CE"/>
    <w:rsid w:val="00B821DE"/>
    <w:rsid w:val="00B82CB1"/>
    <w:rsid w:val="00B833EB"/>
    <w:rsid w:val="00B83A66"/>
    <w:rsid w:val="00B83AD9"/>
    <w:rsid w:val="00B83B8A"/>
    <w:rsid w:val="00B85046"/>
    <w:rsid w:val="00B85483"/>
    <w:rsid w:val="00B85A11"/>
    <w:rsid w:val="00B86038"/>
    <w:rsid w:val="00B87533"/>
    <w:rsid w:val="00B90A6D"/>
    <w:rsid w:val="00B927A9"/>
    <w:rsid w:val="00B93062"/>
    <w:rsid w:val="00B943F4"/>
    <w:rsid w:val="00B949B5"/>
    <w:rsid w:val="00B965B0"/>
    <w:rsid w:val="00B977EF"/>
    <w:rsid w:val="00B97D01"/>
    <w:rsid w:val="00BA0B14"/>
    <w:rsid w:val="00BA1024"/>
    <w:rsid w:val="00BA1248"/>
    <w:rsid w:val="00BA152F"/>
    <w:rsid w:val="00BA16F6"/>
    <w:rsid w:val="00BA2033"/>
    <w:rsid w:val="00BA248F"/>
    <w:rsid w:val="00BA24BF"/>
    <w:rsid w:val="00BA2571"/>
    <w:rsid w:val="00BA2D06"/>
    <w:rsid w:val="00BA31DA"/>
    <w:rsid w:val="00BA4E87"/>
    <w:rsid w:val="00BA51C6"/>
    <w:rsid w:val="00BA540E"/>
    <w:rsid w:val="00BA5425"/>
    <w:rsid w:val="00BA5948"/>
    <w:rsid w:val="00BA5E43"/>
    <w:rsid w:val="00BA70E9"/>
    <w:rsid w:val="00BA7102"/>
    <w:rsid w:val="00BA7527"/>
    <w:rsid w:val="00BA7677"/>
    <w:rsid w:val="00BA793D"/>
    <w:rsid w:val="00BA7A54"/>
    <w:rsid w:val="00BB1A91"/>
    <w:rsid w:val="00BB221D"/>
    <w:rsid w:val="00BB260A"/>
    <w:rsid w:val="00BB282B"/>
    <w:rsid w:val="00BB2D4C"/>
    <w:rsid w:val="00BB2DF3"/>
    <w:rsid w:val="00BB2EE6"/>
    <w:rsid w:val="00BB39D7"/>
    <w:rsid w:val="00BB435B"/>
    <w:rsid w:val="00BB4DE7"/>
    <w:rsid w:val="00BB671B"/>
    <w:rsid w:val="00BB71A6"/>
    <w:rsid w:val="00BB733E"/>
    <w:rsid w:val="00BB7CCC"/>
    <w:rsid w:val="00BC0E41"/>
    <w:rsid w:val="00BC1415"/>
    <w:rsid w:val="00BC14A3"/>
    <w:rsid w:val="00BC1E13"/>
    <w:rsid w:val="00BC20D2"/>
    <w:rsid w:val="00BC3560"/>
    <w:rsid w:val="00BC3685"/>
    <w:rsid w:val="00BC48AB"/>
    <w:rsid w:val="00BC6509"/>
    <w:rsid w:val="00BD16FF"/>
    <w:rsid w:val="00BD2C24"/>
    <w:rsid w:val="00BD387C"/>
    <w:rsid w:val="00BD4471"/>
    <w:rsid w:val="00BD4EAA"/>
    <w:rsid w:val="00BD5901"/>
    <w:rsid w:val="00BD5ED0"/>
    <w:rsid w:val="00BD6133"/>
    <w:rsid w:val="00BD7C97"/>
    <w:rsid w:val="00BE0A17"/>
    <w:rsid w:val="00BE0F90"/>
    <w:rsid w:val="00BE118C"/>
    <w:rsid w:val="00BE13A2"/>
    <w:rsid w:val="00BE1BBE"/>
    <w:rsid w:val="00BE28CB"/>
    <w:rsid w:val="00BE4554"/>
    <w:rsid w:val="00BE4E7D"/>
    <w:rsid w:val="00BE5D01"/>
    <w:rsid w:val="00BE6C91"/>
    <w:rsid w:val="00BE7121"/>
    <w:rsid w:val="00BF076A"/>
    <w:rsid w:val="00BF08A5"/>
    <w:rsid w:val="00BF276B"/>
    <w:rsid w:val="00BF2824"/>
    <w:rsid w:val="00BF2BBB"/>
    <w:rsid w:val="00BF3242"/>
    <w:rsid w:val="00BF341D"/>
    <w:rsid w:val="00BF3CC1"/>
    <w:rsid w:val="00BF3F52"/>
    <w:rsid w:val="00BF494F"/>
    <w:rsid w:val="00BF5CB7"/>
    <w:rsid w:val="00BF669D"/>
    <w:rsid w:val="00BF673E"/>
    <w:rsid w:val="00BF6A1B"/>
    <w:rsid w:val="00BF6B8F"/>
    <w:rsid w:val="00BF7632"/>
    <w:rsid w:val="00BF7EA9"/>
    <w:rsid w:val="00C009DD"/>
    <w:rsid w:val="00C00FC5"/>
    <w:rsid w:val="00C01F5A"/>
    <w:rsid w:val="00C0264D"/>
    <w:rsid w:val="00C02EF2"/>
    <w:rsid w:val="00C036C1"/>
    <w:rsid w:val="00C03862"/>
    <w:rsid w:val="00C04280"/>
    <w:rsid w:val="00C04C97"/>
    <w:rsid w:val="00C054FB"/>
    <w:rsid w:val="00C062FF"/>
    <w:rsid w:val="00C06C84"/>
    <w:rsid w:val="00C073CC"/>
    <w:rsid w:val="00C07FC6"/>
    <w:rsid w:val="00C10CFC"/>
    <w:rsid w:val="00C110DA"/>
    <w:rsid w:val="00C1122C"/>
    <w:rsid w:val="00C1175D"/>
    <w:rsid w:val="00C11F72"/>
    <w:rsid w:val="00C13399"/>
    <w:rsid w:val="00C139FA"/>
    <w:rsid w:val="00C13A4C"/>
    <w:rsid w:val="00C144CC"/>
    <w:rsid w:val="00C1508A"/>
    <w:rsid w:val="00C168DD"/>
    <w:rsid w:val="00C176FB"/>
    <w:rsid w:val="00C200AC"/>
    <w:rsid w:val="00C20C10"/>
    <w:rsid w:val="00C21A59"/>
    <w:rsid w:val="00C222ED"/>
    <w:rsid w:val="00C22D5D"/>
    <w:rsid w:val="00C2326A"/>
    <w:rsid w:val="00C2530A"/>
    <w:rsid w:val="00C2569C"/>
    <w:rsid w:val="00C25939"/>
    <w:rsid w:val="00C259B0"/>
    <w:rsid w:val="00C25E6E"/>
    <w:rsid w:val="00C25EF5"/>
    <w:rsid w:val="00C262F8"/>
    <w:rsid w:val="00C26ACD"/>
    <w:rsid w:val="00C26AF0"/>
    <w:rsid w:val="00C27440"/>
    <w:rsid w:val="00C2772A"/>
    <w:rsid w:val="00C277D7"/>
    <w:rsid w:val="00C3118A"/>
    <w:rsid w:val="00C314C2"/>
    <w:rsid w:val="00C33F9A"/>
    <w:rsid w:val="00C34850"/>
    <w:rsid w:val="00C34C68"/>
    <w:rsid w:val="00C40CF7"/>
    <w:rsid w:val="00C411EE"/>
    <w:rsid w:val="00C41F59"/>
    <w:rsid w:val="00C42613"/>
    <w:rsid w:val="00C42651"/>
    <w:rsid w:val="00C42EE8"/>
    <w:rsid w:val="00C44ACC"/>
    <w:rsid w:val="00C44D25"/>
    <w:rsid w:val="00C44D34"/>
    <w:rsid w:val="00C44E70"/>
    <w:rsid w:val="00C4553D"/>
    <w:rsid w:val="00C457A1"/>
    <w:rsid w:val="00C459EF"/>
    <w:rsid w:val="00C45B25"/>
    <w:rsid w:val="00C46C5D"/>
    <w:rsid w:val="00C47607"/>
    <w:rsid w:val="00C51DA2"/>
    <w:rsid w:val="00C52076"/>
    <w:rsid w:val="00C52E5E"/>
    <w:rsid w:val="00C540B7"/>
    <w:rsid w:val="00C5541F"/>
    <w:rsid w:val="00C56BBF"/>
    <w:rsid w:val="00C572AC"/>
    <w:rsid w:val="00C57952"/>
    <w:rsid w:val="00C57FDB"/>
    <w:rsid w:val="00C60645"/>
    <w:rsid w:val="00C6067C"/>
    <w:rsid w:val="00C60FB4"/>
    <w:rsid w:val="00C6189D"/>
    <w:rsid w:val="00C62E83"/>
    <w:rsid w:val="00C6324B"/>
    <w:rsid w:val="00C6366D"/>
    <w:rsid w:val="00C637BD"/>
    <w:rsid w:val="00C63F14"/>
    <w:rsid w:val="00C642EE"/>
    <w:rsid w:val="00C64AF9"/>
    <w:rsid w:val="00C64D6A"/>
    <w:rsid w:val="00C651D3"/>
    <w:rsid w:val="00C65661"/>
    <w:rsid w:val="00C66A90"/>
    <w:rsid w:val="00C66BCF"/>
    <w:rsid w:val="00C67355"/>
    <w:rsid w:val="00C67BFD"/>
    <w:rsid w:val="00C67C6D"/>
    <w:rsid w:val="00C710EF"/>
    <w:rsid w:val="00C71365"/>
    <w:rsid w:val="00C7142B"/>
    <w:rsid w:val="00C71807"/>
    <w:rsid w:val="00C71B6B"/>
    <w:rsid w:val="00C733D6"/>
    <w:rsid w:val="00C73930"/>
    <w:rsid w:val="00C73B58"/>
    <w:rsid w:val="00C747AD"/>
    <w:rsid w:val="00C76FF6"/>
    <w:rsid w:val="00C800F8"/>
    <w:rsid w:val="00C818D6"/>
    <w:rsid w:val="00C81ECA"/>
    <w:rsid w:val="00C83D19"/>
    <w:rsid w:val="00C84436"/>
    <w:rsid w:val="00C84EA2"/>
    <w:rsid w:val="00C8564E"/>
    <w:rsid w:val="00C858D2"/>
    <w:rsid w:val="00C861F9"/>
    <w:rsid w:val="00C862B9"/>
    <w:rsid w:val="00C86366"/>
    <w:rsid w:val="00C86CF4"/>
    <w:rsid w:val="00C87669"/>
    <w:rsid w:val="00C879AB"/>
    <w:rsid w:val="00C87C56"/>
    <w:rsid w:val="00C87F5C"/>
    <w:rsid w:val="00C90393"/>
    <w:rsid w:val="00C9127F"/>
    <w:rsid w:val="00C91300"/>
    <w:rsid w:val="00C91518"/>
    <w:rsid w:val="00C923BB"/>
    <w:rsid w:val="00C932C0"/>
    <w:rsid w:val="00C93A80"/>
    <w:rsid w:val="00C941F9"/>
    <w:rsid w:val="00C956FB"/>
    <w:rsid w:val="00C96000"/>
    <w:rsid w:val="00C961AB"/>
    <w:rsid w:val="00C96F2D"/>
    <w:rsid w:val="00CA05C9"/>
    <w:rsid w:val="00CA0679"/>
    <w:rsid w:val="00CA140E"/>
    <w:rsid w:val="00CA273E"/>
    <w:rsid w:val="00CA30FA"/>
    <w:rsid w:val="00CA3A03"/>
    <w:rsid w:val="00CA5424"/>
    <w:rsid w:val="00CA5B97"/>
    <w:rsid w:val="00CA7B8B"/>
    <w:rsid w:val="00CB01B6"/>
    <w:rsid w:val="00CB0AAE"/>
    <w:rsid w:val="00CB1342"/>
    <w:rsid w:val="00CB2015"/>
    <w:rsid w:val="00CB227C"/>
    <w:rsid w:val="00CB26A2"/>
    <w:rsid w:val="00CB29BB"/>
    <w:rsid w:val="00CB2BE1"/>
    <w:rsid w:val="00CB3D51"/>
    <w:rsid w:val="00CB4353"/>
    <w:rsid w:val="00CB5561"/>
    <w:rsid w:val="00CB5F7A"/>
    <w:rsid w:val="00CB7453"/>
    <w:rsid w:val="00CC1D5C"/>
    <w:rsid w:val="00CC1F4A"/>
    <w:rsid w:val="00CC2133"/>
    <w:rsid w:val="00CC2404"/>
    <w:rsid w:val="00CC241F"/>
    <w:rsid w:val="00CC34CF"/>
    <w:rsid w:val="00CC36EB"/>
    <w:rsid w:val="00CC3965"/>
    <w:rsid w:val="00CC396C"/>
    <w:rsid w:val="00CC4C5E"/>
    <w:rsid w:val="00CC6323"/>
    <w:rsid w:val="00CC68BC"/>
    <w:rsid w:val="00CC6FEC"/>
    <w:rsid w:val="00CC7167"/>
    <w:rsid w:val="00CC7BA7"/>
    <w:rsid w:val="00CD156B"/>
    <w:rsid w:val="00CD1F57"/>
    <w:rsid w:val="00CD3D09"/>
    <w:rsid w:val="00CD6380"/>
    <w:rsid w:val="00CD6574"/>
    <w:rsid w:val="00CD7024"/>
    <w:rsid w:val="00CD728F"/>
    <w:rsid w:val="00CD7494"/>
    <w:rsid w:val="00CD79F9"/>
    <w:rsid w:val="00CE08AC"/>
    <w:rsid w:val="00CE0954"/>
    <w:rsid w:val="00CE15B7"/>
    <w:rsid w:val="00CE17F0"/>
    <w:rsid w:val="00CE1963"/>
    <w:rsid w:val="00CE2059"/>
    <w:rsid w:val="00CE32E0"/>
    <w:rsid w:val="00CE36FE"/>
    <w:rsid w:val="00CE4DAD"/>
    <w:rsid w:val="00CE676F"/>
    <w:rsid w:val="00CE6824"/>
    <w:rsid w:val="00CE6976"/>
    <w:rsid w:val="00CE7151"/>
    <w:rsid w:val="00CF36DA"/>
    <w:rsid w:val="00CF3E51"/>
    <w:rsid w:val="00CF4459"/>
    <w:rsid w:val="00CF544A"/>
    <w:rsid w:val="00CF6A59"/>
    <w:rsid w:val="00CF727C"/>
    <w:rsid w:val="00D00E06"/>
    <w:rsid w:val="00D01D7F"/>
    <w:rsid w:val="00D026D9"/>
    <w:rsid w:val="00D0353E"/>
    <w:rsid w:val="00D0466D"/>
    <w:rsid w:val="00D04E27"/>
    <w:rsid w:val="00D06612"/>
    <w:rsid w:val="00D06908"/>
    <w:rsid w:val="00D071C1"/>
    <w:rsid w:val="00D07B4D"/>
    <w:rsid w:val="00D07F3C"/>
    <w:rsid w:val="00D07FA7"/>
    <w:rsid w:val="00D1065E"/>
    <w:rsid w:val="00D10C88"/>
    <w:rsid w:val="00D10E09"/>
    <w:rsid w:val="00D11969"/>
    <w:rsid w:val="00D11A21"/>
    <w:rsid w:val="00D123B1"/>
    <w:rsid w:val="00D12F6E"/>
    <w:rsid w:val="00D12FD3"/>
    <w:rsid w:val="00D131D1"/>
    <w:rsid w:val="00D13796"/>
    <w:rsid w:val="00D13EE2"/>
    <w:rsid w:val="00D14153"/>
    <w:rsid w:val="00D1461E"/>
    <w:rsid w:val="00D1564B"/>
    <w:rsid w:val="00D17D35"/>
    <w:rsid w:val="00D20191"/>
    <w:rsid w:val="00D218F7"/>
    <w:rsid w:val="00D21E27"/>
    <w:rsid w:val="00D2286C"/>
    <w:rsid w:val="00D233A0"/>
    <w:rsid w:val="00D2355F"/>
    <w:rsid w:val="00D2462C"/>
    <w:rsid w:val="00D24B78"/>
    <w:rsid w:val="00D2517F"/>
    <w:rsid w:val="00D252B4"/>
    <w:rsid w:val="00D26B0F"/>
    <w:rsid w:val="00D27567"/>
    <w:rsid w:val="00D27EEC"/>
    <w:rsid w:val="00D301A8"/>
    <w:rsid w:val="00D30D27"/>
    <w:rsid w:val="00D31ED5"/>
    <w:rsid w:val="00D322C5"/>
    <w:rsid w:val="00D34670"/>
    <w:rsid w:val="00D35942"/>
    <w:rsid w:val="00D36051"/>
    <w:rsid w:val="00D40427"/>
    <w:rsid w:val="00D41D04"/>
    <w:rsid w:val="00D43B5A"/>
    <w:rsid w:val="00D44671"/>
    <w:rsid w:val="00D44B5E"/>
    <w:rsid w:val="00D466A0"/>
    <w:rsid w:val="00D46F6B"/>
    <w:rsid w:val="00D4721B"/>
    <w:rsid w:val="00D47700"/>
    <w:rsid w:val="00D47D52"/>
    <w:rsid w:val="00D500FB"/>
    <w:rsid w:val="00D50751"/>
    <w:rsid w:val="00D51005"/>
    <w:rsid w:val="00D51052"/>
    <w:rsid w:val="00D5211A"/>
    <w:rsid w:val="00D52DBF"/>
    <w:rsid w:val="00D532D4"/>
    <w:rsid w:val="00D53E0B"/>
    <w:rsid w:val="00D543A8"/>
    <w:rsid w:val="00D54893"/>
    <w:rsid w:val="00D560EC"/>
    <w:rsid w:val="00D56728"/>
    <w:rsid w:val="00D62564"/>
    <w:rsid w:val="00D642CB"/>
    <w:rsid w:val="00D642D9"/>
    <w:rsid w:val="00D64BF8"/>
    <w:rsid w:val="00D64C18"/>
    <w:rsid w:val="00D64C92"/>
    <w:rsid w:val="00D64D38"/>
    <w:rsid w:val="00D65552"/>
    <w:rsid w:val="00D70069"/>
    <w:rsid w:val="00D7298F"/>
    <w:rsid w:val="00D72C69"/>
    <w:rsid w:val="00D72DE1"/>
    <w:rsid w:val="00D734BB"/>
    <w:rsid w:val="00D73A1D"/>
    <w:rsid w:val="00D759B7"/>
    <w:rsid w:val="00D76C14"/>
    <w:rsid w:val="00D80017"/>
    <w:rsid w:val="00D805E2"/>
    <w:rsid w:val="00D8063F"/>
    <w:rsid w:val="00D80FD0"/>
    <w:rsid w:val="00D812CA"/>
    <w:rsid w:val="00D81ECE"/>
    <w:rsid w:val="00D83FB0"/>
    <w:rsid w:val="00D8456D"/>
    <w:rsid w:val="00D8494C"/>
    <w:rsid w:val="00D85BC2"/>
    <w:rsid w:val="00D85F13"/>
    <w:rsid w:val="00D8603B"/>
    <w:rsid w:val="00D873D0"/>
    <w:rsid w:val="00D87AD3"/>
    <w:rsid w:val="00D87C08"/>
    <w:rsid w:val="00D90C0C"/>
    <w:rsid w:val="00D924DB"/>
    <w:rsid w:val="00D9271D"/>
    <w:rsid w:val="00D92A06"/>
    <w:rsid w:val="00D9329D"/>
    <w:rsid w:val="00D935C2"/>
    <w:rsid w:val="00D93A45"/>
    <w:rsid w:val="00D945C0"/>
    <w:rsid w:val="00D95356"/>
    <w:rsid w:val="00D95460"/>
    <w:rsid w:val="00D9554D"/>
    <w:rsid w:val="00D95E16"/>
    <w:rsid w:val="00D9755E"/>
    <w:rsid w:val="00DA020C"/>
    <w:rsid w:val="00DA0226"/>
    <w:rsid w:val="00DA0804"/>
    <w:rsid w:val="00DA0820"/>
    <w:rsid w:val="00DA2C1E"/>
    <w:rsid w:val="00DA3551"/>
    <w:rsid w:val="00DA3607"/>
    <w:rsid w:val="00DA3B7D"/>
    <w:rsid w:val="00DA4282"/>
    <w:rsid w:val="00DA44D8"/>
    <w:rsid w:val="00DA47D5"/>
    <w:rsid w:val="00DA50DC"/>
    <w:rsid w:val="00DA53D7"/>
    <w:rsid w:val="00DA5CF5"/>
    <w:rsid w:val="00DA6890"/>
    <w:rsid w:val="00DA6DA3"/>
    <w:rsid w:val="00DA7EED"/>
    <w:rsid w:val="00DB1198"/>
    <w:rsid w:val="00DB187C"/>
    <w:rsid w:val="00DB1CDD"/>
    <w:rsid w:val="00DB220A"/>
    <w:rsid w:val="00DB25E3"/>
    <w:rsid w:val="00DB2A70"/>
    <w:rsid w:val="00DB3ABE"/>
    <w:rsid w:val="00DB5B8B"/>
    <w:rsid w:val="00DB61F9"/>
    <w:rsid w:val="00DB6319"/>
    <w:rsid w:val="00DB6E3A"/>
    <w:rsid w:val="00DB7553"/>
    <w:rsid w:val="00DC26AD"/>
    <w:rsid w:val="00DC270E"/>
    <w:rsid w:val="00DC2BC7"/>
    <w:rsid w:val="00DC2F18"/>
    <w:rsid w:val="00DC39D5"/>
    <w:rsid w:val="00DC592F"/>
    <w:rsid w:val="00DC6AC1"/>
    <w:rsid w:val="00DD0189"/>
    <w:rsid w:val="00DD022E"/>
    <w:rsid w:val="00DD17DF"/>
    <w:rsid w:val="00DD1AC9"/>
    <w:rsid w:val="00DD1CE5"/>
    <w:rsid w:val="00DD210D"/>
    <w:rsid w:val="00DD237C"/>
    <w:rsid w:val="00DD29C6"/>
    <w:rsid w:val="00DD3119"/>
    <w:rsid w:val="00DD3EF3"/>
    <w:rsid w:val="00DD3F0C"/>
    <w:rsid w:val="00DD5879"/>
    <w:rsid w:val="00DD5EE1"/>
    <w:rsid w:val="00DD6158"/>
    <w:rsid w:val="00DE0879"/>
    <w:rsid w:val="00DE0985"/>
    <w:rsid w:val="00DE0C3E"/>
    <w:rsid w:val="00DE1314"/>
    <w:rsid w:val="00DE131E"/>
    <w:rsid w:val="00DE14EB"/>
    <w:rsid w:val="00DE49DE"/>
    <w:rsid w:val="00DE4B12"/>
    <w:rsid w:val="00DE7C6E"/>
    <w:rsid w:val="00DF0501"/>
    <w:rsid w:val="00DF1B31"/>
    <w:rsid w:val="00DF2241"/>
    <w:rsid w:val="00DF3EB3"/>
    <w:rsid w:val="00DF45B5"/>
    <w:rsid w:val="00DF49C6"/>
    <w:rsid w:val="00DF4F24"/>
    <w:rsid w:val="00DF5407"/>
    <w:rsid w:val="00DF6BCD"/>
    <w:rsid w:val="00DF6CD3"/>
    <w:rsid w:val="00E01659"/>
    <w:rsid w:val="00E01A51"/>
    <w:rsid w:val="00E02B22"/>
    <w:rsid w:val="00E02F89"/>
    <w:rsid w:val="00E03725"/>
    <w:rsid w:val="00E0424D"/>
    <w:rsid w:val="00E05291"/>
    <w:rsid w:val="00E05A03"/>
    <w:rsid w:val="00E05C05"/>
    <w:rsid w:val="00E06AE1"/>
    <w:rsid w:val="00E07779"/>
    <w:rsid w:val="00E07EB7"/>
    <w:rsid w:val="00E1021F"/>
    <w:rsid w:val="00E10C3A"/>
    <w:rsid w:val="00E11E9D"/>
    <w:rsid w:val="00E124A9"/>
    <w:rsid w:val="00E1322D"/>
    <w:rsid w:val="00E132AD"/>
    <w:rsid w:val="00E13E1C"/>
    <w:rsid w:val="00E153BE"/>
    <w:rsid w:val="00E16152"/>
    <w:rsid w:val="00E163BC"/>
    <w:rsid w:val="00E16D7E"/>
    <w:rsid w:val="00E20107"/>
    <w:rsid w:val="00E20AAE"/>
    <w:rsid w:val="00E20F45"/>
    <w:rsid w:val="00E23D52"/>
    <w:rsid w:val="00E240EF"/>
    <w:rsid w:val="00E250CF"/>
    <w:rsid w:val="00E2556B"/>
    <w:rsid w:val="00E25CFB"/>
    <w:rsid w:val="00E268C1"/>
    <w:rsid w:val="00E26AB9"/>
    <w:rsid w:val="00E27075"/>
    <w:rsid w:val="00E27B12"/>
    <w:rsid w:val="00E27D5A"/>
    <w:rsid w:val="00E302B8"/>
    <w:rsid w:val="00E3074B"/>
    <w:rsid w:val="00E30E6E"/>
    <w:rsid w:val="00E32CF2"/>
    <w:rsid w:val="00E33588"/>
    <w:rsid w:val="00E3474E"/>
    <w:rsid w:val="00E349F8"/>
    <w:rsid w:val="00E36287"/>
    <w:rsid w:val="00E37BD3"/>
    <w:rsid w:val="00E40746"/>
    <w:rsid w:val="00E41206"/>
    <w:rsid w:val="00E416B2"/>
    <w:rsid w:val="00E41EC9"/>
    <w:rsid w:val="00E4353C"/>
    <w:rsid w:val="00E43650"/>
    <w:rsid w:val="00E4472A"/>
    <w:rsid w:val="00E44E7A"/>
    <w:rsid w:val="00E46808"/>
    <w:rsid w:val="00E47375"/>
    <w:rsid w:val="00E479BF"/>
    <w:rsid w:val="00E511CA"/>
    <w:rsid w:val="00E5163A"/>
    <w:rsid w:val="00E52683"/>
    <w:rsid w:val="00E5298D"/>
    <w:rsid w:val="00E53A7F"/>
    <w:rsid w:val="00E53B7E"/>
    <w:rsid w:val="00E55072"/>
    <w:rsid w:val="00E55774"/>
    <w:rsid w:val="00E570E0"/>
    <w:rsid w:val="00E57122"/>
    <w:rsid w:val="00E60A98"/>
    <w:rsid w:val="00E60D2E"/>
    <w:rsid w:val="00E614D2"/>
    <w:rsid w:val="00E61E95"/>
    <w:rsid w:val="00E6282E"/>
    <w:rsid w:val="00E6357C"/>
    <w:rsid w:val="00E65BFB"/>
    <w:rsid w:val="00E6641E"/>
    <w:rsid w:val="00E6646A"/>
    <w:rsid w:val="00E66DCA"/>
    <w:rsid w:val="00E67C30"/>
    <w:rsid w:val="00E72014"/>
    <w:rsid w:val="00E723F4"/>
    <w:rsid w:val="00E72999"/>
    <w:rsid w:val="00E73922"/>
    <w:rsid w:val="00E7418B"/>
    <w:rsid w:val="00E7466F"/>
    <w:rsid w:val="00E74B5B"/>
    <w:rsid w:val="00E74DEE"/>
    <w:rsid w:val="00E76715"/>
    <w:rsid w:val="00E7755C"/>
    <w:rsid w:val="00E775A9"/>
    <w:rsid w:val="00E77EB4"/>
    <w:rsid w:val="00E8005C"/>
    <w:rsid w:val="00E812D4"/>
    <w:rsid w:val="00E81870"/>
    <w:rsid w:val="00E8459E"/>
    <w:rsid w:val="00E85190"/>
    <w:rsid w:val="00E85D00"/>
    <w:rsid w:val="00E86872"/>
    <w:rsid w:val="00E86F5C"/>
    <w:rsid w:val="00E8747F"/>
    <w:rsid w:val="00E87487"/>
    <w:rsid w:val="00E87965"/>
    <w:rsid w:val="00E87CB6"/>
    <w:rsid w:val="00E906D0"/>
    <w:rsid w:val="00E90A85"/>
    <w:rsid w:val="00E9125F"/>
    <w:rsid w:val="00E91362"/>
    <w:rsid w:val="00E91416"/>
    <w:rsid w:val="00E91625"/>
    <w:rsid w:val="00E91725"/>
    <w:rsid w:val="00E91765"/>
    <w:rsid w:val="00E91D6C"/>
    <w:rsid w:val="00E91F6F"/>
    <w:rsid w:val="00E93625"/>
    <w:rsid w:val="00E93D19"/>
    <w:rsid w:val="00E94BE1"/>
    <w:rsid w:val="00E958AE"/>
    <w:rsid w:val="00E95E12"/>
    <w:rsid w:val="00E968A2"/>
    <w:rsid w:val="00E96F84"/>
    <w:rsid w:val="00E96F98"/>
    <w:rsid w:val="00E975F5"/>
    <w:rsid w:val="00E97B27"/>
    <w:rsid w:val="00EA0764"/>
    <w:rsid w:val="00EA0DBB"/>
    <w:rsid w:val="00EA11A5"/>
    <w:rsid w:val="00EA1DC1"/>
    <w:rsid w:val="00EA2527"/>
    <w:rsid w:val="00EA325A"/>
    <w:rsid w:val="00EA4651"/>
    <w:rsid w:val="00EA5678"/>
    <w:rsid w:val="00EA5904"/>
    <w:rsid w:val="00EA5CDE"/>
    <w:rsid w:val="00EA6933"/>
    <w:rsid w:val="00EB07F2"/>
    <w:rsid w:val="00EB0AC9"/>
    <w:rsid w:val="00EB14F3"/>
    <w:rsid w:val="00EB176C"/>
    <w:rsid w:val="00EB2218"/>
    <w:rsid w:val="00EB5A06"/>
    <w:rsid w:val="00EB5F91"/>
    <w:rsid w:val="00EB6337"/>
    <w:rsid w:val="00EB6CCA"/>
    <w:rsid w:val="00EB730F"/>
    <w:rsid w:val="00EB7E62"/>
    <w:rsid w:val="00EC1B80"/>
    <w:rsid w:val="00EC23A2"/>
    <w:rsid w:val="00EC2596"/>
    <w:rsid w:val="00EC2907"/>
    <w:rsid w:val="00EC3142"/>
    <w:rsid w:val="00EC4ECD"/>
    <w:rsid w:val="00EC53B3"/>
    <w:rsid w:val="00EC5A65"/>
    <w:rsid w:val="00EC64D2"/>
    <w:rsid w:val="00EC70FB"/>
    <w:rsid w:val="00EC7BF0"/>
    <w:rsid w:val="00ED00E6"/>
    <w:rsid w:val="00ED0347"/>
    <w:rsid w:val="00ED061B"/>
    <w:rsid w:val="00ED1E0A"/>
    <w:rsid w:val="00ED2FA6"/>
    <w:rsid w:val="00ED35F5"/>
    <w:rsid w:val="00ED48FF"/>
    <w:rsid w:val="00ED5D4A"/>
    <w:rsid w:val="00EE09FB"/>
    <w:rsid w:val="00EE0A77"/>
    <w:rsid w:val="00EE0E43"/>
    <w:rsid w:val="00EE2602"/>
    <w:rsid w:val="00EE2926"/>
    <w:rsid w:val="00EE2B15"/>
    <w:rsid w:val="00EE2D7D"/>
    <w:rsid w:val="00EE3360"/>
    <w:rsid w:val="00EE35E3"/>
    <w:rsid w:val="00EE3A9B"/>
    <w:rsid w:val="00EE3D5B"/>
    <w:rsid w:val="00EE5404"/>
    <w:rsid w:val="00EE5696"/>
    <w:rsid w:val="00EE59C1"/>
    <w:rsid w:val="00EE7A90"/>
    <w:rsid w:val="00EF1381"/>
    <w:rsid w:val="00EF2FBF"/>
    <w:rsid w:val="00EF371E"/>
    <w:rsid w:val="00EF5144"/>
    <w:rsid w:val="00EF5F13"/>
    <w:rsid w:val="00EF6688"/>
    <w:rsid w:val="00EF6766"/>
    <w:rsid w:val="00EF7181"/>
    <w:rsid w:val="00EF7698"/>
    <w:rsid w:val="00EF7CCF"/>
    <w:rsid w:val="00F0044F"/>
    <w:rsid w:val="00F009F8"/>
    <w:rsid w:val="00F00BFF"/>
    <w:rsid w:val="00F010BC"/>
    <w:rsid w:val="00F012D1"/>
    <w:rsid w:val="00F02A7B"/>
    <w:rsid w:val="00F02E94"/>
    <w:rsid w:val="00F03F23"/>
    <w:rsid w:val="00F05145"/>
    <w:rsid w:val="00F060FA"/>
    <w:rsid w:val="00F07136"/>
    <w:rsid w:val="00F071AF"/>
    <w:rsid w:val="00F07E87"/>
    <w:rsid w:val="00F07F91"/>
    <w:rsid w:val="00F07FE5"/>
    <w:rsid w:val="00F10509"/>
    <w:rsid w:val="00F1060F"/>
    <w:rsid w:val="00F11E62"/>
    <w:rsid w:val="00F125EA"/>
    <w:rsid w:val="00F129DB"/>
    <w:rsid w:val="00F12F60"/>
    <w:rsid w:val="00F13AF2"/>
    <w:rsid w:val="00F13EB3"/>
    <w:rsid w:val="00F15D4F"/>
    <w:rsid w:val="00F1640E"/>
    <w:rsid w:val="00F17638"/>
    <w:rsid w:val="00F20281"/>
    <w:rsid w:val="00F202A6"/>
    <w:rsid w:val="00F20C20"/>
    <w:rsid w:val="00F20EE5"/>
    <w:rsid w:val="00F21364"/>
    <w:rsid w:val="00F22BB0"/>
    <w:rsid w:val="00F22E9D"/>
    <w:rsid w:val="00F237ED"/>
    <w:rsid w:val="00F23B7E"/>
    <w:rsid w:val="00F252AB"/>
    <w:rsid w:val="00F2639D"/>
    <w:rsid w:val="00F26B85"/>
    <w:rsid w:val="00F27159"/>
    <w:rsid w:val="00F27B7A"/>
    <w:rsid w:val="00F27EAC"/>
    <w:rsid w:val="00F27EFA"/>
    <w:rsid w:val="00F3017F"/>
    <w:rsid w:val="00F30FC6"/>
    <w:rsid w:val="00F3150B"/>
    <w:rsid w:val="00F32152"/>
    <w:rsid w:val="00F32212"/>
    <w:rsid w:val="00F330C6"/>
    <w:rsid w:val="00F335A4"/>
    <w:rsid w:val="00F3379F"/>
    <w:rsid w:val="00F33E0A"/>
    <w:rsid w:val="00F3417C"/>
    <w:rsid w:val="00F364F8"/>
    <w:rsid w:val="00F371D3"/>
    <w:rsid w:val="00F3758C"/>
    <w:rsid w:val="00F3780D"/>
    <w:rsid w:val="00F40161"/>
    <w:rsid w:val="00F40268"/>
    <w:rsid w:val="00F40362"/>
    <w:rsid w:val="00F403A3"/>
    <w:rsid w:val="00F42165"/>
    <w:rsid w:val="00F42396"/>
    <w:rsid w:val="00F439DD"/>
    <w:rsid w:val="00F44542"/>
    <w:rsid w:val="00F44601"/>
    <w:rsid w:val="00F46288"/>
    <w:rsid w:val="00F46329"/>
    <w:rsid w:val="00F46599"/>
    <w:rsid w:val="00F46F97"/>
    <w:rsid w:val="00F47976"/>
    <w:rsid w:val="00F513B0"/>
    <w:rsid w:val="00F516A3"/>
    <w:rsid w:val="00F51EFB"/>
    <w:rsid w:val="00F52BAE"/>
    <w:rsid w:val="00F530F3"/>
    <w:rsid w:val="00F551D7"/>
    <w:rsid w:val="00F56932"/>
    <w:rsid w:val="00F5771D"/>
    <w:rsid w:val="00F600A1"/>
    <w:rsid w:val="00F60990"/>
    <w:rsid w:val="00F61A1D"/>
    <w:rsid w:val="00F62206"/>
    <w:rsid w:val="00F6275D"/>
    <w:rsid w:val="00F628DC"/>
    <w:rsid w:val="00F63003"/>
    <w:rsid w:val="00F642BE"/>
    <w:rsid w:val="00F646F2"/>
    <w:rsid w:val="00F65200"/>
    <w:rsid w:val="00F66FC3"/>
    <w:rsid w:val="00F6777E"/>
    <w:rsid w:val="00F67848"/>
    <w:rsid w:val="00F67A5A"/>
    <w:rsid w:val="00F705D4"/>
    <w:rsid w:val="00F70793"/>
    <w:rsid w:val="00F708A5"/>
    <w:rsid w:val="00F70BF1"/>
    <w:rsid w:val="00F7182C"/>
    <w:rsid w:val="00F722C4"/>
    <w:rsid w:val="00F72DAF"/>
    <w:rsid w:val="00F73A4A"/>
    <w:rsid w:val="00F741B6"/>
    <w:rsid w:val="00F743E1"/>
    <w:rsid w:val="00F74531"/>
    <w:rsid w:val="00F74C7D"/>
    <w:rsid w:val="00F7588B"/>
    <w:rsid w:val="00F76B36"/>
    <w:rsid w:val="00F7704F"/>
    <w:rsid w:val="00F7766D"/>
    <w:rsid w:val="00F77EBB"/>
    <w:rsid w:val="00F81E47"/>
    <w:rsid w:val="00F824C7"/>
    <w:rsid w:val="00F825D2"/>
    <w:rsid w:val="00F828E3"/>
    <w:rsid w:val="00F82D02"/>
    <w:rsid w:val="00F83020"/>
    <w:rsid w:val="00F83A52"/>
    <w:rsid w:val="00F83C15"/>
    <w:rsid w:val="00F86855"/>
    <w:rsid w:val="00F8737B"/>
    <w:rsid w:val="00F87BE6"/>
    <w:rsid w:val="00F87DD0"/>
    <w:rsid w:val="00F90088"/>
    <w:rsid w:val="00F90381"/>
    <w:rsid w:val="00F90689"/>
    <w:rsid w:val="00F910B8"/>
    <w:rsid w:val="00F91598"/>
    <w:rsid w:val="00F934A9"/>
    <w:rsid w:val="00F93F0D"/>
    <w:rsid w:val="00F95C6F"/>
    <w:rsid w:val="00F95E07"/>
    <w:rsid w:val="00F960F1"/>
    <w:rsid w:val="00F968C3"/>
    <w:rsid w:val="00F96BBB"/>
    <w:rsid w:val="00F96F08"/>
    <w:rsid w:val="00F971A4"/>
    <w:rsid w:val="00FA08A6"/>
    <w:rsid w:val="00FA15BB"/>
    <w:rsid w:val="00FA22D5"/>
    <w:rsid w:val="00FA3ECC"/>
    <w:rsid w:val="00FA4CEE"/>
    <w:rsid w:val="00FA7E44"/>
    <w:rsid w:val="00FB20E5"/>
    <w:rsid w:val="00FB35FC"/>
    <w:rsid w:val="00FB3C3D"/>
    <w:rsid w:val="00FB3D3C"/>
    <w:rsid w:val="00FB3FCC"/>
    <w:rsid w:val="00FB430E"/>
    <w:rsid w:val="00FB4366"/>
    <w:rsid w:val="00FB5073"/>
    <w:rsid w:val="00FB6217"/>
    <w:rsid w:val="00FB67D5"/>
    <w:rsid w:val="00FB76D8"/>
    <w:rsid w:val="00FB78D3"/>
    <w:rsid w:val="00FB7BF0"/>
    <w:rsid w:val="00FC1506"/>
    <w:rsid w:val="00FC164C"/>
    <w:rsid w:val="00FC3A6A"/>
    <w:rsid w:val="00FC485E"/>
    <w:rsid w:val="00FC4FFA"/>
    <w:rsid w:val="00FC573E"/>
    <w:rsid w:val="00FC58CF"/>
    <w:rsid w:val="00FC59FB"/>
    <w:rsid w:val="00FC5FB7"/>
    <w:rsid w:val="00FC64B6"/>
    <w:rsid w:val="00FC6597"/>
    <w:rsid w:val="00FD02F3"/>
    <w:rsid w:val="00FD0D7E"/>
    <w:rsid w:val="00FD0F5F"/>
    <w:rsid w:val="00FD12B3"/>
    <w:rsid w:val="00FD203D"/>
    <w:rsid w:val="00FD2377"/>
    <w:rsid w:val="00FD27B1"/>
    <w:rsid w:val="00FD39CA"/>
    <w:rsid w:val="00FD414F"/>
    <w:rsid w:val="00FD50A4"/>
    <w:rsid w:val="00FD543B"/>
    <w:rsid w:val="00FD5B0C"/>
    <w:rsid w:val="00FD6C46"/>
    <w:rsid w:val="00FD7696"/>
    <w:rsid w:val="00FD77ED"/>
    <w:rsid w:val="00FE0877"/>
    <w:rsid w:val="00FE2C22"/>
    <w:rsid w:val="00FE30DA"/>
    <w:rsid w:val="00FE3C38"/>
    <w:rsid w:val="00FE42BD"/>
    <w:rsid w:val="00FE4633"/>
    <w:rsid w:val="00FE4E95"/>
    <w:rsid w:val="00FE5C46"/>
    <w:rsid w:val="00FE5CD6"/>
    <w:rsid w:val="00FE64A5"/>
    <w:rsid w:val="00FF1C30"/>
    <w:rsid w:val="00FF21B7"/>
    <w:rsid w:val="00FF2435"/>
    <w:rsid w:val="00FF250F"/>
    <w:rsid w:val="00FF4121"/>
    <w:rsid w:val="00FF4C24"/>
    <w:rsid w:val="00FF70E6"/>
    <w:rsid w:val="00FF72FF"/>
    <w:rsid w:val="00FF7B3D"/>
    <w:rsid w:val="01010C8C"/>
    <w:rsid w:val="011F7F4A"/>
    <w:rsid w:val="01E53B55"/>
    <w:rsid w:val="032E432E"/>
    <w:rsid w:val="0367498D"/>
    <w:rsid w:val="08E460EC"/>
    <w:rsid w:val="0DD71619"/>
    <w:rsid w:val="14C9372F"/>
    <w:rsid w:val="15EE2BAF"/>
    <w:rsid w:val="18427CB4"/>
    <w:rsid w:val="1BB02FBC"/>
    <w:rsid w:val="267B2DA4"/>
    <w:rsid w:val="2A2932D1"/>
    <w:rsid w:val="2F3626AD"/>
    <w:rsid w:val="30CF5A24"/>
    <w:rsid w:val="310A5158"/>
    <w:rsid w:val="32D9423C"/>
    <w:rsid w:val="3A680471"/>
    <w:rsid w:val="3BEA0437"/>
    <w:rsid w:val="3E5A5420"/>
    <w:rsid w:val="3EB875C8"/>
    <w:rsid w:val="3ED83576"/>
    <w:rsid w:val="41CA6936"/>
    <w:rsid w:val="4B867BD4"/>
    <w:rsid w:val="4B995026"/>
    <w:rsid w:val="4BB1167F"/>
    <w:rsid w:val="4E733DAB"/>
    <w:rsid w:val="51793458"/>
    <w:rsid w:val="54DD2457"/>
    <w:rsid w:val="659D14F0"/>
    <w:rsid w:val="66AA378F"/>
    <w:rsid w:val="67401474"/>
    <w:rsid w:val="67F74F27"/>
    <w:rsid w:val="6E384B93"/>
    <w:rsid w:val="6FDD305F"/>
    <w:rsid w:val="7D050A50"/>
    <w:rsid w:val="7D586D8E"/>
  </w:rsids>
  <m:mathPr>
    <m:mathFont m:val="Cambria Math"/>
    <m:brkBin m:val="before"/>
    <m:brkBinSub m:val="--"/>
    <m:smallFrac m:val="0"/>
    <m:dispDef/>
    <m:lMargin m:val="0"/>
    <m:rMargin m:val="0"/>
    <m:defJc m:val="centerGroup"/>
    <m:wrapIndent m:val="1440"/>
    <m:intLim m:val="subSup"/>
    <m:naryLim m:val="undOvr"/>
  </m:mathPr>
  <w:themeFontLang w:val="zh-CN"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68681753"/>
  <w15:docId w15:val="{95010FF4-C00D-4F7A-8254-48D875123A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SimSun" w:eastAsia="SimSun" w:hAnsi="Calibri" w:cs="Calibri"/>
        <w:sz w:val="22"/>
        <w:szCs w:val="22"/>
        <w:lang w:val="en-US" w:eastAsia="zh-CN"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qFormat="1"/>
    <w:lsdException w:name="annotation text" w:unhideWhenUsed="1"/>
    <w:lsdException w:name="header" w:unhideWhenUsed="1" w:qFormat="1"/>
    <w:lsdException w:name="footer" w:unhideWhenUsed="1" w:qFormat="1"/>
    <w:lsdException w:name="index heading" w:semiHidden="1" w:unhideWhenUsed="1"/>
    <w:lsdException w:name="caption" w:uiPriority="35" w:unhideWhenUsed="1" w:qFormat="1"/>
    <w:lsdException w:name="table of figures" w:unhideWhenUsed="1" w:qFormat="1"/>
    <w:lsdException w:name="envelope address" w:semiHidden="1" w:unhideWhenUsed="1"/>
    <w:lsdException w:name="envelope return" w:semiHidden="1" w:unhideWhenUsed="1"/>
    <w:lsdException w:name="footnote reference"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qFormat="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351A"/>
    <w:pPr>
      <w:spacing w:line="259" w:lineRule="auto"/>
    </w:pPr>
  </w:style>
  <w:style w:type="paragraph" w:styleId="Heading1">
    <w:name w:val="heading 1"/>
    <w:basedOn w:val="Normal"/>
    <w:next w:val="Normal"/>
    <w:link w:val="Heading1Char"/>
    <w:uiPriority w:val="9"/>
    <w:qFormat/>
    <w:rsid w:val="004F6F82"/>
    <w:pPr>
      <w:keepNext/>
      <w:keepLines/>
      <w:overflowPunct w:val="0"/>
      <w:spacing w:beforeLines="100" w:before="100" w:afterLines="50" w:after="50" w:line="340" w:lineRule="atLeast"/>
      <w:outlineLvl w:val="0"/>
    </w:pPr>
    <w:rPr>
      <w:rFonts w:ascii="SimHei" w:eastAsia="SimHei" w:hAnsi="SimSun" w:cs="SimSun"/>
      <w:color w:val="2F5496" w:themeColor="accent1" w:themeShade="BF"/>
      <w:sz w:val="32"/>
      <w:szCs w:val="32"/>
    </w:rPr>
  </w:style>
  <w:style w:type="paragraph" w:styleId="Heading2">
    <w:name w:val="heading 2"/>
    <w:basedOn w:val="Normal"/>
    <w:next w:val="Normal"/>
    <w:link w:val="Heading2Char"/>
    <w:uiPriority w:val="9"/>
    <w:unhideWhenUsed/>
    <w:qFormat/>
    <w:rsid w:val="00D51005"/>
    <w:pPr>
      <w:keepNext/>
      <w:keepLines/>
      <w:overflowPunct w:val="0"/>
      <w:spacing w:beforeLines="100" w:before="100" w:afterLines="50" w:after="50" w:line="340" w:lineRule="atLeast"/>
      <w:outlineLvl w:val="1"/>
    </w:pPr>
    <w:rPr>
      <w:rFonts w:hAnsi="SimSun" w:cs="SimSun"/>
      <w:b/>
      <w:color w:val="2F5496" w:themeColor="accent1" w:themeShade="BF"/>
      <w:szCs w:val="26"/>
    </w:rPr>
  </w:style>
  <w:style w:type="paragraph" w:styleId="Heading3">
    <w:name w:val="heading 3"/>
    <w:basedOn w:val="Normal"/>
    <w:next w:val="Normal"/>
    <w:link w:val="Heading3Char"/>
    <w:uiPriority w:val="9"/>
    <w:semiHidden/>
    <w:unhideWhenUsed/>
    <w:qFormat/>
    <w:pPr>
      <w:keepNext/>
      <w:keepLines/>
      <w:spacing w:before="40" w:after="0"/>
      <w:outlineLvl w:val="2"/>
    </w:pPr>
    <w:rPr>
      <w:rFonts w:hAnsi="SimSun" w:cs="SimSun"/>
      <w:color w:val="1F3864" w:themeColor="accent1" w:themeShade="80"/>
      <w:sz w:val="24"/>
      <w:szCs w:val="24"/>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link w:val="CaptionChar"/>
    <w:uiPriority w:val="35"/>
    <w:unhideWhenUsed/>
    <w:qFormat/>
    <w:pPr>
      <w:spacing w:line="240" w:lineRule="auto"/>
    </w:pPr>
    <w:rPr>
      <w:bCs/>
      <w:color w:val="C45911" w:themeColor="accent2" w:themeShade="BF"/>
      <w:lang w:val="pt-BR" w:eastAsia="en-US"/>
    </w:rPr>
  </w:style>
  <w:style w:type="paragraph" w:styleId="CommentText">
    <w:name w:val="annotation text"/>
    <w:basedOn w:val="Normal"/>
    <w:link w:val="CommentTextChar"/>
    <w:uiPriority w:val="99"/>
    <w:unhideWhenUsed/>
    <w:pPr>
      <w:spacing w:line="240" w:lineRule="auto"/>
    </w:pPr>
    <w:rPr>
      <w:sz w:val="20"/>
      <w:szCs w:val="20"/>
      <w:lang w:val="pt-BR" w:eastAsia="en-US"/>
    </w:rPr>
  </w:style>
  <w:style w:type="paragraph" w:styleId="BodyText">
    <w:name w:val="Body Text"/>
    <w:basedOn w:val="Normal"/>
    <w:link w:val="BodyTextChar"/>
    <w:uiPriority w:val="99"/>
    <w:semiHidden/>
    <w:unhideWhenUsed/>
    <w:qFormat/>
    <w:pPr>
      <w:spacing w:after="120"/>
    </w:pPr>
  </w:style>
  <w:style w:type="paragraph" w:styleId="TOC3">
    <w:name w:val="toc 3"/>
    <w:basedOn w:val="Normal"/>
    <w:next w:val="Normal"/>
    <w:uiPriority w:val="39"/>
    <w:unhideWhenUsed/>
    <w:qFormat/>
    <w:pPr>
      <w:spacing w:after="100"/>
      <w:ind w:left="440"/>
    </w:pPr>
    <w:rPr>
      <w:rFonts w:hAnsi="SimSun" w:cs="Times New Roman"/>
      <w:lang w:val="pt-BR" w:eastAsia="pt-BR"/>
    </w:rPr>
  </w:style>
  <w:style w:type="paragraph" w:styleId="Footer">
    <w:name w:val="footer"/>
    <w:basedOn w:val="Normal"/>
    <w:link w:val="FooterChar"/>
    <w:uiPriority w:val="99"/>
    <w:unhideWhenUsed/>
    <w:qFormat/>
    <w:pPr>
      <w:tabs>
        <w:tab w:val="center" w:pos="4419"/>
        <w:tab w:val="right" w:pos="8838"/>
      </w:tabs>
      <w:spacing w:after="0" w:line="240" w:lineRule="auto"/>
    </w:pPr>
  </w:style>
  <w:style w:type="paragraph" w:styleId="Header">
    <w:name w:val="header"/>
    <w:basedOn w:val="Normal"/>
    <w:link w:val="HeaderChar"/>
    <w:uiPriority w:val="99"/>
    <w:unhideWhenUsed/>
    <w:qFormat/>
    <w:pPr>
      <w:tabs>
        <w:tab w:val="center" w:pos="4419"/>
        <w:tab w:val="right" w:pos="8838"/>
      </w:tabs>
      <w:spacing w:after="0" w:line="240" w:lineRule="auto"/>
    </w:pPr>
  </w:style>
  <w:style w:type="paragraph" w:styleId="TOC1">
    <w:name w:val="toc 1"/>
    <w:basedOn w:val="Normal"/>
    <w:next w:val="Normal"/>
    <w:uiPriority w:val="39"/>
    <w:unhideWhenUsed/>
    <w:qFormat/>
    <w:pPr>
      <w:tabs>
        <w:tab w:val="left" w:pos="480"/>
        <w:tab w:val="right" w:leader="dot" w:pos="9016"/>
      </w:tabs>
      <w:spacing w:after="100"/>
    </w:p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FootnoteText">
    <w:name w:val="footnote text"/>
    <w:basedOn w:val="Normal"/>
    <w:link w:val="FootnoteTextChar"/>
    <w:uiPriority w:val="99"/>
    <w:unhideWhenUsed/>
    <w:qFormat/>
    <w:pPr>
      <w:spacing w:after="0" w:line="240" w:lineRule="auto"/>
    </w:pPr>
    <w:rPr>
      <w:rFonts w:ascii="Times New Roman" w:eastAsia="Times New Roman" w:hAnsi="Times New Roman" w:cs="Times New Roman"/>
      <w:sz w:val="20"/>
      <w:szCs w:val="20"/>
      <w:lang w:val="pt-BR"/>
    </w:rPr>
  </w:style>
  <w:style w:type="paragraph" w:styleId="TableofFigures">
    <w:name w:val="table of figures"/>
    <w:basedOn w:val="Normal"/>
    <w:next w:val="Normal"/>
    <w:uiPriority w:val="99"/>
    <w:unhideWhenUsed/>
    <w:qFormat/>
    <w:pPr>
      <w:spacing w:after="0"/>
      <w:ind w:left="440" w:hanging="440"/>
    </w:pPr>
    <w:rPr>
      <w:rFonts w:hAnsi="SimSun" w:cs="SimSun"/>
      <w:caps/>
      <w:sz w:val="20"/>
      <w:szCs w:val="20"/>
    </w:rPr>
  </w:style>
  <w:style w:type="paragraph" w:styleId="TOC2">
    <w:name w:val="toc 2"/>
    <w:basedOn w:val="Normal"/>
    <w:next w:val="Normal"/>
    <w:uiPriority w:val="39"/>
    <w:unhideWhenUsed/>
    <w:qFormat/>
    <w:pPr>
      <w:spacing w:after="100"/>
      <w:ind w:left="220"/>
    </w:pPr>
  </w:style>
  <w:style w:type="paragraph" w:styleId="NormalWeb">
    <w:name w:val="Normal (Web)"/>
    <w:basedOn w:val="Normal"/>
    <w:uiPriority w:val="99"/>
    <w:unhideWhenUsed/>
    <w:qFormat/>
    <w:pPr>
      <w:spacing w:before="100" w:beforeAutospacing="1" w:after="100" w:afterAutospacing="1" w:line="240" w:lineRule="auto"/>
    </w:pPr>
    <w:rPr>
      <w:rFonts w:ascii="Times New Roman" w:eastAsia="Times New Roman" w:hAnsi="Times New Roman" w:cs="Times New Roman"/>
      <w:sz w:val="24"/>
      <w:szCs w:val="24"/>
      <w:lang w:eastAsia="en-US"/>
    </w:rPr>
  </w:style>
  <w:style w:type="paragraph" w:styleId="Title">
    <w:name w:val="Title"/>
    <w:basedOn w:val="Normal"/>
    <w:next w:val="Normal"/>
    <w:uiPriority w:val="10"/>
    <w:qFormat/>
    <w:pPr>
      <w:keepNext/>
      <w:keepLines/>
      <w:spacing w:before="480" w:after="120"/>
    </w:pPr>
    <w:rPr>
      <w:b/>
      <w:sz w:val="72"/>
      <w:szCs w:val="72"/>
    </w:rPr>
  </w:style>
  <w:style w:type="paragraph" w:styleId="CommentSubject">
    <w:name w:val="annotation subject"/>
    <w:basedOn w:val="CommentText"/>
    <w:next w:val="CommentText"/>
    <w:link w:val="CommentSubjectChar"/>
    <w:uiPriority w:val="99"/>
    <w:semiHidden/>
    <w:unhideWhenUsed/>
    <w:qFormat/>
    <w:rPr>
      <w:rFonts w:eastAsia="Calibri"/>
      <w:b/>
      <w:bCs/>
      <w:lang w:val="en-GB" w:eastAsia="zh-CN"/>
    </w:rPr>
  </w:style>
  <w:style w:type="table" w:styleId="TableGrid">
    <w:name w:val="Table Grid"/>
    <w:basedOn w:val="TableNormal"/>
    <w:uiPriority w:val="39"/>
    <w:qFormat/>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Accent1">
    <w:name w:val="Light List Accent 1"/>
    <w:basedOn w:val="TableNormal"/>
    <w:uiPriority w:val="61"/>
    <w:qFormat/>
    <w:pPr>
      <w:spacing w:after="0" w:line="240" w:lineRule="auto"/>
    </w:pPr>
    <w:rPr>
      <w:rFonts w:ascii="Times New Roman" w:eastAsia="Times New Roman" w:hAnsi="Times New Roman" w:cs="Times New Roman"/>
      <w:sz w:val="24"/>
      <w:szCs w:val="24"/>
      <w:lang w:eastAsia="en-US"/>
    </w:rPr>
    <w:tblPr>
      <w:tblBorders>
        <w:top w:val="single" w:sz="8" w:space="0" w:color="4472C4" w:themeColor="accent1"/>
        <w:left w:val="single" w:sz="8" w:space="0" w:color="4472C4" w:themeColor="accent1"/>
        <w:bottom w:val="single" w:sz="8" w:space="0" w:color="4472C4" w:themeColor="accent1"/>
        <w:right w:val="single" w:sz="8" w:space="0" w:color="4472C4" w:themeColor="accent1"/>
      </w:tblBorders>
    </w:tblPr>
    <w:tblStylePr w:type="firstRow">
      <w:pPr>
        <w:spacing w:before="0" w:after="0" w:line="240" w:lineRule="auto"/>
      </w:pPr>
      <w:rPr>
        <w:b/>
        <w:bCs/>
        <w:color w:val="FFFFFF" w:themeColor="background1"/>
      </w:rPr>
      <w:tblPr/>
      <w:tcPr>
        <w:shd w:val="clear" w:color="auto" w:fill="4472C4" w:themeFill="accent1"/>
      </w:tcPr>
    </w:tblStylePr>
    <w:tblStylePr w:type="lastRow">
      <w:pPr>
        <w:spacing w:before="0" w:after="0" w:line="240" w:lineRule="auto"/>
      </w:pPr>
      <w:rPr>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tcBorders>
      </w:tcPr>
    </w:tblStylePr>
    <w:tblStylePr w:type="firstCol">
      <w:rPr>
        <w:b/>
        <w:bCs/>
      </w:rPr>
    </w:tblStylePr>
    <w:tblStylePr w:type="lastCol">
      <w:rPr>
        <w:b/>
        <w:bCs/>
      </w:r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style>
  <w:style w:type="character" w:styleId="Strong">
    <w:name w:val="Strong"/>
    <w:basedOn w:val="DefaultParagraphFont"/>
    <w:uiPriority w:val="22"/>
    <w:qFormat/>
    <w:rPr>
      <w:b/>
      <w:bCs/>
    </w:rPr>
  </w:style>
  <w:style w:type="character" w:styleId="FollowedHyperlink">
    <w:name w:val="FollowedHyperlink"/>
    <w:basedOn w:val="DefaultParagraphFont"/>
    <w:uiPriority w:val="99"/>
    <w:semiHidden/>
    <w:unhideWhenUsed/>
    <w:qFormat/>
    <w:rPr>
      <w:color w:val="954F72" w:themeColor="followedHyperlink"/>
      <w:u w:val="single"/>
    </w:rPr>
  </w:style>
  <w:style w:type="character" w:styleId="Hyperlink">
    <w:name w:val="Hyperlink"/>
    <w:basedOn w:val="DefaultParagraphFont"/>
    <w:uiPriority w:val="99"/>
    <w:unhideWhenUsed/>
    <w:qFormat/>
    <w:rPr>
      <w:color w:val="0000FF"/>
      <w:u w:val="single"/>
    </w:rPr>
  </w:style>
  <w:style w:type="character" w:styleId="CommentReference">
    <w:name w:val="annotation reference"/>
    <w:basedOn w:val="DefaultParagraphFont"/>
    <w:uiPriority w:val="99"/>
    <w:semiHidden/>
    <w:unhideWhenUsed/>
    <w:qFormat/>
    <w:rPr>
      <w:sz w:val="16"/>
      <w:szCs w:val="16"/>
    </w:rPr>
  </w:style>
  <w:style w:type="character" w:styleId="FootnoteReference">
    <w:name w:val="footnote reference"/>
    <w:basedOn w:val="DefaultParagraphFont"/>
    <w:uiPriority w:val="99"/>
    <w:unhideWhenUsed/>
    <w:qFormat/>
    <w:rPr>
      <w:vertAlign w:val="superscript"/>
    </w:rPr>
  </w:style>
  <w:style w:type="table" w:customStyle="1" w:styleId="TableNormal1">
    <w:name w:val="Table Normal1"/>
    <w:qFormat/>
    <w:tblPr>
      <w:tblCellMar>
        <w:top w:w="0" w:type="dxa"/>
        <w:left w:w="0" w:type="dxa"/>
        <w:bottom w:w="0" w:type="dxa"/>
        <w:right w:w="0" w:type="dxa"/>
      </w:tblCellMar>
    </w:tblPr>
  </w:style>
  <w:style w:type="table" w:customStyle="1" w:styleId="TableNormal2">
    <w:name w:val="Table Normal2"/>
    <w:qFormat/>
    <w:tblPr>
      <w:tblCellMar>
        <w:top w:w="0" w:type="dxa"/>
        <w:left w:w="0" w:type="dxa"/>
        <w:bottom w:w="0" w:type="dxa"/>
        <w:right w:w="0" w:type="dxa"/>
      </w:tblCellMar>
    </w:tblPr>
  </w:style>
  <w:style w:type="paragraph" w:styleId="ListParagraph">
    <w:name w:val="List Paragraph"/>
    <w:basedOn w:val="Normal"/>
    <w:link w:val="ListParagraphChar"/>
    <w:uiPriority w:val="34"/>
    <w:qFormat/>
    <w:rsid w:val="00071ACF"/>
    <w:pPr>
      <w:overflowPunct w:val="0"/>
      <w:spacing w:afterLines="50" w:after="50" w:line="340" w:lineRule="atLeast"/>
      <w:jc w:val="both"/>
    </w:pPr>
  </w:style>
  <w:style w:type="paragraph" w:customStyle="1" w:styleId="lead">
    <w:name w:val="lead"/>
    <w:basedOn w:val="Normal"/>
    <w:qFormat/>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1Char">
    <w:name w:val="Heading 1 Char"/>
    <w:basedOn w:val="DefaultParagraphFont"/>
    <w:link w:val="Heading1"/>
    <w:uiPriority w:val="9"/>
    <w:qFormat/>
    <w:rsid w:val="004F6F82"/>
    <w:rPr>
      <w:rFonts w:ascii="SimHei" w:eastAsia="SimHei" w:hAnsi="SimSun" w:cs="SimSun"/>
      <w:color w:val="2F5496" w:themeColor="accent1" w:themeShade="BF"/>
      <w:sz w:val="32"/>
      <w:szCs w:val="32"/>
    </w:rPr>
  </w:style>
  <w:style w:type="paragraph" w:customStyle="1" w:styleId="TOCHeading1">
    <w:name w:val="TOC Heading1"/>
    <w:basedOn w:val="Heading1"/>
    <w:next w:val="Normal"/>
    <w:uiPriority w:val="39"/>
    <w:unhideWhenUsed/>
    <w:qFormat/>
    <w:pPr>
      <w:outlineLvl w:val="9"/>
    </w:pPr>
    <w:rPr>
      <w:lang w:eastAsia="en-US"/>
    </w:rPr>
  </w:style>
  <w:style w:type="character" w:customStyle="1" w:styleId="HeaderChar">
    <w:name w:val="Header Char"/>
    <w:basedOn w:val="DefaultParagraphFont"/>
    <w:link w:val="Header"/>
    <w:uiPriority w:val="99"/>
    <w:qFormat/>
    <w:rPr>
      <w:lang w:val="en-GB"/>
    </w:rPr>
  </w:style>
  <w:style w:type="character" w:customStyle="1" w:styleId="FooterChar">
    <w:name w:val="Footer Char"/>
    <w:basedOn w:val="DefaultParagraphFont"/>
    <w:link w:val="Footer"/>
    <w:uiPriority w:val="99"/>
    <w:qFormat/>
    <w:rPr>
      <w:lang w:val="en-GB"/>
    </w:rPr>
  </w:style>
  <w:style w:type="character" w:customStyle="1" w:styleId="Heading2Char">
    <w:name w:val="Heading 2 Char"/>
    <w:basedOn w:val="DefaultParagraphFont"/>
    <w:link w:val="Heading2"/>
    <w:uiPriority w:val="9"/>
    <w:qFormat/>
    <w:rsid w:val="00D51005"/>
    <w:rPr>
      <w:rFonts w:hAnsi="SimSun" w:cs="SimSun"/>
      <w:b/>
      <w:color w:val="2F5496" w:themeColor="accent1" w:themeShade="BF"/>
      <w:szCs w:val="26"/>
    </w:rPr>
  </w:style>
  <w:style w:type="character" w:customStyle="1" w:styleId="Heading3Char">
    <w:name w:val="Heading 3 Char"/>
    <w:basedOn w:val="DefaultParagraphFont"/>
    <w:link w:val="Heading3"/>
    <w:uiPriority w:val="9"/>
    <w:semiHidden/>
    <w:qFormat/>
    <w:rPr>
      <w:rFonts w:ascii="SimSun" w:eastAsia="SimSun" w:hAnsi="SimSun" w:cs="SimSun"/>
      <w:color w:val="1F3864" w:themeColor="accent1" w:themeShade="80"/>
      <w:sz w:val="24"/>
      <w:szCs w:val="24"/>
      <w:lang w:val="en-GB"/>
    </w:rPr>
  </w:style>
  <w:style w:type="character" w:customStyle="1" w:styleId="CommentTextChar">
    <w:name w:val="Comment Text Char"/>
    <w:basedOn w:val="DefaultParagraphFont"/>
    <w:link w:val="CommentText"/>
    <w:uiPriority w:val="99"/>
    <w:qFormat/>
    <w:rPr>
      <w:rFonts w:eastAsia="SimSun"/>
      <w:kern w:val="0"/>
      <w:sz w:val="20"/>
      <w:szCs w:val="20"/>
      <w:lang w:val="pt-BR" w:eastAsia="en-US"/>
    </w:rPr>
  </w:style>
  <w:style w:type="paragraph" w:customStyle="1" w:styleId="EstiloRelatrio-TextoCorrido">
    <w:name w:val="Estilo Relatório - Texto Corrido"/>
    <w:basedOn w:val="Normal"/>
    <w:link w:val="EstiloRelatrio-TextoCorridoChar"/>
    <w:qFormat/>
    <w:pPr>
      <w:spacing w:before="240" w:after="240"/>
      <w:jc w:val="both"/>
    </w:pPr>
    <w:rPr>
      <w:lang w:eastAsia="en-US"/>
    </w:rPr>
  </w:style>
  <w:style w:type="character" w:customStyle="1" w:styleId="EstiloRelatrio-TextoCorridoChar">
    <w:name w:val="Estilo Relatório - Texto Corrido Char"/>
    <w:basedOn w:val="DefaultParagraphFont"/>
    <w:link w:val="EstiloRelatrio-TextoCorrido"/>
    <w:qFormat/>
    <w:rPr>
      <w:rFonts w:eastAsia="SimSun"/>
      <w:kern w:val="0"/>
      <w:lang w:val="en-GB" w:eastAsia="en-US"/>
    </w:rPr>
  </w:style>
  <w:style w:type="table" w:customStyle="1" w:styleId="GridTable4-Accent11">
    <w:name w:val="Grid Table 4 - Accent 11"/>
    <w:basedOn w:val="TableNormal"/>
    <w:uiPriority w:val="49"/>
    <w:qFormat/>
    <w:pPr>
      <w:spacing w:after="0" w:line="240" w:lineRule="auto"/>
    </w:pPr>
    <w:rPr>
      <w:lang w:val="pt-BR" w:eastAsia="en-US"/>
    </w:rPr>
    <w:tblPr>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FootnoteTextChar">
    <w:name w:val="Footnote Text Char"/>
    <w:basedOn w:val="DefaultParagraphFont"/>
    <w:link w:val="FootnoteText"/>
    <w:uiPriority w:val="99"/>
    <w:qFormat/>
    <w:rPr>
      <w:rFonts w:ascii="Times New Roman" w:eastAsia="Times New Roman" w:hAnsi="Times New Roman" w:cs="Times New Roman"/>
      <w:kern w:val="0"/>
      <w:sz w:val="20"/>
      <w:szCs w:val="20"/>
      <w:lang w:val="pt-BR" w:eastAsia="pt-BR"/>
    </w:rPr>
  </w:style>
  <w:style w:type="character" w:customStyle="1" w:styleId="ListParagraphChar">
    <w:name w:val="List Paragraph Char"/>
    <w:link w:val="ListParagraph"/>
    <w:uiPriority w:val="34"/>
    <w:qFormat/>
    <w:locked/>
    <w:rsid w:val="00071ACF"/>
  </w:style>
  <w:style w:type="table" w:customStyle="1" w:styleId="GridTable6Colorful-Accent11">
    <w:name w:val="Grid Table 6 Colorful - Accent 11"/>
    <w:basedOn w:val="TableNormal"/>
    <w:uiPriority w:val="51"/>
    <w:qFormat/>
    <w:pPr>
      <w:spacing w:after="0" w:line="240" w:lineRule="auto"/>
    </w:pPr>
    <w:rPr>
      <w:color w:val="2F5496" w:themeColor="accent1" w:themeShade="BF"/>
      <w:lang w:val="pt-BR" w:eastAsia="en-US"/>
    </w:rPr>
    <w:tblPr>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cf01">
    <w:name w:val="cf01"/>
    <w:basedOn w:val="DefaultParagraphFont"/>
    <w:qFormat/>
    <w:rPr>
      <w:rFonts w:ascii="Segoe UI" w:hAnsi="Segoe UI" w:cs="Segoe UI" w:hint="default"/>
      <w:sz w:val="18"/>
      <w:szCs w:val="18"/>
    </w:rPr>
  </w:style>
  <w:style w:type="table" w:customStyle="1" w:styleId="GridTable4-Accent51">
    <w:name w:val="Grid Table 4 - Accent 51"/>
    <w:basedOn w:val="TableNormal"/>
    <w:uiPriority w:val="49"/>
    <w:qFormat/>
    <w:pPr>
      <w:spacing w:after="0" w:line="240" w:lineRule="auto"/>
    </w:pPr>
    <w:tblPr>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customStyle="1" w:styleId="GridTable5Dark-Accent11">
    <w:name w:val="Grid Table 5 Dark - Accent 11"/>
    <w:basedOn w:val="TableNormal"/>
    <w:uiPriority w:val="50"/>
    <w:qFormat/>
    <w:pPr>
      <w:spacing w:after="0" w:line="240" w:lineRule="auto"/>
    </w:p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paragraph" w:customStyle="1" w:styleId="Revision1">
    <w:name w:val="Revision1"/>
    <w:hidden/>
    <w:uiPriority w:val="99"/>
    <w:semiHidden/>
    <w:qFormat/>
    <w:pPr>
      <w:spacing w:after="0" w:line="240" w:lineRule="auto"/>
    </w:pPr>
    <w:rPr>
      <w:rFonts w:ascii="Calibri"/>
      <w:lang w:val="en-GB"/>
    </w:rPr>
  </w:style>
  <w:style w:type="table" w:customStyle="1" w:styleId="23">
    <w:name w:val="23"/>
    <w:basedOn w:val="TableNormal"/>
    <w:qFormat/>
    <w:tblPr>
      <w:tblCellMar>
        <w:top w:w="100" w:type="dxa"/>
        <w:left w:w="100" w:type="dxa"/>
        <w:bottom w:w="100" w:type="dxa"/>
        <w:right w:w="100" w:type="dxa"/>
      </w:tblCellMar>
    </w:tblPr>
  </w:style>
  <w:style w:type="table" w:customStyle="1" w:styleId="22">
    <w:name w:val="22"/>
    <w:basedOn w:val="TableNormal"/>
    <w:qFormat/>
    <w:pPr>
      <w:spacing w:after="0" w:line="240" w:lineRule="auto"/>
    </w:pPr>
    <w:rPr>
      <w:color w:val="2F5496"/>
    </w:rPr>
    <w:tblPr>
      <w:tblCellMar>
        <w:left w:w="115" w:type="dxa"/>
        <w:right w:w="115" w:type="dxa"/>
      </w:tblCellMar>
    </w:tblPr>
    <w:tcPr>
      <w:shd w:val="clear" w:color="auto" w:fill="D9E2F3"/>
    </w:tcPr>
    <w:tblStylePr w:type="firstRow">
      <w:rPr>
        <w:b/>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rPr>
      <w:tblPr/>
      <w:tcPr>
        <w:tcBorders>
          <w:top w:val="single" w:sz="4" w:space="0" w:color="4472C4"/>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21">
    <w:name w:val="21"/>
    <w:basedOn w:val="TableNormal"/>
    <w:qFormat/>
    <w:pPr>
      <w:spacing w:after="0" w:line="240" w:lineRule="auto"/>
    </w:pPr>
    <w:rPr>
      <w:color w:val="2F5496"/>
    </w:rPr>
    <w:tblPr>
      <w:tblCellMar>
        <w:left w:w="115" w:type="dxa"/>
        <w:right w:w="115" w:type="dxa"/>
      </w:tblCellMar>
    </w:tblPr>
    <w:tcPr>
      <w:shd w:val="clear" w:color="auto" w:fill="D9E2F3"/>
    </w:tcPr>
    <w:tblStylePr w:type="firstRow">
      <w:rPr>
        <w:b/>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20">
    <w:name w:val="20"/>
    <w:basedOn w:val="TableNormal"/>
    <w:qFormat/>
    <w:pPr>
      <w:spacing w:after="0" w:line="240" w:lineRule="auto"/>
    </w:pPr>
    <w:rPr>
      <w:color w:val="2F5496"/>
    </w:rPr>
    <w:tblPr>
      <w:tblCellMar>
        <w:left w:w="115" w:type="dxa"/>
        <w:right w:w="115" w:type="dxa"/>
      </w:tblCellMar>
    </w:tblPr>
    <w:tcPr>
      <w:shd w:val="clear" w:color="auto" w:fill="D9E2F3"/>
    </w:tcPr>
    <w:tblStylePr w:type="firstRow">
      <w:rPr>
        <w:b/>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rPr>
      <w:tblPr/>
      <w:tcPr>
        <w:tcBorders>
          <w:top w:val="single" w:sz="4" w:space="0" w:color="4472C4"/>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character" w:customStyle="1" w:styleId="UnresolvedMention1">
    <w:name w:val="Unresolved Mention1"/>
    <w:basedOn w:val="DefaultParagraphFont"/>
    <w:uiPriority w:val="99"/>
    <w:semiHidden/>
    <w:unhideWhenUsed/>
    <w:qFormat/>
    <w:rPr>
      <w:color w:val="605E5C"/>
      <w:shd w:val="clear" w:color="auto" w:fill="E1DFDD"/>
    </w:rPr>
  </w:style>
  <w:style w:type="table" w:customStyle="1" w:styleId="19">
    <w:name w:val="19"/>
    <w:basedOn w:val="TableNormal2"/>
    <w:qFormat/>
    <w:pPr>
      <w:spacing w:after="0" w:line="240" w:lineRule="auto"/>
    </w:pPr>
    <w:rPr>
      <w:color w:val="2F5496"/>
    </w:rPr>
    <w:tblPr>
      <w:tblCellMar>
        <w:left w:w="115" w:type="dxa"/>
        <w:right w:w="115" w:type="dxa"/>
      </w:tblCellMar>
    </w:tblPr>
    <w:tcPr>
      <w:shd w:val="clear" w:color="auto" w:fill="D9E2F3"/>
    </w:tcPr>
  </w:style>
  <w:style w:type="table" w:customStyle="1" w:styleId="18">
    <w:name w:val="18"/>
    <w:basedOn w:val="TableNormal2"/>
    <w:qFormat/>
    <w:pPr>
      <w:spacing w:after="0" w:line="240" w:lineRule="auto"/>
    </w:pPr>
    <w:rPr>
      <w:color w:val="2F5496"/>
    </w:rPr>
    <w:tblPr>
      <w:tblCellMar>
        <w:left w:w="115" w:type="dxa"/>
        <w:right w:w="115" w:type="dxa"/>
      </w:tblCellMar>
    </w:tblPr>
    <w:tcPr>
      <w:shd w:val="clear" w:color="auto" w:fill="D9E2F3"/>
    </w:tcPr>
    <w:tblStylePr w:type="firstRow">
      <w:rPr>
        <w:b/>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rPr>
      <w:tblPr/>
      <w:tcPr>
        <w:tcBorders>
          <w:top w:val="single" w:sz="4" w:space="0" w:color="4472C4"/>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17">
    <w:name w:val="17"/>
    <w:basedOn w:val="TableNormal2"/>
    <w:qFormat/>
    <w:pPr>
      <w:spacing w:after="0" w:line="240" w:lineRule="auto"/>
    </w:pPr>
    <w:rPr>
      <w:color w:val="2F5496"/>
    </w:rPr>
    <w:tblPr>
      <w:tblCellMar>
        <w:left w:w="115" w:type="dxa"/>
        <w:right w:w="115" w:type="dxa"/>
      </w:tblCellMar>
    </w:tblPr>
    <w:tcPr>
      <w:shd w:val="clear" w:color="auto" w:fill="D9E2F3"/>
    </w:tcPr>
    <w:tblStylePr w:type="firstRow">
      <w:rPr>
        <w:b/>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16">
    <w:name w:val="16"/>
    <w:basedOn w:val="TableNormal2"/>
    <w:qFormat/>
    <w:pPr>
      <w:spacing w:after="0" w:line="240" w:lineRule="auto"/>
    </w:pPr>
    <w:rPr>
      <w:color w:val="2F5496"/>
    </w:rPr>
    <w:tblPr>
      <w:tblCellMar>
        <w:left w:w="115" w:type="dxa"/>
        <w:right w:w="115" w:type="dxa"/>
      </w:tblCellMar>
    </w:tblPr>
    <w:tcPr>
      <w:shd w:val="clear" w:color="auto" w:fill="D9E2F3"/>
    </w:tcPr>
    <w:tblStylePr w:type="firstRow">
      <w:rPr>
        <w:b/>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rPr>
      <w:tblPr/>
      <w:tcPr>
        <w:tcBorders>
          <w:top w:val="single" w:sz="4" w:space="0" w:color="4472C4"/>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15">
    <w:name w:val="15"/>
    <w:basedOn w:val="TableNormal2"/>
    <w:qFormat/>
    <w:pPr>
      <w:spacing w:after="0" w:line="240" w:lineRule="auto"/>
    </w:pPr>
    <w:rPr>
      <w:color w:val="2F5496"/>
    </w:rPr>
    <w:tblPr>
      <w:tblCellMar>
        <w:left w:w="115" w:type="dxa"/>
        <w:right w:w="115" w:type="dxa"/>
      </w:tblCellMar>
    </w:tblPr>
    <w:tcPr>
      <w:shd w:val="clear" w:color="auto" w:fill="D9E2F3"/>
    </w:tcPr>
    <w:tblStylePr w:type="firstRow">
      <w:rPr>
        <w:b/>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14">
    <w:name w:val="14"/>
    <w:basedOn w:val="TableNormal2"/>
    <w:qFormat/>
    <w:pPr>
      <w:spacing w:after="0" w:line="240" w:lineRule="auto"/>
    </w:pPr>
    <w:rPr>
      <w:color w:val="2F5496"/>
    </w:rPr>
    <w:tblPr>
      <w:tblCellMar>
        <w:left w:w="115" w:type="dxa"/>
        <w:right w:w="115" w:type="dxa"/>
      </w:tblCellMar>
    </w:tblPr>
    <w:tcPr>
      <w:shd w:val="clear" w:color="auto" w:fill="D9E2F3"/>
    </w:tcPr>
    <w:tblStylePr w:type="firstRow">
      <w:rPr>
        <w:b/>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rPr>
      <w:tblPr/>
      <w:tcPr>
        <w:tcBorders>
          <w:top w:val="single" w:sz="4" w:space="0" w:color="5B9BD5"/>
        </w:tcBorders>
      </w:tc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paragraph" w:styleId="NoSpacing">
    <w:name w:val="No Spacing"/>
    <w:link w:val="NoSpacingChar"/>
    <w:uiPriority w:val="1"/>
    <w:qFormat/>
    <w:pPr>
      <w:spacing w:after="0" w:line="240" w:lineRule="auto"/>
    </w:pPr>
    <w:rPr>
      <w:rFonts w:hAnsi="SimSun" w:cs="SimSun"/>
      <w:lang w:val="pt-BR" w:eastAsia="en-US"/>
    </w:rPr>
  </w:style>
  <w:style w:type="table" w:customStyle="1" w:styleId="TabeladeGrade5Escura-nfase51">
    <w:name w:val="Tabela de Grade 5 Escura - Ênfase 51"/>
    <w:basedOn w:val="TableNormal"/>
    <w:uiPriority w:val="50"/>
    <w:qFormat/>
    <w:pPr>
      <w:spacing w:after="0" w:line="240" w:lineRule="auto"/>
    </w:pPr>
    <w:rPr>
      <w:rFonts w:hAnsi="SimSun" w:cs="SimSun"/>
      <w:lang w:val="pt-BR" w:eastAsia="en-US"/>
    </w:r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character" w:customStyle="1" w:styleId="NoSpacingChar">
    <w:name w:val="No Spacing Char"/>
    <w:basedOn w:val="DefaultParagraphFont"/>
    <w:link w:val="NoSpacing"/>
    <w:uiPriority w:val="1"/>
    <w:qFormat/>
    <w:rPr>
      <w:rFonts w:ascii="SimSun" w:eastAsia="SimSun" w:hAnsi="SimSun" w:cs="SimSun"/>
      <w:lang w:val="pt-BR" w:eastAsia="en-US"/>
    </w:rPr>
  </w:style>
  <w:style w:type="table" w:customStyle="1" w:styleId="GridTable5Dark-Accent51">
    <w:name w:val="Grid Table 5 Dark - Accent 51"/>
    <w:basedOn w:val="TableNormal"/>
    <w:uiPriority w:val="50"/>
    <w:qFormat/>
    <w:pPr>
      <w:spacing w:after="0" w:line="240" w:lineRule="auto"/>
    </w:p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customStyle="1" w:styleId="TABLEREGULAR">
    <w:name w:val="TABLE REGULAR"/>
    <w:basedOn w:val="Normal"/>
    <w:uiPriority w:val="99"/>
    <w:qFormat/>
    <w:pPr>
      <w:widowControl w:val="0"/>
      <w:autoSpaceDE w:val="0"/>
      <w:autoSpaceDN w:val="0"/>
      <w:adjustRightInd w:val="0"/>
      <w:spacing w:after="0" w:line="220" w:lineRule="atLeast"/>
    </w:pPr>
    <w:rPr>
      <w:rFonts w:ascii="Arial" w:eastAsia="Times New Roman" w:hAnsi="Arial" w:cs="Arial"/>
      <w:color w:val="000000"/>
      <w:spacing w:val="-2"/>
      <w:sz w:val="18"/>
      <w:szCs w:val="18"/>
      <w:lang w:eastAsia="en-US"/>
    </w:rPr>
  </w:style>
  <w:style w:type="paragraph" w:customStyle="1" w:styleId="TABLEBOLD">
    <w:name w:val="TABLE BOLD"/>
    <w:basedOn w:val="Normal"/>
    <w:uiPriority w:val="99"/>
    <w:qFormat/>
    <w:pPr>
      <w:widowControl w:val="0"/>
      <w:autoSpaceDE w:val="0"/>
      <w:autoSpaceDN w:val="0"/>
      <w:adjustRightInd w:val="0"/>
      <w:spacing w:after="0" w:line="200" w:lineRule="atLeast"/>
    </w:pPr>
    <w:rPr>
      <w:rFonts w:ascii="Arial" w:eastAsia="Times New Roman" w:hAnsi="Arial" w:cs="Arial"/>
      <w:b/>
      <w:bCs/>
      <w:color w:val="000000"/>
      <w:sz w:val="18"/>
      <w:szCs w:val="18"/>
      <w:lang w:eastAsia="en-US"/>
    </w:rPr>
  </w:style>
  <w:style w:type="paragraph" w:customStyle="1" w:styleId="TABLETOP">
    <w:name w:val="TABLE TOP"/>
    <w:basedOn w:val="Normal"/>
    <w:uiPriority w:val="99"/>
    <w:qFormat/>
    <w:pPr>
      <w:widowControl w:val="0"/>
      <w:autoSpaceDE w:val="0"/>
      <w:autoSpaceDN w:val="0"/>
      <w:adjustRightInd w:val="0"/>
      <w:spacing w:after="0" w:line="200" w:lineRule="atLeast"/>
    </w:pPr>
    <w:rPr>
      <w:rFonts w:ascii="Arial" w:eastAsia="Times New Roman" w:hAnsi="Arial" w:cs="Arial"/>
      <w:b/>
      <w:bCs/>
      <w:color w:val="FFFFFF"/>
      <w:sz w:val="18"/>
      <w:szCs w:val="18"/>
      <w:lang w:eastAsia="en-US"/>
    </w:rPr>
  </w:style>
  <w:style w:type="table" w:customStyle="1" w:styleId="13">
    <w:name w:val="13"/>
    <w:basedOn w:val="TableNormal1"/>
    <w:qFormat/>
    <w:pPr>
      <w:spacing w:after="0" w:line="240" w:lineRule="auto"/>
    </w:pPr>
    <w:rPr>
      <w:color w:val="2F5496"/>
    </w:rPr>
    <w:tblPr>
      <w:tblCellMar>
        <w:left w:w="115" w:type="dxa"/>
        <w:right w:w="115" w:type="dxa"/>
      </w:tblCellMar>
    </w:tblPr>
    <w:tcPr>
      <w:shd w:val="clear" w:color="auto" w:fill="DEEBF6"/>
    </w:tcPr>
    <w:tblStylePr w:type="firstRow">
      <w:rPr>
        <w:b/>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7EE"/>
      </w:tcPr>
    </w:tblStylePr>
    <w:tblStylePr w:type="band1Horz">
      <w:tblPr/>
      <w:tcPr>
        <w:shd w:val="clear" w:color="auto" w:fill="BDD7EE"/>
      </w:tcPr>
    </w:tblStylePr>
  </w:style>
  <w:style w:type="table" w:customStyle="1" w:styleId="12">
    <w:name w:val="12"/>
    <w:basedOn w:val="TableNormal1"/>
    <w:qFormat/>
    <w:pPr>
      <w:spacing w:after="0" w:line="240" w:lineRule="auto"/>
    </w:pPr>
    <w:rPr>
      <w:color w:val="2F5496"/>
    </w:rPr>
    <w:tblPr>
      <w:tblCellMar>
        <w:left w:w="115" w:type="dxa"/>
        <w:right w:w="115" w:type="dxa"/>
      </w:tblCellMar>
    </w:tblPr>
    <w:tcPr>
      <w:shd w:val="clear" w:color="auto" w:fill="D9E2F3"/>
    </w:tcPr>
    <w:tblStylePr w:type="firstRow">
      <w:rPr>
        <w:b/>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rPr>
      <w:tblPr/>
      <w:tcPr>
        <w:tcBorders>
          <w:top w:val="single" w:sz="4" w:space="0" w:color="4472C4"/>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11">
    <w:name w:val="11"/>
    <w:basedOn w:val="TableNormal1"/>
    <w:qFormat/>
    <w:pPr>
      <w:spacing w:after="0" w:line="240" w:lineRule="auto"/>
    </w:pPr>
    <w:rPr>
      <w:color w:val="2F5496"/>
    </w:rPr>
    <w:tblPr>
      <w:tblCellMar>
        <w:left w:w="115" w:type="dxa"/>
        <w:right w:w="115" w:type="dxa"/>
      </w:tblCellMar>
    </w:tblPr>
    <w:tcPr>
      <w:shd w:val="clear" w:color="auto" w:fill="D9E2F3"/>
    </w:tcPr>
    <w:tblStylePr w:type="firstRow">
      <w:rPr>
        <w:b/>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10">
    <w:name w:val="10"/>
    <w:basedOn w:val="TableNormal1"/>
    <w:qFormat/>
    <w:pPr>
      <w:spacing w:after="0" w:line="240" w:lineRule="auto"/>
    </w:pPr>
    <w:rPr>
      <w:color w:val="2F5496"/>
    </w:rPr>
    <w:tblPr>
      <w:tblCellMar>
        <w:left w:w="115" w:type="dxa"/>
        <w:right w:w="115" w:type="dxa"/>
      </w:tblCellMar>
    </w:tblPr>
    <w:tcPr>
      <w:shd w:val="clear" w:color="auto" w:fill="D9E2F3"/>
    </w:tcPr>
    <w:tblStylePr w:type="firstRow">
      <w:rPr>
        <w:b/>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rPr>
      <w:tblPr/>
      <w:tcPr>
        <w:tcBorders>
          <w:top w:val="single" w:sz="4" w:space="0" w:color="4472C4"/>
        </w:tcBorders>
      </w:tcPr>
    </w:tblStylePr>
    <w:tblStylePr w:type="firstCol">
      <w:rPr>
        <w:b/>
      </w:rPr>
    </w:tblStylePr>
    <w:tblStylePr w:type="lastCol">
      <w:rPr>
        <w:b/>
      </w:rPr>
    </w:tblStylePr>
    <w:tblStylePr w:type="band1Vert">
      <w:tblPr/>
      <w:tcPr>
        <w:shd w:val="clear" w:color="auto" w:fill="D9E2F3"/>
      </w:tcPr>
    </w:tblStylePr>
    <w:tblStylePr w:type="band1Horz">
      <w:tblPr/>
      <w:tcPr>
        <w:shd w:val="clear" w:color="auto" w:fill="D9E2F3"/>
      </w:tcPr>
    </w:tblStylePr>
  </w:style>
  <w:style w:type="table" w:customStyle="1" w:styleId="9">
    <w:name w:val="9"/>
    <w:basedOn w:val="TableNormal1"/>
    <w:qFormat/>
    <w:pPr>
      <w:spacing w:after="0" w:line="240" w:lineRule="auto"/>
    </w:pPr>
    <w:rPr>
      <w:color w:val="2F5496"/>
    </w:rPr>
    <w:tblPr>
      <w:tblCellMar>
        <w:left w:w="115" w:type="dxa"/>
        <w:right w:w="115" w:type="dxa"/>
      </w:tblCellMar>
    </w:tblPr>
    <w:tcPr>
      <w:shd w:val="clear" w:color="auto" w:fill="DEEBF6"/>
    </w:tcPr>
  </w:style>
  <w:style w:type="table" w:customStyle="1" w:styleId="8">
    <w:name w:val="8"/>
    <w:basedOn w:val="TableNormal1"/>
    <w:qFormat/>
    <w:pPr>
      <w:spacing w:after="0" w:line="240" w:lineRule="auto"/>
    </w:pPr>
    <w:rPr>
      <w:color w:val="2F5496"/>
    </w:rPr>
    <w:tblPr>
      <w:tblCellMar>
        <w:left w:w="115" w:type="dxa"/>
        <w:right w:w="115" w:type="dxa"/>
      </w:tblCellMar>
    </w:tblPr>
    <w:tcPr>
      <w:shd w:val="clear" w:color="auto" w:fill="DEEBF6"/>
    </w:tcPr>
    <w:tblStylePr w:type="firstRow">
      <w:rPr>
        <w:b/>
        <w:color w:val="FFFFFF"/>
      </w:rPr>
      <w:tblPr/>
      <w:tcPr>
        <w:tcBorders>
          <w:top w:val="single" w:sz="4" w:space="0" w:color="FFFFFF"/>
          <w:left w:val="single" w:sz="4" w:space="0" w:color="FFFFFF"/>
          <w:right w:val="single" w:sz="4" w:space="0" w:color="FFFFFF"/>
          <w:insideH w:val="nil"/>
          <w:insideV w:val="nil"/>
        </w:tcBorders>
        <w:shd w:val="clear" w:color="auto" w:fill="5B9BD5"/>
      </w:tcPr>
    </w:tblStylePr>
    <w:tblStylePr w:type="lastRow">
      <w:rPr>
        <w:b/>
        <w:color w:val="FFFFFF"/>
      </w:rPr>
      <w:tblPr/>
      <w:tcPr>
        <w:tcBorders>
          <w:left w:val="single" w:sz="4" w:space="0" w:color="FFFFFF"/>
          <w:bottom w:val="single" w:sz="4" w:space="0" w:color="FFFFFF"/>
          <w:right w:val="single" w:sz="4" w:space="0" w:color="FFFFFF"/>
          <w:insideH w:val="nil"/>
          <w:insideV w:val="nil"/>
        </w:tcBorders>
        <w:shd w:val="clear" w:color="auto" w:fill="5B9BD5"/>
      </w:tcPr>
    </w:tblStylePr>
    <w:tblStylePr w:type="firstCol">
      <w:rPr>
        <w:b/>
        <w:color w:val="FFFFFF"/>
      </w:rPr>
      <w:tblPr/>
      <w:tcPr>
        <w:tcBorders>
          <w:top w:val="single" w:sz="4" w:space="0" w:color="FFFFFF"/>
          <w:left w:val="single" w:sz="4" w:space="0" w:color="FFFFFF"/>
          <w:bottom w:val="single" w:sz="4" w:space="0" w:color="FFFFFF"/>
          <w:insideV w:val="nil"/>
        </w:tcBorders>
        <w:shd w:val="clear" w:color="auto" w:fill="5B9BD5"/>
      </w:tcPr>
    </w:tblStylePr>
    <w:tblStylePr w:type="lastCol">
      <w:rPr>
        <w:b/>
        <w:color w:val="FFFFFF"/>
      </w:rPr>
      <w:tblPr/>
      <w:tcPr>
        <w:tcBorders>
          <w:top w:val="single" w:sz="4" w:space="0" w:color="FFFFFF"/>
          <w:bottom w:val="single" w:sz="4" w:space="0" w:color="FFFFFF"/>
          <w:right w:val="single" w:sz="4" w:space="0" w:color="FFFFFF"/>
          <w:insideV w:val="nil"/>
        </w:tcBorders>
        <w:shd w:val="clear" w:color="auto" w:fill="5B9BD5"/>
      </w:tcPr>
    </w:tblStylePr>
    <w:tblStylePr w:type="band1Vert">
      <w:tblPr/>
      <w:tcPr>
        <w:shd w:val="clear" w:color="auto" w:fill="BDD7EE"/>
      </w:tcPr>
    </w:tblStylePr>
    <w:tblStylePr w:type="band1Horz">
      <w:tblPr/>
      <w:tcPr>
        <w:shd w:val="clear" w:color="auto" w:fill="BDD7EE"/>
      </w:tcPr>
    </w:tblStylePr>
  </w:style>
  <w:style w:type="table" w:customStyle="1" w:styleId="7">
    <w:name w:val="7"/>
    <w:basedOn w:val="TableNormal1"/>
    <w:qFormat/>
    <w:pPr>
      <w:spacing w:after="0" w:line="240" w:lineRule="auto"/>
    </w:pPr>
    <w:rPr>
      <w:color w:val="2F5496"/>
    </w:rPr>
    <w:tblPr>
      <w:tblCellMar>
        <w:left w:w="115" w:type="dxa"/>
        <w:right w:w="115" w:type="dxa"/>
      </w:tblCellMar>
    </w:tblPr>
    <w:tcPr>
      <w:shd w:val="clear" w:color="auto" w:fill="DEEBF6"/>
    </w:tcPr>
    <w:tblStylePr w:type="firstRow">
      <w:rPr>
        <w:b/>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6">
    <w:name w:val="6"/>
    <w:basedOn w:val="TableNormal1"/>
    <w:qFormat/>
    <w:pPr>
      <w:spacing w:after="0" w:line="240" w:lineRule="auto"/>
    </w:pPr>
    <w:rPr>
      <w:color w:val="2F5496"/>
    </w:rPr>
    <w:tblPr>
      <w:tblCellMar>
        <w:left w:w="115" w:type="dxa"/>
        <w:right w:w="115" w:type="dxa"/>
      </w:tblCellMar>
    </w:tblPr>
    <w:tcPr>
      <w:shd w:val="clear" w:color="auto" w:fill="DEEBF6"/>
    </w:tcPr>
    <w:tblStylePr w:type="firstRow">
      <w:rPr>
        <w:b/>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rPr>
      <w:tblPr/>
      <w:tcPr>
        <w:tcBorders>
          <w:top w:val="single" w:sz="4" w:space="0" w:color="5B9BD5"/>
        </w:tcBorders>
      </w:tc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table" w:customStyle="1" w:styleId="5">
    <w:name w:val="5"/>
    <w:basedOn w:val="TableNormal1"/>
    <w:qFormat/>
    <w:pPr>
      <w:spacing w:after="0" w:line="240" w:lineRule="auto"/>
    </w:pPr>
    <w:rPr>
      <w:color w:val="2F5496"/>
    </w:rPr>
    <w:tblPr>
      <w:tblCellMar>
        <w:left w:w="115" w:type="dxa"/>
        <w:right w:w="115" w:type="dxa"/>
      </w:tblCellMar>
    </w:tblPr>
    <w:tcPr>
      <w:shd w:val="clear" w:color="auto" w:fill="DEEBF6"/>
    </w:tcPr>
    <w:tblStylePr w:type="firstRow">
      <w:rPr>
        <w:b/>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rPr>
      <w:tblPr/>
      <w:tcPr>
        <w:tcBorders>
          <w:top w:val="single" w:sz="4" w:space="0" w:color="5B9BD5"/>
        </w:tcBorders>
      </w:tc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table" w:customStyle="1" w:styleId="4">
    <w:name w:val="4"/>
    <w:basedOn w:val="TableNormal1"/>
    <w:qFormat/>
    <w:pPr>
      <w:spacing w:after="0" w:line="240" w:lineRule="auto"/>
    </w:pPr>
    <w:rPr>
      <w:color w:val="2F5496"/>
    </w:rPr>
    <w:tblPr>
      <w:tblCellMar>
        <w:left w:w="115" w:type="dxa"/>
        <w:right w:w="115" w:type="dxa"/>
      </w:tblCellMar>
    </w:tblPr>
    <w:tcPr>
      <w:shd w:val="clear" w:color="auto" w:fill="DEEBF6"/>
    </w:tcPr>
    <w:tblStylePr w:type="firstRow">
      <w:rPr>
        <w:b/>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rPr>
      <w:tblPr/>
      <w:tcPr>
        <w:tcBorders>
          <w:top w:val="single" w:sz="4" w:space="0" w:color="5B9BD5"/>
        </w:tcBorders>
      </w:tc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table" w:customStyle="1" w:styleId="3">
    <w:name w:val="3"/>
    <w:basedOn w:val="TableNormal1"/>
    <w:qFormat/>
    <w:pPr>
      <w:spacing w:after="0" w:line="240" w:lineRule="auto"/>
    </w:pPr>
    <w:rPr>
      <w:color w:val="2F5496"/>
    </w:rPr>
    <w:tblPr>
      <w:tblCellMar>
        <w:left w:w="115" w:type="dxa"/>
        <w:right w:w="115" w:type="dxa"/>
      </w:tblCellMar>
    </w:tblPr>
    <w:tcPr>
      <w:shd w:val="clear" w:color="auto" w:fill="DEEBF6"/>
    </w:tcPr>
    <w:tblStylePr w:type="firstRow">
      <w:rPr>
        <w:b/>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rPr>
      <w:tblPr/>
      <w:tcPr>
        <w:tcBorders>
          <w:top w:val="single" w:sz="4" w:space="0" w:color="5B9BD5"/>
        </w:tcBorders>
      </w:tc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table" w:customStyle="1" w:styleId="2">
    <w:name w:val="2"/>
    <w:basedOn w:val="TableNormal1"/>
    <w:qFormat/>
    <w:pPr>
      <w:spacing w:after="0" w:line="240" w:lineRule="auto"/>
    </w:pPr>
    <w:rPr>
      <w:color w:val="2F5496"/>
    </w:rPr>
    <w:tblPr>
      <w:tblCellMar>
        <w:left w:w="115" w:type="dxa"/>
        <w:right w:w="115" w:type="dxa"/>
      </w:tblCellMar>
    </w:tblPr>
    <w:tcPr>
      <w:shd w:val="clear" w:color="auto" w:fill="D9E2F3"/>
    </w:tcPr>
    <w:tblStylePr w:type="firstRow">
      <w:rPr>
        <w:b/>
        <w:color w:val="FFFFFF"/>
      </w:rPr>
      <w:tblPr/>
      <w:tcPr>
        <w:tcBorders>
          <w:top w:val="single" w:sz="4" w:space="0" w:color="FFFFFF"/>
          <w:left w:val="single" w:sz="4" w:space="0" w:color="FFFFFF"/>
          <w:right w:val="single" w:sz="4" w:space="0" w:color="FFFFFF"/>
          <w:insideH w:val="nil"/>
          <w:insideV w:val="nil"/>
        </w:tcBorders>
        <w:shd w:val="clear" w:color="auto" w:fill="4472C4"/>
      </w:tcPr>
    </w:tblStylePr>
    <w:tblStylePr w:type="lastRow">
      <w:rPr>
        <w:b/>
        <w:color w:val="FFFFFF"/>
      </w:rPr>
      <w:tblPr/>
      <w:tcPr>
        <w:tcBorders>
          <w:left w:val="single" w:sz="4" w:space="0" w:color="FFFFFF"/>
          <w:bottom w:val="single" w:sz="4" w:space="0" w:color="FFFFFF"/>
          <w:right w:val="single" w:sz="4" w:space="0" w:color="FFFFFF"/>
          <w:insideH w:val="nil"/>
          <w:insideV w:val="nil"/>
        </w:tcBorders>
        <w:shd w:val="clear" w:color="auto" w:fill="4472C4"/>
      </w:tcPr>
    </w:tblStylePr>
    <w:tblStylePr w:type="firstCol">
      <w:rPr>
        <w:b/>
        <w:color w:val="FFFFFF"/>
      </w:rPr>
      <w:tblPr/>
      <w:tcPr>
        <w:tcBorders>
          <w:top w:val="single" w:sz="4" w:space="0" w:color="FFFFFF"/>
          <w:left w:val="single" w:sz="4" w:space="0" w:color="FFFFFF"/>
          <w:bottom w:val="single" w:sz="4" w:space="0" w:color="FFFFFF"/>
          <w:insideV w:val="nil"/>
        </w:tcBorders>
        <w:shd w:val="clear" w:color="auto" w:fill="4472C4"/>
      </w:tcPr>
    </w:tblStylePr>
    <w:tblStylePr w:type="lastCol">
      <w:rPr>
        <w:b/>
        <w:color w:val="FFFFFF"/>
      </w:rPr>
      <w:tblPr/>
      <w:tcPr>
        <w:tcBorders>
          <w:top w:val="single" w:sz="4" w:space="0" w:color="FFFFFF"/>
          <w:bottom w:val="single" w:sz="4" w:space="0" w:color="FFFFFF"/>
          <w:right w:val="single" w:sz="4" w:space="0" w:color="FFFFFF"/>
          <w:insideV w:val="nil"/>
        </w:tcBorders>
        <w:shd w:val="clear" w:color="auto" w:fill="4472C4"/>
      </w:tcPr>
    </w:tblStylePr>
    <w:tblStylePr w:type="band1Vert">
      <w:tblPr/>
      <w:tcPr>
        <w:shd w:val="clear" w:color="auto" w:fill="B4C6E7"/>
      </w:tcPr>
    </w:tblStylePr>
    <w:tblStylePr w:type="band1Horz">
      <w:tblPr/>
      <w:tcPr>
        <w:shd w:val="clear" w:color="auto" w:fill="B4C6E7"/>
      </w:tcPr>
    </w:tblStylePr>
  </w:style>
  <w:style w:type="table" w:customStyle="1" w:styleId="1">
    <w:name w:val="1"/>
    <w:basedOn w:val="TableNormal1"/>
    <w:qFormat/>
    <w:pPr>
      <w:spacing w:after="0" w:line="240" w:lineRule="auto"/>
    </w:pPr>
    <w:rPr>
      <w:color w:val="2F5496"/>
    </w:rPr>
    <w:tblPr>
      <w:tblCellMar>
        <w:left w:w="115" w:type="dxa"/>
        <w:right w:w="115" w:type="dxa"/>
      </w:tblCellMar>
    </w:tblPr>
    <w:tcPr>
      <w:shd w:val="clear" w:color="auto" w:fill="D9E2F3"/>
    </w:tcPr>
    <w:tblStylePr w:type="firstRow">
      <w:rPr>
        <w:b/>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rPr>
      <w:tblPr/>
      <w:tcPr>
        <w:tcBorders>
          <w:top w:val="single" w:sz="4" w:space="0" w:color="5B9BD5"/>
        </w:tcBorders>
      </w:tc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character" w:customStyle="1" w:styleId="CommentSubjectChar">
    <w:name w:val="Comment Subject Char"/>
    <w:basedOn w:val="CommentTextChar"/>
    <w:link w:val="CommentSubject"/>
    <w:uiPriority w:val="99"/>
    <w:semiHidden/>
    <w:qFormat/>
    <w:rPr>
      <w:rFonts w:eastAsia="SimSun"/>
      <w:b/>
      <w:bCs/>
      <w:kern w:val="0"/>
      <w:sz w:val="20"/>
      <w:szCs w:val="20"/>
      <w:lang w:val="pt-BR" w:eastAsia="en-US"/>
    </w:rPr>
  </w:style>
  <w:style w:type="paragraph" w:customStyle="1" w:styleId="ONUME">
    <w:name w:val="ONUM E"/>
    <w:basedOn w:val="BodyText"/>
    <w:link w:val="ONUMEChar"/>
    <w:qFormat/>
    <w:pPr>
      <w:numPr>
        <w:numId w:val="1"/>
      </w:numPr>
      <w:spacing w:after="220" w:line="240" w:lineRule="auto"/>
    </w:pPr>
    <w:rPr>
      <w:rFonts w:ascii="Arial" w:hAnsi="Arial" w:cs="Arial"/>
      <w:szCs w:val="24"/>
    </w:rPr>
  </w:style>
  <w:style w:type="character" w:customStyle="1" w:styleId="ONUMEChar">
    <w:name w:val="ONUM E Char"/>
    <w:link w:val="ONUME"/>
    <w:qFormat/>
    <w:rPr>
      <w:rFonts w:ascii="Arial" w:eastAsia="SimSun" w:hAnsi="Arial" w:cs="Arial"/>
      <w:szCs w:val="24"/>
      <w:lang w:val="en-US"/>
    </w:rPr>
  </w:style>
  <w:style w:type="character" w:customStyle="1" w:styleId="BodyTextChar">
    <w:name w:val="Body Text Char"/>
    <w:basedOn w:val="DefaultParagraphFont"/>
    <w:link w:val="BodyText"/>
    <w:uiPriority w:val="99"/>
    <w:semiHidden/>
    <w:qFormat/>
  </w:style>
  <w:style w:type="table" w:customStyle="1" w:styleId="ListTable3-Accent51">
    <w:name w:val="List Table 3 - Accent 51"/>
    <w:basedOn w:val="TableNormal"/>
    <w:uiPriority w:val="48"/>
    <w:qFormat/>
    <w:pPr>
      <w:spacing w:after="0" w:line="240" w:lineRule="auto"/>
    </w:pPr>
    <w:tblPr>
      <w:tblBorders>
        <w:top w:val="single" w:sz="4" w:space="0" w:color="5B9BD5" w:themeColor="accent5"/>
        <w:left w:val="single" w:sz="4" w:space="0" w:color="5B9BD5" w:themeColor="accent5"/>
        <w:bottom w:val="single" w:sz="4" w:space="0" w:color="5B9BD5" w:themeColor="accent5"/>
        <w:right w:val="single" w:sz="4" w:space="0" w:color="5B9BD5" w:themeColor="accent5"/>
      </w:tblBorders>
    </w:tblPr>
    <w:tblStylePr w:type="firstRow">
      <w:rPr>
        <w:b/>
        <w:bCs/>
        <w:color w:val="FFFFFF" w:themeColor="background1"/>
      </w:rPr>
      <w:tblPr/>
      <w:tcPr>
        <w:shd w:val="clear" w:color="auto" w:fill="5B9BD5" w:themeFill="accent5"/>
      </w:tcPr>
    </w:tblStylePr>
    <w:tblStylePr w:type="lastRow">
      <w:rPr>
        <w:b/>
        <w:bCs/>
      </w:rPr>
      <w:tblPr/>
      <w:tcPr>
        <w:tcBorders>
          <w:top w:val="double" w:sz="4" w:space="0" w:color="5B9BD5"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9BD5" w:themeColor="accent5"/>
          <w:right w:val="single" w:sz="4" w:space="0" w:color="5B9BD5" w:themeColor="accent5"/>
        </w:tcBorders>
      </w:tcPr>
    </w:tblStylePr>
    <w:tblStylePr w:type="band1Horz">
      <w:tblPr/>
      <w:tcPr>
        <w:tcBorders>
          <w:top w:val="single" w:sz="4" w:space="0" w:color="5B9BD5" w:themeColor="accent5"/>
          <w:bottom w:val="single" w:sz="4" w:space="0" w:color="5B9BD5"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themeColor="accent5"/>
          <w:left w:val="nil"/>
        </w:tcBorders>
      </w:tcPr>
    </w:tblStylePr>
    <w:tblStylePr w:type="swCell">
      <w:tblPr/>
      <w:tcPr>
        <w:tcBorders>
          <w:top w:val="double" w:sz="4" w:space="0" w:color="5B9BD5" w:themeColor="accent5"/>
          <w:right w:val="nil"/>
        </w:tcBorders>
      </w:tcPr>
    </w:tblStylePr>
  </w:style>
  <w:style w:type="paragraph" w:customStyle="1" w:styleId="Legenda2">
    <w:name w:val="Legenda2"/>
    <w:basedOn w:val="Caption"/>
    <w:link w:val="Legenda2Char"/>
    <w:qFormat/>
    <w:rPr>
      <w:color w:val="2F5496" w:themeColor="accent1" w:themeShade="BF"/>
    </w:rPr>
  </w:style>
  <w:style w:type="character" w:customStyle="1" w:styleId="CaptionChar">
    <w:name w:val="Caption Char"/>
    <w:basedOn w:val="DefaultParagraphFont"/>
    <w:link w:val="Caption"/>
    <w:uiPriority w:val="35"/>
    <w:qFormat/>
    <w:rPr>
      <w:bCs/>
      <w:color w:val="C45911" w:themeColor="accent2" w:themeShade="BF"/>
      <w:lang w:val="pt-BR" w:eastAsia="en-US"/>
    </w:rPr>
  </w:style>
  <w:style w:type="character" w:customStyle="1" w:styleId="Legenda2Char">
    <w:name w:val="Legenda2 Char"/>
    <w:basedOn w:val="CaptionChar"/>
    <w:link w:val="Legenda2"/>
    <w:qFormat/>
    <w:rPr>
      <w:bCs/>
      <w:color w:val="2F5496" w:themeColor="accent1" w:themeShade="BF"/>
      <w:lang w:val="pt-BR" w:eastAsia="en-US"/>
    </w:rPr>
  </w:style>
  <w:style w:type="table" w:customStyle="1" w:styleId="Tabelacomgrade1">
    <w:name w:val="Tabela com grade1"/>
    <w:basedOn w:val="TableNormal"/>
    <w:uiPriority w:val="39"/>
    <w:qFormat/>
    <w:pPr>
      <w:spacing w:after="0" w:line="240" w:lineRule="auto"/>
    </w:pPr>
    <w:rPr>
      <w:rFonts w:ascii="Aptos" w:eastAsia="DengXian" w:hAnsi="Aptos" w:cs="Times New Roman"/>
      <w:kern w:val="2"/>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qFormat/>
    <w:rsid w:val="0052378E"/>
    <w:pPr>
      <w:tabs>
        <w:tab w:val="left" w:pos="567"/>
      </w:tabs>
      <w:overflowPunct w:val="0"/>
      <w:adjustRightInd w:val="0"/>
      <w:spacing w:afterLines="50" w:after="50" w:line="340" w:lineRule="atLeast"/>
      <w:jc w:val="both"/>
    </w:pPr>
    <w:rPr>
      <w:rFonts w:hAnsi="SimSun" w:cs="Times New Roman"/>
      <w:color w:val="000000"/>
      <w:szCs w:val="24"/>
      <w:lang w:eastAsia="ko-KR"/>
    </w:rPr>
  </w:style>
  <w:style w:type="paragraph" w:customStyle="1" w:styleId="Endofdocument">
    <w:name w:val="End of document"/>
    <w:basedOn w:val="Normal"/>
    <w:qFormat/>
    <w:pPr>
      <w:spacing w:after="0" w:line="260" w:lineRule="atLeast"/>
      <w:ind w:left="5534"/>
    </w:pPr>
    <w:rPr>
      <w:rFonts w:ascii="Arial" w:eastAsia="Times New Roman" w:hAnsi="Arial" w:cs="Times New Roman"/>
      <w:szCs w:val="20"/>
      <w:lang w:eastAsia="en-US"/>
    </w:rPr>
  </w:style>
  <w:style w:type="character" w:styleId="UnresolvedMention">
    <w:name w:val="Unresolved Mention"/>
    <w:basedOn w:val="DefaultParagraphFont"/>
    <w:uiPriority w:val="99"/>
    <w:semiHidden/>
    <w:unhideWhenUsed/>
    <w:rsid w:val="005764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hyperlink" Target="https://www.wipo.int/meetings/en/doc_details.jsp?doc_id=630171" TargetMode="External"/><Relationship Id="rId18" Type="http://schemas.microsoft.com/office/2007/relationships/diagramDrawing" Target="diagrams/drawing1.xml"/><Relationship Id="rId26" Type="http://schemas.openxmlformats.org/officeDocument/2006/relationships/hyperlink" Target="https://www.wipo.int/meetings/en/doc_details.jsp?doc_id=630171" TargetMode="External"/><Relationship Id="rId21" Type="http://schemas.openxmlformats.org/officeDocument/2006/relationships/hyperlink" Target="https://dacatalogue.wipo.int/projects" TargetMode="External"/><Relationship Id="rId34" Type="http://schemas.openxmlformats.org/officeDocument/2006/relationships/image" Target="media/image12.emf"/><Relationship Id="rId7" Type="http://schemas.openxmlformats.org/officeDocument/2006/relationships/webSettings" Target="webSettings.xml"/><Relationship Id="rId12" Type="http://schemas.openxmlformats.org/officeDocument/2006/relationships/hyperlink" Target="https://www.wipo.int/meetings/en/doc_details.jsp?doc_id=630171" TargetMode="External"/><Relationship Id="rId17" Type="http://schemas.openxmlformats.org/officeDocument/2006/relationships/diagramColors" Target="diagrams/colors1.xml"/><Relationship Id="rId25" Type="http://schemas.openxmlformats.org/officeDocument/2006/relationships/image" Target="media/image6.emf"/><Relationship Id="rId33" Type="http://schemas.openxmlformats.org/officeDocument/2006/relationships/hyperlink" Target="https://www.wipo.int/pressroom/en/stories/" TargetMode="External"/><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diagramQuickStyle" Target="diagrams/quickStyle1.xml"/><Relationship Id="rId20" Type="http://schemas.openxmlformats.org/officeDocument/2006/relationships/hyperlink" Target="https://www.wipo.int/tad/en/" TargetMode="External"/><Relationship Id="rId29" Type="http://schemas.openxmlformats.org/officeDocument/2006/relationships/image" Target="media/image9.sv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wipo.int/meetings/en/doc_details.jsp?doc_id=600012" TargetMode="External"/><Relationship Id="rId24" Type="http://schemas.openxmlformats.org/officeDocument/2006/relationships/image" Target="media/image5.emf"/><Relationship Id="rId32" Type="http://schemas.openxmlformats.org/officeDocument/2006/relationships/image" Target="media/image11.png"/><Relationship Id="rId37"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diagramLayout" Target="diagrams/layout1.xml"/><Relationship Id="rId23" Type="http://schemas.openxmlformats.org/officeDocument/2006/relationships/image" Target="media/image4.emf"/><Relationship Id="rId28" Type="http://schemas.openxmlformats.org/officeDocument/2006/relationships/image" Target="media/image8.png"/><Relationship Id="rId36" Type="http://schemas.openxmlformats.org/officeDocument/2006/relationships/header" Target="header2.xml"/><Relationship Id="rId10" Type="http://schemas.openxmlformats.org/officeDocument/2006/relationships/image" Target="media/image1.png"/><Relationship Id="rId19" Type="http://schemas.openxmlformats.org/officeDocument/2006/relationships/image" Target="media/image2.emf"/><Relationship Id="rId31" Type="http://schemas.openxmlformats.org/officeDocument/2006/relationships/hyperlink" Target="https://www.wipo.int/global_ip/en/activities/ip_office_business_solutions/"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diagramData" Target="diagrams/data1.xml"/><Relationship Id="rId22" Type="http://schemas.openxmlformats.org/officeDocument/2006/relationships/image" Target="media/image3.emf"/><Relationship Id="rId27" Type="http://schemas.openxmlformats.org/officeDocument/2006/relationships/image" Target="media/image7.emf"/><Relationship Id="rId30" Type="http://schemas.openxmlformats.org/officeDocument/2006/relationships/image" Target="media/image10.png"/><Relationship Id="rId35" Type="http://schemas.openxmlformats.org/officeDocument/2006/relationships/header" Target="header1.xml"/><Relationship Id="rId8" Type="http://schemas.openxmlformats.org/officeDocument/2006/relationships/footnotes" Target="footnotes.xml"/><Relationship Id="rId3" Type="http://schemas.openxmlformats.org/officeDocument/2006/relationships/customXml" Target="../customXml/item3.xml"/></Relationships>
</file>

<file path=word/_rels/footnotes.xml.rels><?xml version="1.0" encoding="UTF-8" standalone="yes"?>
<Relationships xmlns="http://schemas.openxmlformats.org/package/2006/relationships"><Relationship Id="rId8" Type="http://schemas.openxmlformats.org/officeDocument/2006/relationships/hyperlink" Target="https://www.wipo.int/edocs/pubdocs/en/wipo_pub_1061.pdf" TargetMode="External"/><Relationship Id="rId13" Type="http://schemas.openxmlformats.org/officeDocument/2006/relationships/hyperlink" Target="https://www.wipo.int/academy/en/training_institutions.html" TargetMode="External"/><Relationship Id="rId3" Type="http://schemas.openxmlformats.org/officeDocument/2006/relationships/hyperlink" Target="https://www.wipo.int/ip-development/en/policy_legislative_assistance/" TargetMode="External"/><Relationship Id="rId7" Type="http://schemas.openxmlformats.org/officeDocument/2006/relationships/hyperlink" Target="https://www.wipo.int/edocs/pubdocs/en/wipo_pub_1061.pdf" TargetMode="External"/><Relationship Id="rId12" Type="http://schemas.openxmlformats.org/officeDocument/2006/relationships/hyperlink" Target="https://www.wipo.int/edocs/mdocs/mdocs/en/cdip_25/cdip_25_6.pdf" TargetMode="External"/><Relationship Id="rId2" Type="http://schemas.openxmlformats.org/officeDocument/2006/relationships/hyperlink" Target="https://www.wipo.int/edocs/mdocs/govbody/en/wo_pbc_35/wo_pbc_35_3.pdf" TargetMode="External"/><Relationship Id="rId1" Type="http://schemas.openxmlformats.org/officeDocument/2006/relationships/hyperlink" Target="%09https://www.wipo.int/global_ip/en/activities/ip_office_business_solutions/" TargetMode="External"/><Relationship Id="rId6" Type="http://schemas.openxmlformats.org/officeDocument/2006/relationships/hyperlink" Target="https://www.wipo.int/edocs/mdocs/govbody/en/wo_pbc_37/wo_pbc_37_7.pdf" TargetMode="External"/><Relationship Id="rId11" Type="http://schemas.openxmlformats.org/officeDocument/2006/relationships/hyperlink" Target="https://www.wipo.int/edocs/mdocs/mdocs/en/cdip_25/cdip_25_6.pdf" TargetMode="External"/><Relationship Id="rId5" Type="http://schemas.openxmlformats.org/officeDocument/2006/relationships/hyperlink" Target="https://www.wipo.int/edocs/mdocs/govbody/en/wo_pbc_35/wo_pbc_35_3_rev.pdf" TargetMode="External"/><Relationship Id="rId10" Type="http://schemas.openxmlformats.org/officeDocument/2006/relationships/hyperlink" Target="https://www.wipo.int/edocs/mdocs/mdocs/en/cdip_30/cdip_30_14.pdf" TargetMode="External"/><Relationship Id="rId4" Type="http://schemas.openxmlformats.org/officeDocument/2006/relationships/hyperlink" Target="https://www.wipo.int/web/wipolex/faq" TargetMode="External"/><Relationship Id="rId9" Type="http://schemas.openxmlformats.org/officeDocument/2006/relationships/hyperlink" Target="https://sdgs.un.org/node/24505" TargetMode="External"/><Relationship Id="rId14" Type="http://schemas.openxmlformats.org/officeDocument/2006/relationships/hyperlink" Target="https://www.wipo.int/edocs/pubdocs/en/wipo-pub-1059-22-en-wipo-resources-tiscs-and-ttos-report-2022.pdf" TargetMode="External"/></Relationships>
</file>

<file path=word/diagrams/colors1.xml><?xml version="1.0" encoding="utf-8"?>
<dgm:colorsDef xmlns:dgm="http://schemas.openxmlformats.org/drawingml/2006/diagram" xmlns:a="http://schemas.openxmlformats.org/drawingml/2006/main" uniqueId="urn:microsoft.com/office/officeart/2005/8/colors/accent1_2#1">
  <dgm:title val=""/>
  <dgm:desc val=""/>
  <dgm:catLst>
    <dgm:cat type="accent1" pri="11200"/>
  </dgm:catLst>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colorsDef>
</file>

<file path=word/diagrams/data1.xml><?xml version="1.0" encoding="utf-8"?>
<dgm:dataModel xmlns:dgm="http://schemas.openxmlformats.org/drawingml/2006/diagram" xmlns:a="http://schemas.openxmlformats.org/drawingml/2006/main">
  <dgm:ptLst>
    <dgm:pt modelId="{27448132-406F-453C-B355-E0A10E8430BF}" type="doc">
      <dgm:prSet loTypeId="urn:microsoft.com/office/officeart/2005/8/layout/default#1" loCatId="list" qsTypeId="urn:microsoft.com/office/officeart/2005/8/quickstyle/simple1#1" qsCatId="simple" csTypeId="urn:microsoft.com/office/officeart/2005/8/colors/accent1_2#1" csCatId="accent1" phldr="1"/>
      <dgm:spPr/>
      <dgm:t>
        <a:bodyPr/>
        <a:lstStyle/>
        <a:p>
          <a:endParaRPr lang="pt-BR"/>
        </a:p>
      </dgm:t>
    </dgm:pt>
    <dgm:pt modelId="{F3737082-A9C5-4022-9E0F-7E2B074F34BF}">
      <dgm:prSet custT="1"/>
      <dgm:spPr/>
      <dgm:t>
        <a:bodyPr/>
        <a:lstStyle/>
        <a:p>
          <a:pPr>
            <a:lnSpc>
              <a:spcPct val="100000"/>
            </a:lnSpc>
            <a:spcAft>
              <a:spcPts val="0"/>
            </a:spcAft>
          </a:pPr>
          <a:r>
            <a:rPr lang="en-US" sz="1100" b="1">
              <a:solidFill>
                <a:srgbClr val="FFFF00"/>
              </a:solidFill>
              <a:latin typeface="SimSun" panose="02010600030101010101" pitchFamily="2" charset="-122"/>
              <a:ea typeface="SimSun" panose="02010600030101010101" pitchFamily="2" charset="-122"/>
            </a:rPr>
            <a:t>案头审查： </a:t>
          </a:r>
        </a:p>
        <a:p>
          <a:pPr>
            <a:lnSpc>
              <a:spcPct val="100000"/>
            </a:lnSpc>
            <a:spcAft>
              <a:spcPts val="0"/>
            </a:spcAft>
          </a:pPr>
          <a:r>
            <a:rPr lang="en-US" sz="1100">
              <a:solidFill>
                <a:schemeClr val="bg1"/>
              </a:solidFill>
              <a:latin typeface="SimSun" panose="02010600030101010101" pitchFamily="2" charset="-122"/>
              <a:ea typeface="SimSun" panose="02010600030101010101" pitchFamily="2" charset="-122"/>
            </a:rPr>
            <a:t>+50份文件</a:t>
          </a:r>
        </a:p>
      </dgm:t>
    </dgm:pt>
    <dgm:pt modelId="{70A1404C-CB87-4E80-9B48-4E5BBA3C1EF1}" type="parTrans" cxnId="{A9FC94A8-C951-4FDB-B357-07D5621D5E20}">
      <dgm:prSet/>
      <dgm:spPr/>
      <dgm:t>
        <a:bodyPr/>
        <a:lstStyle/>
        <a:p>
          <a:endParaRPr lang="pt-BR" sz="1100"/>
        </a:p>
      </dgm:t>
    </dgm:pt>
    <dgm:pt modelId="{65B4D266-11B7-4201-BDFE-705A22749A04}" type="sibTrans" cxnId="{A9FC94A8-C951-4FDB-B357-07D5621D5E20}">
      <dgm:prSet/>
      <dgm:spPr/>
      <dgm:t>
        <a:bodyPr/>
        <a:lstStyle/>
        <a:p>
          <a:endParaRPr lang="pt-BR" sz="1100"/>
        </a:p>
      </dgm:t>
    </dgm:pt>
    <dgm:pt modelId="{0472D662-87C2-43BF-B9AF-88A4CB85EFE6}">
      <dgm:prSet custT="1"/>
      <dgm:spPr/>
      <dgm:t>
        <a:bodyPr/>
        <a:lstStyle/>
        <a:p>
          <a:pPr>
            <a:lnSpc>
              <a:spcPct val="100000"/>
            </a:lnSpc>
            <a:spcAft>
              <a:spcPts val="0"/>
            </a:spcAft>
          </a:pPr>
          <a:r>
            <a:rPr lang="en-US" sz="1100" b="1">
              <a:solidFill>
                <a:srgbClr val="FFFF00"/>
              </a:solidFill>
              <a:latin typeface="SimSun" panose="02010600030101010101" pitchFamily="2" charset="-122"/>
              <a:ea typeface="SimSun" panose="02010600030101010101" pitchFamily="2" charset="-122"/>
            </a:rPr>
            <a:t>60次关键知情者采访：</a:t>
          </a:r>
          <a:r>
            <a:rPr lang="en-US" sz="1100">
              <a:latin typeface="SimSun" panose="02010600030101010101" pitchFamily="2" charset="-122"/>
              <a:ea typeface="SimSun" panose="02010600030101010101" pitchFamily="2" charset="-122"/>
            </a:rPr>
            <a:t>30名产权组织工作人员、24个成员国、6个合作伙伴</a:t>
          </a:r>
          <a:endParaRPr lang="pt-BR" sz="1100" dirty="0">
            <a:latin typeface="SimSun" panose="02010600030101010101" pitchFamily="2" charset="-122"/>
            <a:ea typeface="SimSun" panose="02010600030101010101" pitchFamily="2" charset="-122"/>
          </a:endParaRPr>
        </a:p>
      </dgm:t>
    </dgm:pt>
    <dgm:pt modelId="{1B6A7268-26AE-4CAF-81BA-1E7F3DB63733}" type="parTrans" cxnId="{FAF763B9-C952-4E2B-982B-9FFF26D45471}">
      <dgm:prSet/>
      <dgm:spPr/>
      <dgm:t>
        <a:bodyPr/>
        <a:lstStyle/>
        <a:p>
          <a:endParaRPr lang="pt-BR" sz="1100"/>
        </a:p>
      </dgm:t>
    </dgm:pt>
    <dgm:pt modelId="{8C1B708D-2D36-4CCF-809E-6EC12F41A211}" type="sibTrans" cxnId="{FAF763B9-C952-4E2B-982B-9FFF26D45471}">
      <dgm:prSet/>
      <dgm:spPr/>
      <dgm:t>
        <a:bodyPr/>
        <a:lstStyle/>
        <a:p>
          <a:endParaRPr lang="pt-BR" sz="1100"/>
        </a:p>
      </dgm:t>
    </dgm:pt>
    <dgm:pt modelId="{5D9530A6-EF97-4EFF-9D6C-4ADFB21E798A}">
      <dgm:prSet custT="1"/>
      <dgm:spPr/>
      <dgm:t>
        <a:bodyPr/>
        <a:lstStyle/>
        <a:p>
          <a:pPr>
            <a:lnSpc>
              <a:spcPct val="100000"/>
            </a:lnSpc>
            <a:spcAft>
              <a:spcPts val="0"/>
            </a:spcAft>
          </a:pPr>
          <a:r>
            <a:rPr lang="en-US" sz="1100" b="1">
              <a:solidFill>
                <a:srgbClr val="FFFF00"/>
              </a:solidFill>
              <a:latin typeface="SimSun" panose="02010600030101010101" pitchFamily="2" charset="-122"/>
              <a:ea typeface="SimSun" panose="02010600030101010101" pitchFamily="2" charset="-122"/>
            </a:rPr>
            <a:t>焦点小组讨论：</a:t>
          </a:r>
          <a:r>
            <a:rPr lang="en-US" sz="1100">
              <a:latin typeface="SimSun" panose="02010600030101010101" pitchFamily="2" charset="-122"/>
              <a:ea typeface="SimSun" panose="02010600030101010101" pitchFamily="2" charset="-122"/>
            </a:rPr>
            <a:t>与顾问（8名参与者）讨论一次</a:t>
          </a:r>
          <a:endParaRPr lang="pt-BR" sz="1100" dirty="0">
            <a:latin typeface="SimSun" panose="02010600030101010101" pitchFamily="2" charset="-122"/>
            <a:ea typeface="SimSun" panose="02010600030101010101" pitchFamily="2" charset="-122"/>
          </a:endParaRPr>
        </a:p>
      </dgm:t>
    </dgm:pt>
    <dgm:pt modelId="{03A6F24A-9CD0-43C4-BD7C-9A65E4AD0DFA}" type="parTrans" cxnId="{32D48AB7-141D-467B-A019-D42662703E5B}">
      <dgm:prSet/>
      <dgm:spPr/>
      <dgm:t>
        <a:bodyPr/>
        <a:lstStyle/>
        <a:p>
          <a:endParaRPr lang="pt-BR" sz="1100"/>
        </a:p>
      </dgm:t>
    </dgm:pt>
    <dgm:pt modelId="{56464780-57E2-4172-8A05-7BC9B5C8E140}" type="sibTrans" cxnId="{32D48AB7-141D-467B-A019-D42662703E5B}">
      <dgm:prSet/>
      <dgm:spPr/>
      <dgm:t>
        <a:bodyPr/>
        <a:lstStyle/>
        <a:p>
          <a:endParaRPr lang="pt-BR" sz="1100"/>
        </a:p>
      </dgm:t>
    </dgm:pt>
    <dgm:pt modelId="{33F0BF32-D800-44C9-95D3-E1C3A2F102E5}">
      <dgm:prSet custT="1"/>
      <dgm:spPr/>
      <dgm:t>
        <a:bodyPr/>
        <a:lstStyle/>
        <a:p>
          <a:pPr>
            <a:lnSpc>
              <a:spcPct val="100000"/>
            </a:lnSpc>
            <a:spcAft>
              <a:spcPts val="0"/>
            </a:spcAft>
          </a:pPr>
          <a:r>
            <a:rPr lang="en-US" sz="1100" b="1">
              <a:solidFill>
                <a:srgbClr val="FFFF00"/>
              </a:solidFill>
              <a:latin typeface="SimSun" panose="02010600030101010101" pitchFamily="2" charset="-122"/>
              <a:ea typeface="SimSun" panose="02010600030101010101" pitchFamily="2" charset="-122"/>
            </a:rPr>
            <a:t>调查：</a:t>
          </a:r>
          <a:r>
            <a:rPr lang="en-US" sz="1100">
              <a:latin typeface="SimSun" panose="02010600030101010101" pitchFamily="2" charset="-122"/>
              <a:ea typeface="SimSun" panose="02010600030101010101" pitchFamily="2" charset="-122"/>
            </a:rPr>
            <a:t>96个答案-66个国家</a:t>
          </a:r>
        </a:p>
        <a:p>
          <a:pPr>
            <a:lnSpc>
              <a:spcPct val="100000"/>
            </a:lnSpc>
            <a:spcAft>
              <a:spcPts val="0"/>
            </a:spcAft>
          </a:pPr>
          <a:r>
            <a:rPr lang="en-US" sz="1100">
              <a:latin typeface="SimSun" panose="02010600030101010101" pitchFamily="2" charset="-122"/>
              <a:ea typeface="SimSun" panose="02010600030101010101" pitchFamily="2" charset="-122"/>
            </a:rPr>
            <a:t>75%来自成员国</a:t>
          </a:r>
        </a:p>
      </dgm:t>
    </dgm:pt>
    <dgm:pt modelId="{02135A8C-00A6-4D6E-93B0-EB9D0FF5A8C3}" type="parTrans" cxnId="{A1A256B5-569C-4F62-BF47-F94B233945AF}">
      <dgm:prSet/>
      <dgm:spPr/>
      <dgm:t>
        <a:bodyPr/>
        <a:lstStyle/>
        <a:p>
          <a:endParaRPr lang="pt-BR" sz="1100"/>
        </a:p>
      </dgm:t>
    </dgm:pt>
    <dgm:pt modelId="{405AB81E-8CA3-4576-9B71-F5F504844B97}" type="sibTrans" cxnId="{A1A256B5-569C-4F62-BF47-F94B233945AF}">
      <dgm:prSet/>
      <dgm:spPr/>
      <dgm:t>
        <a:bodyPr/>
        <a:lstStyle/>
        <a:p>
          <a:endParaRPr lang="pt-BR" sz="1100"/>
        </a:p>
      </dgm:t>
    </dgm:pt>
    <dgm:pt modelId="{167DCFAD-B676-4E73-8279-D0B1268BEC53}">
      <dgm:prSet custT="1"/>
      <dgm:spPr/>
      <dgm:t>
        <a:bodyPr/>
        <a:lstStyle/>
        <a:p>
          <a:pPr>
            <a:lnSpc>
              <a:spcPct val="100000"/>
            </a:lnSpc>
            <a:spcAft>
              <a:spcPts val="0"/>
            </a:spcAft>
          </a:pPr>
          <a:r>
            <a:rPr lang="en-US" sz="1100" b="1">
              <a:solidFill>
                <a:srgbClr val="FFFF00"/>
              </a:solidFill>
              <a:latin typeface="SimSun" panose="02010600030101010101" pitchFamily="2" charset="-122"/>
              <a:ea typeface="SimSun" panose="02010600030101010101" pitchFamily="2" charset="-122"/>
            </a:rPr>
            <a:t>5个深入研究：</a:t>
          </a:r>
        </a:p>
        <a:p>
          <a:pPr>
            <a:lnSpc>
              <a:spcPct val="100000"/>
            </a:lnSpc>
            <a:spcAft>
              <a:spcPts val="0"/>
            </a:spcAft>
          </a:pPr>
          <a:r>
            <a:rPr lang="en-US" sz="1100">
              <a:latin typeface="SimSun" panose="02010600030101010101" pitchFamily="2" charset="-122"/>
              <a:ea typeface="SimSun" panose="02010600030101010101" pitchFamily="2" charset="-122"/>
            </a:rPr>
            <a:t>IPAS、TISC、IPTI、WIPO Green、国家知识产权战略</a:t>
          </a:r>
          <a:r>
            <a:rPr lang="en-US" sz="1100"/>
            <a:t> </a:t>
          </a:r>
          <a:endParaRPr lang="pt-BR" sz="1100" dirty="0"/>
        </a:p>
      </dgm:t>
    </dgm:pt>
    <dgm:pt modelId="{17681867-B0C2-489C-80B6-79A592C4C142}" type="parTrans" cxnId="{B22E6156-3DC5-4D73-B3A4-2F09FE63F4B4}">
      <dgm:prSet/>
      <dgm:spPr/>
      <dgm:t>
        <a:bodyPr/>
        <a:lstStyle/>
        <a:p>
          <a:endParaRPr lang="pt-BR" sz="1100"/>
        </a:p>
      </dgm:t>
    </dgm:pt>
    <dgm:pt modelId="{ED00A136-8CA7-420F-BBD4-D85AA2872007}" type="sibTrans" cxnId="{B22E6156-3DC5-4D73-B3A4-2F09FE63F4B4}">
      <dgm:prSet/>
      <dgm:spPr/>
      <dgm:t>
        <a:bodyPr/>
        <a:lstStyle/>
        <a:p>
          <a:endParaRPr lang="pt-BR" sz="1100"/>
        </a:p>
      </dgm:t>
    </dgm:pt>
    <dgm:pt modelId="{AEA5D0E5-8099-463B-B322-489214532A92}">
      <dgm:prSet custT="1"/>
      <dgm:spPr/>
      <dgm:t>
        <a:bodyPr/>
        <a:lstStyle/>
        <a:p>
          <a:pPr>
            <a:lnSpc>
              <a:spcPct val="100000"/>
            </a:lnSpc>
            <a:spcAft>
              <a:spcPts val="0"/>
            </a:spcAft>
          </a:pPr>
          <a:r>
            <a:rPr lang="pt-BR" sz="1100" b="1">
              <a:solidFill>
                <a:srgbClr val="FFFF00"/>
              </a:solidFill>
              <a:latin typeface="SimSun" panose="02010600030101010101" pitchFamily="2" charset="-122"/>
              <a:ea typeface="SimSun" panose="02010600030101010101" pitchFamily="2" charset="-122"/>
            </a:rPr>
            <a:t>咨询了160多个利益攸关方</a:t>
          </a:r>
        </a:p>
      </dgm:t>
    </dgm:pt>
    <dgm:pt modelId="{29CCCAF2-AF88-45A6-833F-2136DDF7E60A}" type="parTrans" cxnId="{CF6E6499-162B-48EE-BBE0-D8CB5CB82BA2}">
      <dgm:prSet/>
      <dgm:spPr/>
      <dgm:t>
        <a:bodyPr/>
        <a:lstStyle/>
        <a:p>
          <a:endParaRPr lang="en-US"/>
        </a:p>
      </dgm:t>
    </dgm:pt>
    <dgm:pt modelId="{493AB3C6-7847-4D52-B78A-5914735861D9}" type="sibTrans" cxnId="{CF6E6499-162B-48EE-BBE0-D8CB5CB82BA2}">
      <dgm:prSet/>
      <dgm:spPr/>
      <dgm:t>
        <a:bodyPr/>
        <a:lstStyle/>
        <a:p>
          <a:endParaRPr lang="en-US"/>
        </a:p>
      </dgm:t>
    </dgm:pt>
    <dgm:pt modelId="{44A80436-48AC-428A-8CB4-FF37EA85B550}">
      <dgm:prSet custT="1"/>
      <dgm:spPr/>
      <dgm:t>
        <a:bodyPr/>
        <a:lstStyle/>
        <a:p>
          <a:pPr>
            <a:lnSpc>
              <a:spcPct val="100000"/>
            </a:lnSpc>
            <a:spcAft>
              <a:spcPts val="0"/>
            </a:spcAft>
          </a:pPr>
          <a:r>
            <a:rPr lang="pt-BR" sz="1100">
              <a:latin typeface="SimSun" panose="02010600030101010101" pitchFamily="2" charset="-122"/>
              <a:ea typeface="SimSun" panose="02010600030101010101" pitchFamily="2" charset="-122"/>
            </a:rPr>
            <a:t>11个CDIP项目的</a:t>
          </a:r>
        </a:p>
        <a:p>
          <a:pPr>
            <a:lnSpc>
              <a:spcPct val="100000"/>
            </a:lnSpc>
            <a:spcAft>
              <a:spcPts val="0"/>
            </a:spcAft>
          </a:pPr>
          <a:r>
            <a:rPr lang="pt-BR" sz="1100" b="1">
              <a:solidFill>
                <a:srgbClr val="FFFF00"/>
              </a:solidFill>
              <a:latin typeface="SimSun" panose="02010600030101010101" pitchFamily="2" charset="-122"/>
              <a:ea typeface="SimSun" panose="02010600030101010101" pitchFamily="2" charset="-122"/>
            </a:rPr>
            <a:t>元评价</a:t>
          </a:r>
        </a:p>
      </dgm:t>
    </dgm:pt>
    <dgm:pt modelId="{3B6E581E-0B9D-4E1B-ABF3-ED3E1C24B112}" type="parTrans" cxnId="{F5126993-484E-4C3C-A7B9-FCFD61FDED70}">
      <dgm:prSet/>
      <dgm:spPr/>
      <dgm:t>
        <a:bodyPr/>
        <a:lstStyle/>
        <a:p>
          <a:endParaRPr lang="en-US"/>
        </a:p>
      </dgm:t>
    </dgm:pt>
    <dgm:pt modelId="{8E93F953-CAFA-4815-94CF-10DEC9192794}" type="sibTrans" cxnId="{F5126993-484E-4C3C-A7B9-FCFD61FDED70}">
      <dgm:prSet/>
      <dgm:spPr/>
      <dgm:t>
        <a:bodyPr/>
        <a:lstStyle/>
        <a:p>
          <a:endParaRPr lang="en-US"/>
        </a:p>
      </dgm:t>
    </dgm:pt>
    <dgm:pt modelId="{3F8DF1D7-52B1-45E2-9D64-366BB1048621}" type="pres">
      <dgm:prSet presAssocID="{27448132-406F-453C-B355-E0A10E8430BF}" presName="diagram" presStyleCnt="0">
        <dgm:presLayoutVars>
          <dgm:dir/>
          <dgm:resizeHandles val="exact"/>
        </dgm:presLayoutVars>
      </dgm:prSet>
      <dgm:spPr/>
    </dgm:pt>
    <dgm:pt modelId="{76065DDF-DD80-4040-925D-175076B4D002}" type="pres">
      <dgm:prSet presAssocID="{F3737082-A9C5-4022-9E0F-7E2B074F34BF}" presName="node" presStyleLbl="node1" presStyleIdx="0" presStyleCnt="7">
        <dgm:presLayoutVars>
          <dgm:bulletEnabled val="1"/>
        </dgm:presLayoutVars>
      </dgm:prSet>
      <dgm:spPr/>
    </dgm:pt>
    <dgm:pt modelId="{E17FC407-4339-4F5D-B770-493A6DB5EC3F}" type="pres">
      <dgm:prSet presAssocID="{65B4D266-11B7-4201-BDFE-705A22749A04}" presName="sibTrans" presStyleCnt="0"/>
      <dgm:spPr/>
    </dgm:pt>
    <dgm:pt modelId="{B7D5DFAF-1024-4B7F-81C2-89989C162B78}" type="pres">
      <dgm:prSet presAssocID="{0472D662-87C2-43BF-B9AF-88A4CB85EFE6}" presName="node" presStyleLbl="node1" presStyleIdx="1" presStyleCnt="7">
        <dgm:presLayoutVars>
          <dgm:bulletEnabled val="1"/>
        </dgm:presLayoutVars>
      </dgm:prSet>
      <dgm:spPr/>
    </dgm:pt>
    <dgm:pt modelId="{828999A3-6B68-4603-AB64-5877954B0EFA}" type="pres">
      <dgm:prSet presAssocID="{8C1B708D-2D36-4CCF-809E-6EC12F41A211}" presName="sibTrans" presStyleCnt="0"/>
      <dgm:spPr/>
    </dgm:pt>
    <dgm:pt modelId="{109646DD-C2A9-474C-8670-9B232BF18F73}" type="pres">
      <dgm:prSet presAssocID="{5D9530A6-EF97-4EFF-9D6C-4ADFB21E798A}" presName="node" presStyleLbl="node1" presStyleIdx="2" presStyleCnt="7">
        <dgm:presLayoutVars>
          <dgm:bulletEnabled val="1"/>
        </dgm:presLayoutVars>
      </dgm:prSet>
      <dgm:spPr/>
    </dgm:pt>
    <dgm:pt modelId="{3AC31427-916D-4BAB-AB58-B5B7E8FCCED1}" type="pres">
      <dgm:prSet presAssocID="{56464780-57E2-4172-8A05-7BC9B5C8E140}" presName="sibTrans" presStyleCnt="0"/>
      <dgm:spPr/>
    </dgm:pt>
    <dgm:pt modelId="{23BBCAAF-7153-46BC-8668-F8CC13AA20B6}" type="pres">
      <dgm:prSet presAssocID="{33F0BF32-D800-44C9-95D3-E1C3A2F102E5}" presName="node" presStyleLbl="node1" presStyleIdx="3" presStyleCnt="7">
        <dgm:presLayoutVars>
          <dgm:bulletEnabled val="1"/>
        </dgm:presLayoutVars>
      </dgm:prSet>
      <dgm:spPr/>
    </dgm:pt>
    <dgm:pt modelId="{413BD246-3D7C-4BC4-9299-4E345C5BE018}" type="pres">
      <dgm:prSet presAssocID="{405AB81E-8CA3-4576-9B71-F5F504844B97}" presName="sibTrans" presStyleCnt="0"/>
      <dgm:spPr/>
    </dgm:pt>
    <dgm:pt modelId="{001E3D95-101A-4005-BF4D-3C34F0C1883C}" type="pres">
      <dgm:prSet presAssocID="{167DCFAD-B676-4E73-8279-D0B1268BEC53}" presName="node" presStyleLbl="node1" presStyleIdx="4" presStyleCnt="7" custScaleX="110015">
        <dgm:presLayoutVars>
          <dgm:bulletEnabled val="1"/>
        </dgm:presLayoutVars>
      </dgm:prSet>
      <dgm:spPr/>
    </dgm:pt>
    <dgm:pt modelId="{FAC95812-A44B-43E4-9AE2-4F69AE2DAB45}" type="pres">
      <dgm:prSet presAssocID="{ED00A136-8CA7-420F-BBD4-D85AA2872007}" presName="sibTrans" presStyleCnt="0"/>
      <dgm:spPr/>
    </dgm:pt>
    <dgm:pt modelId="{484ED5D6-8408-4FED-BD08-4A0BCA38088B}" type="pres">
      <dgm:prSet presAssocID="{44A80436-48AC-428A-8CB4-FF37EA85B550}" presName="node" presStyleLbl="node1" presStyleIdx="5" presStyleCnt="7">
        <dgm:presLayoutVars>
          <dgm:bulletEnabled val="1"/>
        </dgm:presLayoutVars>
      </dgm:prSet>
      <dgm:spPr/>
    </dgm:pt>
    <dgm:pt modelId="{D119C187-3BA6-47DE-AE04-6E688F5EF2CC}" type="pres">
      <dgm:prSet presAssocID="{8E93F953-CAFA-4815-94CF-10DEC9192794}" presName="sibTrans" presStyleCnt="0"/>
      <dgm:spPr/>
    </dgm:pt>
    <dgm:pt modelId="{2CBA6EE8-0975-4402-8A0F-532BC35AF9A2}" type="pres">
      <dgm:prSet presAssocID="{AEA5D0E5-8099-463B-B322-489214532A92}" presName="node" presStyleLbl="node1" presStyleIdx="6" presStyleCnt="7">
        <dgm:presLayoutVars>
          <dgm:bulletEnabled val="1"/>
        </dgm:presLayoutVars>
      </dgm:prSet>
      <dgm:spPr/>
    </dgm:pt>
  </dgm:ptLst>
  <dgm:cxnLst>
    <dgm:cxn modelId="{4B889703-3AB3-4637-AD6A-B89F5D20E145}" type="presOf" srcId="{0472D662-87C2-43BF-B9AF-88A4CB85EFE6}" destId="{B7D5DFAF-1024-4B7F-81C2-89989C162B78}" srcOrd="0" destOrd="0" presId="urn:microsoft.com/office/officeart/2005/8/layout/default#1"/>
    <dgm:cxn modelId="{15AEA133-DC26-43B9-A005-DE70C82A03B1}" type="presOf" srcId="{F3737082-A9C5-4022-9E0F-7E2B074F34BF}" destId="{76065DDF-DD80-4040-925D-175076B4D002}" srcOrd="0" destOrd="0" presId="urn:microsoft.com/office/officeart/2005/8/layout/default#1"/>
    <dgm:cxn modelId="{DE276F4D-90DD-43B5-84FA-DC66F12AE254}" type="presOf" srcId="{27448132-406F-453C-B355-E0A10E8430BF}" destId="{3F8DF1D7-52B1-45E2-9D64-366BB1048621}" srcOrd="0" destOrd="0" presId="urn:microsoft.com/office/officeart/2005/8/layout/default#1"/>
    <dgm:cxn modelId="{B22E6156-3DC5-4D73-B3A4-2F09FE63F4B4}" srcId="{27448132-406F-453C-B355-E0A10E8430BF}" destId="{167DCFAD-B676-4E73-8279-D0B1268BEC53}" srcOrd="4" destOrd="0" parTransId="{17681867-B0C2-489C-80B6-79A592C4C142}" sibTransId="{ED00A136-8CA7-420F-BBD4-D85AA2872007}"/>
    <dgm:cxn modelId="{F5126993-484E-4C3C-A7B9-FCFD61FDED70}" srcId="{27448132-406F-453C-B355-E0A10E8430BF}" destId="{44A80436-48AC-428A-8CB4-FF37EA85B550}" srcOrd="5" destOrd="0" parTransId="{3B6E581E-0B9D-4E1B-ABF3-ED3E1C24B112}" sibTransId="{8E93F953-CAFA-4815-94CF-10DEC9192794}"/>
    <dgm:cxn modelId="{CF6E6499-162B-48EE-BBE0-D8CB5CB82BA2}" srcId="{27448132-406F-453C-B355-E0A10E8430BF}" destId="{AEA5D0E5-8099-463B-B322-489214532A92}" srcOrd="6" destOrd="0" parTransId="{29CCCAF2-AF88-45A6-833F-2136DDF7E60A}" sibTransId="{493AB3C6-7847-4D52-B78A-5914735861D9}"/>
    <dgm:cxn modelId="{716CC19E-1292-41D0-BC44-C3B46D2E4E02}" type="presOf" srcId="{44A80436-48AC-428A-8CB4-FF37EA85B550}" destId="{484ED5D6-8408-4FED-BD08-4A0BCA38088B}" srcOrd="0" destOrd="0" presId="urn:microsoft.com/office/officeart/2005/8/layout/default#1"/>
    <dgm:cxn modelId="{A9FC94A8-C951-4FDB-B357-07D5621D5E20}" srcId="{27448132-406F-453C-B355-E0A10E8430BF}" destId="{F3737082-A9C5-4022-9E0F-7E2B074F34BF}" srcOrd="0" destOrd="0" parTransId="{70A1404C-CB87-4E80-9B48-4E5BBA3C1EF1}" sibTransId="{65B4D266-11B7-4201-BDFE-705A22749A04}"/>
    <dgm:cxn modelId="{A1A256B5-569C-4F62-BF47-F94B233945AF}" srcId="{27448132-406F-453C-B355-E0A10E8430BF}" destId="{33F0BF32-D800-44C9-95D3-E1C3A2F102E5}" srcOrd="3" destOrd="0" parTransId="{02135A8C-00A6-4D6E-93B0-EB9D0FF5A8C3}" sibTransId="{405AB81E-8CA3-4576-9B71-F5F504844B97}"/>
    <dgm:cxn modelId="{32D48AB7-141D-467B-A019-D42662703E5B}" srcId="{27448132-406F-453C-B355-E0A10E8430BF}" destId="{5D9530A6-EF97-4EFF-9D6C-4ADFB21E798A}" srcOrd="2" destOrd="0" parTransId="{03A6F24A-9CD0-43C4-BD7C-9A65E4AD0DFA}" sibTransId="{56464780-57E2-4172-8A05-7BC9B5C8E140}"/>
    <dgm:cxn modelId="{FAF763B9-C952-4E2B-982B-9FFF26D45471}" srcId="{27448132-406F-453C-B355-E0A10E8430BF}" destId="{0472D662-87C2-43BF-B9AF-88A4CB85EFE6}" srcOrd="1" destOrd="0" parTransId="{1B6A7268-26AE-4CAF-81BA-1E7F3DB63733}" sibTransId="{8C1B708D-2D36-4CCF-809E-6EC12F41A211}"/>
    <dgm:cxn modelId="{283291C4-4861-4540-BBFF-166F132FA245}" type="presOf" srcId="{167DCFAD-B676-4E73-8279-D0B1268BEC53}" destId="{001E3D95-101A-4005-BF4D-3C34F0C1883C}" srcOrd="0" destOrd="0" presId="urn:microsoft.com/office/officeart/2005/8/layout/default#1"/>
    <dgm:cxn modelId="{4331BFC4-DBFD-4899-9560-77AAA28D4A63}" type="presOf" srcId="{33F0BF32-D800-44C9-95D3-E1C3A2F102E5}" destId="{23BBCAAF-7153-46BC-8668-F8CC13AA20B6}" srcOrd="0" destOrd="0" presId="urn:microsoft.com/office/officeart/2005/8/layout/default#1"/>
    <dgm:cxn modelId="{147F40C7-8519-4C24-AD31-3263D432B29C}" type="presOf" srcId="{AEA5D0E5-8099-463B-B322-489214532A92}" destId="{2CBA6EE8-0975-4402-8A0F-532BC35AF9A2}" srcOrd="0" destOrd="0" presId="urn:microsoft.com/office/officeart/2005/8/layout/default#1"/>
    <dgm:cxn modelId="{C49EB8EF-AEB2-4BF7-AC30-615417E9D6E1}" type="presOf" srcId="{5D9530A6-EF97-4EFF-9D6C-4ADFB21E798A}" destId="{109646DD-C2A9-474C-8670-9B232BF18F73}" srcOrd="0" destOrd="0" presId="urn:microsoft.com/office/officeart/2005/8/layout/default#1"/>
    <dgm:cxn modelId="{4C7C7B1D-454C-4942-A8BF-88A5B6E4BDBC}" type="presParOf" srcId="{3F8DF1D7-52B1-45E2-9D64-366BB1048621}" destId="{76065DDF-DD80-4040-925D-175076B4D002}" srcOrd="0" destOrd="0" presId="urn:microsoft.com/office/officeart/2005/8/layout/default#1"/>
    <dgm:cxn modelId="{E62FE399-D6D3-4D5B-81DC-F30FFF8B5958}" type="presParOf" srcId="{3F8DF1D7-52B1-45E2-9D64-366BB1048621}" destId="{E17FC407-4339-4F5D-B770-493A6DB5EC3F}" srcOrd="1" destOrd="0" presId="urn:microsoft.com/office/officeart/2005/8/layout/default#1"/>
    <dgm:cxn modelId="{B59A80B7-352D-4FE2-8D57-14AE8DFA145F}" type="presParOf" srcId="{3F8DF1D7-52B1-45E2-9D64-366BB1048621}" destId="{B7D5DFAF-1024-4B7F-81C2-89989C162B78}" srcOrd="2" destOrd="0" presId="urn:microsoft.com/office/officeart/2005/8/layout/default#1"/>
    <dgm:cxn modelId="{9C8A6CAC-82AB-456A-9571-F0FB32E0DF98}" type="presParOf" srcId="{3F8DF1D7-52B1-45E2-9D64-366BB1048621}" destId="{828999A3-6B68-4603-AB64-5877954B0EFA}" srcOrd="3" destOrd="0" presId="urn:microsoft.com/office/officeart/2005/8/layout/default#1"/>
    <dgm:cxn modelId="{8C0EEEF6-C111-4518-89ED-C3A7B6971951}" type="presParOf" srcId="{3F8DF1D7-52B1-45E2-9D64-366BB1048621}" destId="{109646DD-C2A9-474C-8670-9B232BF18F73}" srcOrd="4" destOrd="0" presId="urn:microsoft.com/office/officeart/2005/8/layout/default#1"/>
    <dgm:cxn modelId="{8E9D0DFA-5CAA-4CC1-A540-6CEAA9B099A8}" type="presParOf" srcId="{3F8DF1D7-52B1-45E2-9D64-366BB1048621}" destId="{3AC31427-916D-4BAB-AB58-B5B7E8FCCED1}" srcOrd="5" destOrd="0" presId="urn:microsoft.com/office/officeart/2005/8/layout/default#1"/>
    <dgm:cxn modelId="{5C64A5CA-F987-4CCA-AA91-886987E7010B}" type="presParOf" srcId="{3F8DF1D7-52B1-45E2-9D64-366BB1048621}" destId="{23BBCAAF-7153-46BC-8668-F8CC13AA20B6}" srcOrd="6" destOrd="0" presId="urn:microsoft.com/office/officeart/2005/8/layout/default#1"/>
    <dgm:cxn modelId="{38DEF14C-E390-4B88-83E1-40F17C59BF26}" type="presParOf" srcId="{3F8DF1D7-52B1-45E2-9D64-366BB1048621}" destId="{413BD246-3D7C-4BC4-9299-4E345C5BE018}" srcOrd="7" destOrd="0" presId="urn:microsoft.com/office/officeart/2005/8/layout/default#1"/>
    <dgm:cxn modelId="{07A47C80-2800-47F5-9B3A-1E13DB75EBD6}" type="presParOf" srcId="{3F8DF1D7-52B1-45E2-9D64-366BB1048621}" destId="{001E3D95-101A-4005-BF4D-3C34F0C1883C}" srcOrd="8" destOrd="0" presId="urn:microsoft.com/office/officeart/2005/8/layout/default#1"/>
    <dgm:cxn modelId="{376FA05B-36BB-4348-9D68-A6671A2D31B2}" type="presParOf" srcId="{3F8DF1D7-52B1-45E2-9D64-366BB1048621}" destId="{FAC95812-A44B-43E4-9AE2-4F69AE2DAB45}" srcOrd="9" destOrd="0" presId="urn:microsoft.com/office/officeart/2005/8/layout/default#1"/>
    <dgm:cxn modelId="{CC6A2852-E586-4B9B-B4DC-7DF4EE03AA8E}" type="presParOf" srcId="{3F8DF1D7-52B1-45E2-9D64-366BB1048621}" destId="{484ED5D6-8408-4FED-BD08-4A0BCA38088B}" srcOrd="10" destOrd="0" presId="urn:microsoft.com/office/officeart/2005/8/layout/default#1"/>
    <dgm:cxn modelId="{8613A441-BA9D-4164-A235-8CC350073466}" type="presParOf" srcId="{3F8DF1D7-52B1-45E2-9D64-366BB1048621}" destId="{D119C187-3BA6-47DE-AE04-6E688F5EF2CC}" srcOrd="11" destOrd="0" presId="urn:microsoft.com/office/officeart/2005/8/layout/default#1"/>
    <dgm:cxn modelId="{ECB39A2D-A45F-4E2E-B156-314F5237E21D}" type="presParOf" srcId="{3F8DF1D7-52B1-45E2-9D64-366BB1048621}" destId="{2CBA6EE8-0975-4402-8A0F-532BC35AF9A2}" srcOrd="12" destOrd="0" presId="urn:microsoft.com/office/officeart/2005/8/layout/default#1"/>
  </dgm:cxnLst>
  <dgm:bg/>
  <dgm:whole/>
  <dgm:extLst>
    <a:ext uri="http://schemas.microsoft.com/office/drawing/2008/diagram">
      <dsp:dataModelExt xmlns:dsp="http://schemas.microsoft.com/office/drawing/2008/diagram" relId="rId18"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6065DDF-DD80-4040-925D-175076B4D002}">
      <dsp:nvSpPr>
        <dsp:cNvPr id="0" name=""/>
        <dsp:cNvSpPr/>
      </dsp:nvSpPr>
      <dsp:spPr>
        <a:xfrm>
          <a:off x="16656" y="524"/>
          <a:ext cx="1319993" cy="791996"/>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100000"/>
            </a:lnSpc>
            <a:spcBef>
              <a:spcPct val="0"/>
            </a:spcBef>
            <a:spcAft>
              <a:spcPts val="0"/>
            </a:spcAft>
            <a:buNone/>
          </a:pPr>
          <a:r>
            <a:rPr lang="en-US" sz="1100" b="1" kern="1200">
              <a:solidFill>
                <a:srgbClr val="FFFF00"/>
              </a:solidFill>
              <a:latin typeface="SimSun" panose="02010600030101010101" pitchFamily="2" charset="-122"/>
              <a:ea typeface="SimSun" panose="02010600030101010101" pitchFamily="2" charset="-122"/>
            </a:rPr>
            <a:t>案头审查： </a:t>
          </a:r>
        </a:p>
        <a:p>
          <a:pPr marL="0" lvl="0" indent="0" algn="ctr" defTabSz="488950">
            <a:lnSpc>
              <a:spcPct val="100000"/>
            </a:lnSpc>
            <a:spcBef>
              <a:spcPct val="0"/>
            </a:spcBef>
            <a:spcAft>
              <a:spcPts val="0"/>
            </a:spcAft>
            <a:buNone/>
          </a:pPr>
          <a:r>
            <a:rPr lang="en-US" sz="1100" kern="1200">
              <a:solidFill>
                <a:schemeClr val="bg1"/>
              </a:solidFill>
              <a:latin typeface="SimSun" panose="02010600030101010101" pitchFamily="2" charset="-122"/>
              <a:ea typeface="SimSun" panose="02010600030101010101" pitchFamily="2" charset="-122"/>
            </a:rPr>
            <a:t>+50份文件</a:t>
          </a:r>
        </a:p>
      </dsp:txBody>
      <dsp:txXfrm>
        <a:off x="16656" y="524"/>
        <a:ext cx="1319993" cy="791996"/>
      </dsp:txXfrm>
    </dsp:sp>
    <dsp:sp modelId="{B7D5DFAF-1024-4B7F-81C2-89989C162B78}">
      <dsp:nvSpPr>
        <dsp:cNvPr id="0" name=""/>
        <dsp:cNvSpPr/>
      </dsp:nvSpPr>
      <dsp:spPr>
        <a:xfrm>
          <a:off x="1468649" y="524"/>
          <a:ext cx="1319993" cy="791996"/>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100000"/>
            </a:lnSpc>
            <a:spcBef>
              <a:spcPct val="0"/>
            </a:spcBef>
            <a:spcAft>
              <a:spcPts val="0"/>
            </a:spcAft>
            <a:buNone/>
          </a:pPr>
          <a:r>
            <a:rPr lang="en-US" sz="1100" b="1" kern="1200">
              <a:solidFill>
                <a:srgbClr val="FFFF00"/>
              </a:solidFill>
              <a:latin typeface="SimSun" panose="02010600030101010101" pitchFamily="2" charset="-122"/>
              <a:ea typeface="SimSun" panose="02010600030101010101" pitchFamily="2" charset="-122"/>
            </a:rPr>
            <a:t>60次关键知情者采访：</a:t>
          </a:r>
          <a:r>
            <a:rPr lang="en-US" sz="1100" kern="1200">
              <a:latin typeface="SimSun" panose="02010600030101010101" pitchFamily="2" charset="-122"/>
              <a:ea typeface="SimSun" panose="02010600030101010101" pitchFamily="2" charset="-122"/>
            </a:rPr>
            <a:t>30名产权组织工作人员、24个成员国、6个合作伙伴</a:t>
          </a:r>
          <a:endParaRPr lang="pt-BR" sz="1100" kern="1200" dirty="0">
            <a:latin typeface="SimSun" panose="02010600030101010101" pitchFamily="2" charset="-122"/>
            <a:ea typeface="SimSun" panose="02010600030101010101" pitchFamily="2" charset="-122"/>
          </a:endParaRPr>
        </a:p>
      </dsp:txBody>
      <dsp:txXfrm>
        <a:off x="1468649" y="524"/>
        <a:ext cx="1319993" cy="791996"/>
      </dsp:txXfrm>
    </dsp:sp>
    <dsp:sp modelId="{109646DD-C2A9-474C-8670-9B232BF18F73}">
      <dsp:nvSpPr>
        <dsp:cNvPr id="0" name=""/>
        <dsp:cNvSpPr/>
      </dsp:nvSpPr>
      <dsp:spPr>
        <a:xfrm>
          <a:off x="2920642" y="524"/>
          <a:ext cx="1319993" cy="791996"/>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100000"/>
            </a:lnSpc>
            <a:spcBef>
              <a:spcPct val="0"/>
            </a:spcBef>
            <a:spcAft>
              <a:spcPts val="0"/>
            </a:spcAft>
            <a:buNone/>
          </a:pPr>
          <a:r>
            <a:rPr lang="en-US" sz="1100" b="1" kern="1200">
              <a:solidFill>
                <a:srgbClr val="FFFF00"/>
              </a:solidFill>
              <a:latin typeface="SimSun" panose="02010600030101010101" pitchFamily="2" charset="-122"/>
              <a:ea typeface="SimSun" panose="02010600030101010101" pitchFamily="2" charset="-122"/>
            </a:rPr>
            <a:t>焦点小组讨论：</a:t>
          </a:r>
          <a:r>
            <a:rPr lang="en-US" sz="1100" kern="1200">
              <a:latin typeface="SimSun" panose="02010600030101010101" pitchFamily="2" charset="-122"/>
              <a:ea typeface="SimSun" panose="02010600030101010101" pitchFamily="2" charset="-122"/>
            </a:rPr>
            <a:t>与顾问（8名参与者）讨论一次</a:t>
          </a:r>
          <a:endParaRPr lang="pt-BR" sz="1100" kern="1200" dirty="0">
            <a:latin typeface="SimSun" panose="02010600030101010101" pitchFamily="2" charset="-122"/>
            <a:ea typeface="SimSun" panose="02010600030101010101" pitchFamily="2" charset="-122"/>
          </a:endParaRPr>
        </a:p>
      </dsp:txBody>
      <dsp:txXfrm>
        <a:off x="2920642" y="524"/>
        <a:ext cx="1319993" cy="791996"/>
      </dsp:txXfrm>
    </dsp:sp>
    <dsp:sp modelId="{23BBCAAF-7153-46BC-8668-F8CC13AA20B6}">
      <dsp:nvSpPr>
        <dsp:cNvPr id="0" name=""/>
        <dsp:cNvSpPr/>
      </dsp:nvSpPr>
      <dsp:spPr>
        <a:xfrm>
          <a:off x="4372634" y="524"/>
          <a:ext cx="1319993" cy="791996"/>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100000"/>
            </a:lnSpc>
            <a:spcBef>
              <a:spcPct val="0"/>
            </a:spcBef>
            <a:spcAft>
              <a:spcPts val="0"/>
            </a:spcAft>
            <a:buNone/>
          </a:pPr>
          <a:r>
            <a:rPr lang="en-US" sz="1100" b="1" kern="1200">
              <a:solidFill>
                <a:srgbClr val="FFFF00"/>
              </a:solidFill>
              <a:latin typeface="SimSun" panose="02010600030101010101" pitchFamily="2" charset="-122"/>
              <a:ea typeface="SimSun" panose="02010600030101010101" pitchFamily="2" charset="-122"/>
            </a:rPr>
            <a:t>调查：</a:t>
          </a:r>
          <a:r>
            <a:rPr lang="en-US" sz="1100" kern="1200">
              <a:latin typeface="SimSun" panose="02010600030101010101" pitchFamily="2" charset="-122"/>
              <a:ea typeface="SimSun" panose="02010600030101010101" pitchFamily="2" charset="-122"/>
            </a:rPr>
            <a:t>96个答案-66个国家</a:t>
          </a:r>
        </a:p>
        <a:p>
          <a:pPr marL="0" lvl="0" indent="0" algn="ctr" defTabSz="488950">
            <a:lnSpc>
              <a:spcPct val="100000"/>
            </a:lnSpc>
            <a:spcBef>
              <a:spcPct val="0"/>
            </a:spcBef>
            <a:spcAft>
              <a:spcPts val="0"/>
            </a:spcAft>
            <a:buNone/>
          </a:pPr>
          <a:r>
            <a:rPr lang="en-US" sz="1100" kern="1200">
              <a:latin typeface="SimSun" panose="02010600030101010101" pitchFamily="2" charset="-122"/>
              <a:ea typeface="SimSun" panose="02010600030101010101" pitchFamily="2" charset="-122"/>
            </a:rPr>
            <a:t>75%来自成员国</a:t>
          </a:r>
        </a:p>
      </dsp:txBody>
      <dsp:txXfrm>
        <a:off x="4372634" y="524"/>
        <a:ext cx="1319993" cy="791996"/>
      </dsp:txXfrm>
    </dsp:sp>
    <dsp:sp modelId="{001E3D95-101A-4005-BF4D-3C34F0C1883C}">
      <dsp:nvSpPr>
        <dsp:cNvPr id="0" name=""/>
        <dsp:cNvSpPr/>
      </dsp:nvSpPr>
      <dsp:spPr>
        <a:xfrm>
          <a:off x="676554" y="924519"/>
          <a:ext cx="1452190" cy="791996"/>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100000"/>
            </a:lnSpc>
            <a:spcBef>
              <a:spcPct val="0"/>
            </a:spcBef>
            <a:spcAft>
              <a:spcPts val="0"/>
            </a:spcAft>
            <a:buNone/>
          </a:pPr>
          <a:r>
            <a:rPr lang="en-US" sz="1100" b="1" kern="1200">
              <a:solidFill>
                <a:srgbClr val="FFFF00"/>
              </a:solidFill>
              <a:latin typeface="SimSun" panose="02010600030101010101" pitchFamily="2" charset="-122"/>
              <a:ea typeface="SimSun" panose="02010600030101010101" pitchFamily="2" charset="-122"/>
            </a:rPr>
            <a:t>5个深入研究：</a:t>
          </a:r>
        </a:p>
        <a:p>
          <a:pPr marL="0" lvl="0" indent="0" algn="ctr" defTabSz="488950">
            <a:lnSpc>
              <a:spcPct val="100000"/>
            </a:lnSpc>
            <a:spcBef>
              <a:spcPct val="0"/>
            </a:spcBef>
            <a:spcAft>
              <a:spcPts val="0"/>
            </a:spcAft>
            <a:buNone/>
          </a:pPr>
          <a:r>
            <a:rPr lang="en-US" sz="1100" kern="1200">
              <a:latin typeface="SimSun" panose="02010600030101010101" pitchFamily="2" charset="-122"/>
              <a:ea typeface="SimSun" panose="02010600030101010101" pitchFamily="2" charset="-122"/>
            </a:rPr>
            <a:t>IPAS、TISC、IPTI、WIPO Green、国家知识产权战略</a:t>
          </a:r>
          <a:r>
            <a:rPr lang="en-US" sz="1100" kern="1200"/>
            <a:t> </a:t>
          </a:r>
          <a:endParaRPr lang="pt-BR" sz="1100" kern="1200" dirty="0"/>
        </a:p>
      </dsp:txBody>
      <dsp:txXfrm>
        <a:off x="676554" y="924519"/>
        <a:ext cx="1452190" cy="791996"/>
      </dsp:txXfrm>
    </dsp:sp>
    <dsp:sp modelId="{484ED5D6-8408-4FED-BD08-4A0BCA38088B}">
      <dsp:nvSpPr>
        <dsp:cNvPr id="0" name=""/>
        <dsp:cNvSpPr/>
      </dsp:nvSpPr>
      <dsp:spPr>
        <a:xfrm>
          <a:off x="2260744" y="924519"/>
          <a:ext cx="1319993" cy="791996"/>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100000"/>
            </a:lnSpc>
            <a:spcBef>
              <a:spcPct val="0"/>
            </a:spcBef>
            <a:spcAft>
              <a:spcPts val="0"/>
            </a:spcAft>
            <a:buNone/>
          </a:pPr>
          <a:r>
            <a:rPr lang="pt-BR" sz="1100" kern="1200">
              <a:latin typeface="SimSun" panose="02010600030101010101" pitchFamily="2" charset="-122"/>
              <a:ea typeface="SimSun" panose="02010600030101010101" pitchFamily="2" charset="-122"/>
            </a:rPr>
            <a:t>11个CDIP项目的</a:t>
          </a:r>
        </a:p>
        <a:p>
          <a:pPr marL="0" lvl="0" indent="0" algn="ctr" defTabSz="488950">
            <a:lnSpc>
              <a:spcPct val="100000"/>
            </a:lnSpc>
            <a:spcBef>
              <a:spcPct val="0"/>
            </a:spcBef>
            <a:spcAft>
              <a:spcPts val="0"/>
            </a:spcAft>
            <a:buNone/>
          </a:pPr>
          <a:r>
            <a:rPr lang="pt-BR" sz="1100" b="1" kern="1200">
              <a:solidFill>
                <a:srgbClr val="FFFF00"/>
              </a:solidFill>
              <a:latin typeface="SimSun" panose="02010600030101010101" pitchFamily="2" charset="-122"/>
              <a:ea typeface="SimSun" panose="02010600030101010101" pitchFamily="2" charset="-122"/>
            </a:rPr>
            <a:t>元评价</a:t>
          </a:r>
        </a:p>
      </dsp:txBody>
      <dsp:txXfrm>
        <a:off x="2260744" y="924519"/>
        <a:ext cx="1319993" cy="791996"/>
      </dsp:txXfrm>
    </dsp:sp>
    <dsp:sp modelId="{2CBA6EE8-0975-4402-8A0F-532BC35AF9A2}">
      <dsp:nvSpPr>
        <dsp:cNvPr id="0" name=""/>
        <dsp:cNvSpPr/>
      </dsp:nvSpPr>
      <dsp:spPr>
        <a:xfrm>
          <a:off x="3712737" y="924519"/>
          <a:ext cx="1319993" cy="791996"/>
        </a:xfrm>
        <a:prstGeom prst="rect">
          <a:avLst/>
        </a:prstGeom>
        <a:solidFill>
          <a:schemeClr val="accent1">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41910" tIns="41910" rIns="41910" bIns="41910" numCol="1" spcCol="1270" anchor="ctr" anchorCtr="0">
          <a:noAutofit/>
        </a:bodyPr>
        <a:lstStyle/>
        <a:p>
          <a:pPr marL="0" lvl="0" indent="0" algn="ctr" defTabSz="488950">
            <a:lnSpc>
              <a:spcPct val="100000"/>
            </a:lnSpc>
            <a:spcBef>
              <a:spcPct val="0"/>
            </a:spcBef>
            <a:spcAft>
              <a:spcPts val="0"/>
            </a:spcAft>
            <a:buNone/>
          </a:pPr>
          <a:r>
            <a:rPr lang="pt-BR" sz="1100" b="1" kern="1200">
              <a:solidFill>
                <a:srgbClr val="FFFF00"/>
              </a:solidFill>
              <a:latin typeface="SimSun" panose="02010600030101010101" pitchFamily="2" charset="-122"/>
              <a:ea typeface="SimSun" panose="02010600030101010101" pitchFamily="2" charset="-122"/>
            </a:rPr>
            <a:t>咨询了160多个利益攸关方</a:t>
          </a:r>
        </a:p>
      </dsp:txBody>
      <dsp:txXfrm>
        <a:off x="3712737" y="924519"/>
        <a:ext cx="1319993" cy="791996"/>
      </dsp:txXfrm>
    </dsp:sp>
  </dsp:spTree>
</dsp:drawing>
</file>

<file path=word/diagrams/layout1.xml><?xml version="1.0" encoding="utf-8"?>
<dgm:layoutDef xmlns:dgm="http://schemas.openxmlformats.org/drawingml/2006/diagram" xmlns:a="http://schemas.openxmlformats.org/drawingml/2006/main" uniqueId="urn:microsoft.com/office/officeart/2005/8/layout/default#1">
  <dgm:title val=""/>
  <dgm:desc val=""/>
  <dgm:catLst>
    <dgm:cat type="list" pri="400"/>
  </dgm:catLst>
  <dgm:sampData>
    <dgm:dataModel>
      <dgm:ptLst>
        <dgm:pt modelId="0" type="doc"/>
        <dgm:pt modelId="1">
          <dgm:prSet phldr="1"/>
        </dgm:pt>
        <dgm:pt modelId="2">
          <dgm:prSet phldr="1"/>
        </dgm:pt>
        <dgm:pt modelId="3">
          <dgm:prSet phldr="1"/>
        </dgm:pt>
        <dgm:pt modelId="4">
          <dgm:prSet phldr="1"/>
        </dgm:pt>
        <dgm:pt modelId="5">
          <dgm:prSet phldr="1"/>
        </dgm:pt>
      </dgm:ptLst>
      <dgm:cxnLst>
        <dgm:cxn modelId="6" srcId="0" destId="1" srcOrd="0" destOrd="0"/>
        <dgm:cxn modelId="7" srcId="0" destId="2" srcOrd="1" destOrd="0"/>
        <dgm:cxn modelId="8" srcId="0" destId="3" srcOrd="2" destOrd="0"/>
        <dgm:cxn modelId="9" srcId="0" destId="4" srcOrd="3" destOrd="0"/>
        <dgm:cxn modelId="10" srcId="0" destId="5" srcOrd="4" destOrd="0"/>
      </dgm:cxnLst>
      <dgm:bg/>
      <dgm:whole/>
    </dgm:dataModel>
  </dgm:sampData>
  <dgm:styleData>
    <dgm:dataModel>
      <dgm:ptLst>
        <dgm:pt modelId="0" type="doc">
          <dgm:prSet qsTypeId="urn:microsoft.com/office/officeart/2005/8/quickstyle/simple5"/>
        </dgm:pt>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 modelId="5"/>
        <dgm:pt modelId="6"/>
      </dgm:ptLst>
      <dgm:cxnLst>
        <dgm:cxn modelId="7" srcId="0" destId="1" srcOrd="0" destOrd="0"/>
        <dgm:cxn modelId="8" srcId="0" destId="2" srcOrd="1" destOrd="0"/>
        <dgm:cxn modelId="9" srcId="0" destId="3" srcOrd="2" destOrd="0"/>
        <dgm:cxn modelId="10" srcId="0" destId="4" srcOrd="3" destOrd="0"/>
        <dgm:cxn modelId="11" srcId="0" destId="5" srcOrd="4" destOrd="0"/>
        <dgm:cxn modelId="12" srcId="0" destId="6" srcOrd="5" destOrd="0"/>
      </dgm:cxnLst>
      <dgm:bg/>
      <dgm:whole/>
    </dgm:dataModel>
  </dgm:clrData>
  <dgm:layoutNode name="diagram">
    <dgm:varLst>
      <dgm:dir/>
      <dgm:resizeHandles val="exact"/>
    </dgm:varLst>
    <dgm:choose name="Name0">
      <dgm:if name="Name1" func="var" arg="dir" op="equ" val="norm">
        <dgm:alg type="snake">
          <dgm:param type="off" val="ctr"/>
          <dgm:param type="contDir" val="sameDir"/>
          <dgm:param type="grDir" val="tL"/>
          <dgm:param type="flowDir" val="row"/>
        </dgm:alg>
      </dgm:if>
      <dgm:else name="Name2">
        <dgm:alg type="snake">
          <dgm:param type="off" val="ctr"/>
          <dgm:param type="contDir" val="sameDir"/>
          <dgm:param type="grDir" val="tR"/>
          <dgm:param type="flowDir" val="row"/>
        </dgm:alg>
      </dgm:else>
    </dgm:choose>
    <dgm:shape xmlns:r="http://schemas.openxmlformats.org/officeDocument/2006/relationships" r:blip="">
      <dgm:adjLst/>
    </dgm:shape>
    <dgm:presOf/>
    <dgm:constrLst>
      <dgm:constr type="w" for="ch" forName="node" refType="w"/>
      <dgm:constr type="h" for="ch" forName="node" refType="w" refFor="ch" refForName="node" fact="0.6"/>
      <dgm:constr type="w" for="ch" forName="sibTrans" refType="w" refFor="ch" refForName="node" fact="0.1"/>
      <dgm:constr type="sp" refType="w" refFor="ch" refForName="sibTrans"/>
      <dgm:constr type="primFontSz" for="ch" forName="node" op="equ" val="65"/>
    </dgm:constrLst>
    <dgm:ruleLst/>
    <dgm:forEach name="Name3" axis="ch" ptType="node">
      <dgm:layoutNode name="node">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1">
  <dgm:title val=""/>
  <dgm:desc val=""/>
  <dgm:catLst>
    <dgm:cat type="simple" pri="10100"/>
  </dgm:catLst>
  <dgm:scene3d>
    <a:camera prst="orthographicFront"/>
    <a:lightRig rig="threePt" dir="t"/>
  </dgm:scene3d>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bwMode="auto">
        <a:solidFill>
          <a:srgbClr val="FFC000">
            <a:lumMod val="60000"/>
            <a:lumOff val="40000"/>
          </a:srgbClr>
        </a:solidFill>
        <a:ln w="9525">
          <a:noFill/>
          <a:miter lim="800000"/>
        </a:ln>
      </a:spPr>
      <a:bodyPr rot="0" vert="horz" wrap="square" lIns="91440" tIns="45720" rIns="91440" bIns="45720" anchor="t" anchorCtr="0">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u/bqkELHIGl211gGC0TYis3MSEw==">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</go:docsCustomData>
</go:gDocsCustomXmlDataStorage>
</file>

<file path=customXml/item2.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s:customDat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A04F8D24-0B55-4B2E-B945-6FB2638A6172}">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49</Pages>
  <Words>37171</Words>
  <Characters>6030</Characters>
  <Application>Microsoft Office Word</Application>
  <DocSecurity>0</DocSecurity>
  <Lines>50</Lines>
  <Paragraphs>86</Paragraphs>
  <ScaleCrop>false</ScaleCrop>
  <HeadingPairs>
    <vt:vector size="2" baseType="variant">
      <vt:variant>
        <vt:lpstr>Title</vt:lpstr>
      </vt:variant>
      <vt:variant>
        <vt:i4>1</vt:i4>
      </vt:variant>
    </vt:vector>
  </HeadingPairs>
  <TitlesOfParts>
    <vt:vector size="1" baseType="lpstr">
      <vt:lpstr>CDIP/33/4</vt:lpstr>
    </vt:vector>
  </TitlesOfParts>
  <Company>World Intellectual Property Organization</Company>
  <LinksUpToDate>false</LinksUpToDate>
  <CharactersWithSpaces>43115</CharactersWithSpaces>
  <SharedDoc>false</SharedDoc>
  <HyperlinkBase>产权组织合作促进发展领域技术援助独立外部审查</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CDIP/33/4</dc:title>
  <dc:creator>Prof. Tom Peter Migun Ogada</dc:creator>
  <cp:lastModifiedBy>PANAKAL Joseph Lazar</cp:lastModifiedBy>
  <cp:revision>2</cp:revision>
  <cp:lastPrinted>2024-10-04T13:19:00Z</cp:lastPrinted>
  <dcterms:created xsi:type="dcterms:W3CDTF">2024-11-05T16:47:00Z</dcterms:created>
  <dcterms:modified xsi:type="dcterms:W3CDTF">2024-11-05T16:47:00Z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bfc084f7-b690-4c43-8ee6-d475b6d3461d_Enabled">
    <vt:lpwstr>true</vt:lpwstr>
  </property>
  <property fmtid="{D5CDD505-2E9C-101B-9397-08002B2CF9AE}" pid="3" name="MSIP_Label_bfc084f7-b690-4c43-8ee6-d475b6d3461d_SetDate">
    <vt:lpwstr>2024-04-17T10:16:50Z</vt:lpwstr>
  </property>
  <property fmtid="{D5CDD505-2E9C-101B-9397-08002B2CF9AE}" pid="4" name="MSIP_Label_bfc084f7-b690-4c43-8ee6-d475b6d3461d_Method">
    <vt:lpwstr>Standard</vt:lpwstr>
  </property>
  <property fmtid="{D5CDD505-2E9C-101B-9397-08002B2CF9AE}" pid="5" name="MSIP_Label_bfc084f7-b690-4c43-8ee6-d475b6d3461d_Name">
    <vt:lpwstr>FOR OFFICIAL USE ONLY</vt:lpwstr>
  </property>
  <property fmtid="{D5CDD505-2E9C-101B-9397-08002B2CF9AE}" pid="6" name="MSIP_Label_bfc084f7-b690-4c43-8ee6-d475b6d3461d_SiteId">
    <vt:lpwstr>faa31b06-8ccc-48c9-867f-f7510dd11c02</vt:lpwstr>
  </property>
  <property fmtid="{D5CDD505-2E9C-101B-9397-08002B2CF9AE}" pid="7" name="MSIP_Label_bfc084f7-b690-4c43-8ee6-d475b6d3461d_ActionId">
    <vt:lpwstr>ca475724-aaa5-4b28-8633-2fdee4c34b4a</vt:lpwstr>
  </property>
  <property fmtid="{D5CDD505-2E9C-101B-9397-08002B2CF9AE}" pid="8" name="MSIP_Label_bfc084f7-b690-4c43-8ee6-d475b6d3461d_ContentBits">
    <vt:lpwstr>2</vt:lpwstr>
  </property>
  <property fmtid="{D5CDD505-2E9C-101B-9397-08002B2CF9AE}" pid="9" name="GrammarlyDocumentId">
    <vt:lpwstr>239d25dbc67d5ac1b6f95af21ae4449a6f507c5802540b6ca5b0f9d87a7c6eb3</vt:lpwstr>
  </property>
  <property fmtid="{D5CDD505-2E9C-101B-9397-08002B2CF9AE}" pid="10" name="KSOProductBuildVer">
    <vt:lpwstr>2052-11.8.2.8411</vt:lpwstr>
  </property>
  <property fmtid="{D5CDD505-2E9C-101B-9397-08002B2CF9AE}" pid="11" name="ICV">
    <vt:lpwstr>F3E1DFBE12D641B385900026B31E7461_13</vt:lpwstr>
  </property>
</Properties>
</file>