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4462"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CA23C95" wp14:editId="06FB08B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D56501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EB226BD" w14:textId="0B670821"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444DAF">
        <w:rPr>
          <w:rFonts w:ascii="Arial Black" w:hAnsi="Arial Black"/>
          <w:caps/>
          <w:sz w:val="15"/>
          <w:szCs w:val="15"/>
        </w:rPr>
        <w:t>19</w:t>
      </w:r>
    </w:p>
    <w:p w14:paraId="3384F0E9" w14:textId="7676B780"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9D161D">
        <w:rPr>
          <w:rFonts w:asciiTheme="minorHAnsi" w:hAnsiTheme="minorHAnsi" w:cstheme="minorHAnsi" w:hint="cs"/>
          <w:b/>
          <w:bCs/>
          <w:caps/>
          <w:sz w:val="15"/>
          <w:szCs w:val="15"/>
          <w:rtl/>
        </w:rPr>
        <w:t>بالإنكليزية</w:t>
      </w:r>
    </w:p>
    <w:p w14:paraId="0E1AE2BB" w14:textId="28516B0E"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التاريخ:</w:t>
      </w:r>
      <w:r w:rsidR="00444DAF">
        <w:rPr>
          <w:rFonts w:asciiTheme="minorHAnsi" w:hAnsiTheme="minorHAnsi" w:cstheme="minorHAnsi" w:hint="cs"/>
          <w:b/>
          <w:bCs/>
          <w:caps/>
          <w:sz w:val="15"/>
          <w:szCs w:val="15"/>
          <w:rtl/>
        </w:rPr>
        <w:t xml:space="preserve"> 4 فبرا</w:t>
      </w:r>
      <w:r w:rsidR="00A650E9">
        <w:rPr>
          <w:rFonts w:asciiTheme="minorHAnsi" w:hAnsiTheme="minorHAnsi" w:cstheme="minorHAnsi" w:hint="cs"/>
          <w:b/>
          <w:bCs/>
          <w:caps/>
          <w:sz w:val="15"/>
          <w:szCs w:val="15"/>
          <w:rtl/>
        </w:rPr>
        <w:t>ير</w:t>
      </w:r>
      <w:r w:rsidR="009D161D">
        <w:rPr>
          <w:rFonts w:asciiTheme="minorHAnsi" w:hAnsiTheme="minorHAnsi" w:cstheme="minorHAnsi" w:hint="cs"/>
          <w:b/>
          <w:bCs/>
          <w:caps/>
          <w:sz w:val="15"/>
          <w:szCs w:val="15"/>
          <w:rtl/>
        </w:rPr>
        <w:t xml:space="preserve"> </w:t>
      </w:r>
      <w:r w:rsidR="00A650E9">
        <w:rPr>
          <w:rFonts w:asciiTheme="minorHAnsi" w:hAnsiTheme="minorHAnsi" w:cstheme="minorHAnsi" w:hint="cs"/>
          <w:b/>
          <w:bCs/>
          <w:caps/>
          <w:sz w:val="15"/>
          <w:szCs w:val="15"/>
          <w:rtl/>
        </w:rPr>
        <w:t>2025</w:t>
      </w:r>
    </w:p>
    <w:bookmarkEnd w:id="2"/>
    <w:p w14:paraId="3878C95F" w14:textId="77777777" w:rsidR="008B2CC1" w:rsidRPr="00D67EAE" w:rsidRDefault="004E0043" w:rsidP="00250149">
      <w:pPr>
        <w:pStyle w:val="Heading1"/>
        <w:rPr>
          <w:rtl/>
        </w:rPr>
      </w:pPr>
      <w:r>
        <w:rPr>
          <w:rFonts w:hint="cs"/>
          <w:rtl/>
        </w:rPr>
        <w:t>الفريق العامل لمعاهدة التعاون بشأن البراءات</w:t>
      </w:r>
    </w:p>
    <w:p w14:paraId="0CD20626"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7042A1F7"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474C697B" w14:textId="10B12D4C" w:rsidR="008B2CC1" w:rsidRPr="00D67EAE" w:rsidRDefault="00444DAF" w:rsidP="00DD7B7F">
      <w:pPr>
        <w:spacing w:after="360"/>
        <w:outlineLvl w:val="0"/>
        <w:rPr>
          <w:rFonts w:asciiTheme="minorHAnsi" w:hAnsiTheme="minorHAnsi" w:cstheme="minorHAnsi"/>
          <w:caps/>
          <w:sz w:val="24"/>
        </w:rPr>
      </w:pPr>
      <w:bookmarkStart w:id="3" w:name="TitleOfDoc"/>
      <w:r w:rsidRPr="00444DAF">
        <w:rPr>
          <w:rFonts w:asciiTheme="minorHAnsi" w:hAnsiTheme="minorHAnsi"/>
          <w:caps/>
          <w:sz w:val="28"/>
          <w:szCs w:val="24"/>
          <w:rtl/>
        </w:rPr>
        <w:t>وسيلة لإيداع الطلبات الدولية:  التعديل اللاحق</w:t>
      </w:r>
    </w:p>
    <w:p w14:paraId="59776B20" w14:textId="312113C6" w:rsidR="002928D3" w:rsidRDefault="00444DAF" w:rsidP="001D4107">
      <w:pPr>
        <w:spacing w:after="1040"/>
        <w:rPr>
          <w:rFonts w:asciiTheme="minorHAnsi" w:hAnsiTheme="minorHAnsi" w:cstheme="minorHAnsi"/>
          <w:iCs/>
          <w:rtl/>
        </w:rPr>
      </w:pPr>
      <w:bookmarkStart w:id="4" w:name="Prepared"/>
      <w:bookmarkEnd w:id="3"/>
      <w:bookmarkEnd w:id="4"/>
      <w:r w:rsidRPr="00444DAF">
        <w:rPr>
          <w:rFonts w:asciiTheme="minorHAnsi" w:hAnsiTheme="minorHAnsi"/>
          <w:iCs/>
          <w:rtl/>
        </w:rPr>
        <w:t>وثيقة من إعداد المكتب الدولي</w:t>
      </w:r>
    </w:p>
    <w:p w14:paraId="7B74D8E7" w14:textId="77777777" w:rsidR="00444DAF" w:rsidRPr="00444DAF" w:rsidRDefault="00444DAF" w:rsidP="00444DAF">
      <w:pPr>
        <w:pStyle w:val="Heading1"/>
        <w:rPr>
          <w:sz w:val="24"/>
          <w:szCs w:val="24"/>
          <w:rtl/>
        </w:rPr>
      </w:pPr>
      <w:r w:rsidRPr="00444DAF">
        <w:rPr>
          <w:rFonts w:hint="cs"/>
          <w:sz w:val="24"/>
          <w:szCs w:val="24"/>
          <w:rtl/>
        </w:rPr>
        <w:t>معلومات أساسية</w:t>
      </w:r>
    </w:p>
    <w:p w14:paraId="4CB204A9" w14:textId="77777777" w:rsidR="00444DAF" w:rsidRDefault="00444DAF" w:rsidP="00444DAF">
      <w:pPr>
        <w:pStyle w:val="ONUMA"/>
        <w:rPr>
          <w:rtl/>
        </w:rPr>
      </w:pPr>
      <w:r>
        <w:rPr>
          <w:rFonts w:hint="cs"/>
          <w:rtl/>
        </w:rPr>
        <w:t xml:space="preserve">عقب المناقشات التي دارت في الدورة السابعة عشرة للفريق العامل (انظر(ي) الوثيقة </w:t>
      </w:r>
      <w:r>
        <w:t>PCT/WG/17/15</w:t>
      </w:r>
      <w:r>
        <w:rPr>
          <w:rFonts w:hint="cs"/>
          <w:rtl/>
        </w:rPr>
        <w:t xml:space="preserve"> والفقرتين 15 و16 من الوثيقة </w:t>
      </w:r>
      <w:r>
        <w:t>PCT/WG/17/21</w:t>
      </w:r>
      <w:r>
        <w:rPr>
          <w:rFonts w:hint="cs"/>
          <w:rtl/>
        </w:rPr>
        <w:t>)، اعتمدت جمعية اتحاد معاهدة التعاون بشأن البراءات تعديلات على القاعدة 89(ثانياً) من قواعد معاهدة التعاون بشأن البراءات، تسمح لمكتب تسلم الطلبات بأن يحدد أنه لن يتسلم الطلبات الدولية والمستندات المودعة لاحقاً إلا في نسق إلكتروني.  وستدخل التعديلات حيز النفاذ في 1 يوليو 2025.</w:t>
      </w:r>
    </w:p>
    <w:p w14:paraId="6469B337" w14:textId="77777777" w:rsidR="00444DAF" w:rsidRDefault="00444DAF" w:rsidP="00444DAF">
      <w:pPr>
        <w:pStyle w:val="ONUMA"/>
        <w:rPr>
          <w:rtl/>
        </w:rPr>
      </w:pPr>
      <w:r>
        <w:rPr>
          <w:rFonts w:hint="cs"/>
          <w:rtl/>
        </w:rPr>
        <w:t>وتسمح القاعدة 89(ثانياً).1(د-ثالثا) لمكتب تسلم الطلبات أن يحدد بأن أي طلب مودّع في شكل ورقي يجب إعادة تقديمه بالوسائل الإلكترونية في غضون شهرين من تاريخ الدعوة التي يوجهها المكتب.  وإذا لم تُستلم النسخة الإلكترونية في الوقت المناسب، يُعتبر الطلب الدولي مسحوباً.</w:t>
      </w:r>
    </w:p>
    <w:p w14:paraId="460D2D6E" w14:textId="77777777" w:rsidR="00444DAF" w:rsidRDefault="00444DAF" w:rsidP="00444DAF">
      <w:pPr>
        <w:pStyle w:val="ONUMA"/>
        <w:rPr>
          <w:rtl/>
        </w:rPr>
      </w:pPr>
      <w:r>
        <w:rPr>
          <w:rFonts w:hint="cs"/>
          <w:rtl/>
        </w:rPr>
        <w:t>وأشير إلى أنه في الحالات الأخرى التي تعتبر فيها الطلبات مسحوبة، فإن القاعدة 29 تحدد الخطوات الإضافية التي يتعين على مكتب تسلم الطلبات اتخاذها (وكذلك الخطوات التي لا يتعين على مكتب تسلم الطلبات والمكتب الدولي اتخاذها).   وينبغي تطبيق ذات الخطوات في الحالة المشار إليها في القاعدة 89(ثانياً).1(د-ثالثا).</w:t>
      </w:r>
    </w:p>
    <w:p w14:paraId="0294B6BF" w14:textId="77777777" w:rsidR="00444DAF" w:rsidRPr="00444DAF" w:rsidRDefault="00444DAF" w:rsidP="00444DAF">
      <w:pPr>
        <w:pStyle w:val="Heading1"/>
        <w:spacing w:after="240"/>
        <w:rPr>
          <w:sz w:val="24"/>
          <w:szCs w:val="24"/>
          <w:rtl/>
        </w:rPr>
      </w:pPr>
      <w:r w:rsidRPr="00444DAF">
        <w:rPr>
          <w:rFonts w:hint="cs"/>
          <w:sz w:val="24"/>
          <w:szCs w:val="24"/>
          <w:rtl/>
        </w:rPr>
        <w:t>المقترح</w:t>
      </w:r>
    </w:p>
    <w:p w14:paraId="1E337270" w14:textId="77777777" w:rsidR="00444DAF" w:rsidRDefault="00444DAF" w:rsidP="00444DAF">
      <w:pPr>
        <w:pStyle w:val="ONUMA"/>
        <w:rPr>
          <w:rtl/>
        </w:rPr>
      </w:pPr>
      <w:r>
        <w:rPr>
          <w:rFonts w:hint="cs"/>
          <w:rtl/>
        </w:rPr>
        <w:t>يحدد المرفق الأول التعديلات المقترحة على القاعدة 29 من معاهدة البراءات لتوضيح أن الطلب الذي يعتبر مسحوباً بموجب القاعدة 89(ثانياً).1(د-ثالثا) سيعامل بذات الطريقة التي يعامل بها الطلب الذي يعتبر مسحوباً لأي سبب آخر.  ويمكن لمكتب تسلم الطلبات أن يقرر ما إن كان سيرسل نسخة السجل بشكل ورقي أو مسحها ضوئياً وإرسالها إلكترونياً.  وترد أدناه الأجزاء ذات الصلة من القاعدة 89(ثانياً).1 بصيغتها السارية اعتبارًا من 1 يوليو 2025، لتسهيل الرجوع إليها.</w:t>
      </w:r>
    </w:p>
    <w:p w14:paraId="36B9FD3F" w14:textId="77777777" w:rsidR="00444DAF" w:rsidRPr="00444DAF" w:rsidRDefault="00444DAF" w:rsidP="00444DAF">
      <w:pPr>
        <w:pStyle w:val="ONUMA"/>
        <w:ind w:left="5530"/>
        <w:rPr>
          <w:i/>
          <w:iCs/>
          <w:rtl/>
        </w:rPr>
      </w:pPr>
      <w:r w:rsidRPr="00444DAF">
        <w:rPr>
          <w:rFonts w:hint="cs"/>
          <w:i/>
          <w:iCs/>
          <w:rtl/>
        </w:rPr>
        <w:lastRenderedPageBreak/>
        <w:t xml:space="preserve">إن الفريق العامل مدعو إلى النظر في التعديلات المقترحة على اللائحة التنفيذية لمعاهدة البراءات الواردة في مرفق الوثيقة </w:t>
      </w:r>
      <w:r w:rsidRPr="00444DAF">
        <w:rPr>
          <w:i/>
          <w:iCs/>
        </w:rPr>
        <w:t>PCT/WG/18/19</w:t>
      </w:r>
      <w:r w:rsidRPr="00444DAF">
        <w:rPr>
          <w:rFonts w:hint="cs"/>
          <w:i/>
          <w:iCs/>
          <w:rtl/>
        </w:rPr>
        <w:t>.</w:t>
      </w:r>
    </w:p>
    <w:p w14:paraId="18351A1A" w14:textId="77777777" w:rsidR="00444DAF" w:rsidRDefault="00444DAF" w:rsidP="00444DAF"/>
    <w:p w14:paraId="48372479" w14:textId="77777777" w:rsidR="00444DAF" w:rsidRPr="007A0CD3" w:rsidRDefault="00444DAF" w:rsidP="00444DAF"/>
    <w:p w14:paraId="067F054F" w14:textId="77777777" w:rsidR="00444DAF" w:rsidRDefault="00444DAF" w:rsidP="00444DAF">
      <w:pPr>
        <w:pStyle w:val="Endofdocument-Annex"/>
        <w:rPr>
          <w:rtl/>
        </w:rPr>
        <w:sectPr w:rsidR="00444DAF" w:rsidSect="00444DAF">
          <w:headerReference w:type="default" r:id="rId12"/>
          <w:endnotePr>
            <w:numFmt w:val="decimal"/>
          </w:endnotePr>
          <w:pgSz w:w="11907" w:h="16840" w:code="9"/>
          <w:pgMar w:top="567" w:right="1134" w:bottom="1418" w:left="1418" w:header="510" w:footer="1021" w:gutter="0"/>
          <w:cols w:space="720"/>
          <w:titlePg/>
          <w:docGrid w:linePitch="299"/>
        </w:sectPr>
      </w:pPr>
      <w:r>
        <w:rPr>
          <w:rFonts w:hint="cs"/>
          <w:rtl/>
        </w:rPr>
        <w:t>[يلي ذلك المرفق]</w:t>
      </w:r>
    </w:p>
    <w:p w14:paraId="51FB68E3" w14:textId="77777777" w:rsidR="00444DAF" w:rsidRDefault="00444DAF" w:rsidP="00444DAF">
      <w:pPr>
        <w:jc w:val="center"/>
        <w:rPr>
          <w:rtl/>
        </w:rPr>
      </w:pPr>
      <w:r>
        <w:rPr>
          <w:rFonts w:hint="cs"/>
          <w:rtl/>
        </w:rPr>
        <w:lastRenderedPageBreak/>
        <w:t>التعديلات المقترح إدخالها على اللائحة التنفيذية لمعاهدة التعاون بشأن البراءات</w:t>
      </w:r>
      <w:r>
        <w:rPr>
          <w:rStyle w:val="FootnoteReference"/>
          <w:caps/>
        </w:rPr>
        <w:footnoteReference w:id="2"/>
      </w:r>
    </w:p>
    <w:p w14:paraId="34F3A75B" w14:textId="77777777" w:rsidR="00444DAF" w:rsidRDefault="00444DAF" w:rsidP="00444DAF">
      <w:pPr>
        <w:jc w:val="center"/>
      </w:pPr>
    </w:p>
    <w:p w14:paraId="02680E34" w14:textId="77777777" w:rsidR="00444DAF" w:rsidRDefault="00444DAF" w:rsidP="00444DAF">
      <w:pPr>
        <w:jc w:val="center"/>
        <w:rPr>
          <w:rtl/>
        </w:rPr>
      </w:pPr>
      <w:r>
        <w:rPr>
          <w:rFonts w:hint="cs"/>
          <w:rtl/>
        </w:rPr>
        <w:t>قائمة المحتويات</w:t>
      </w:r>
    </w:p>
    <w:p w14:paraId="6CF58095" w14:textId="77777777" w:rsidR="00444DAF" w:rsidRDefault="00444DAF" w:rsidP="00444DAF"/>
    <w:p w14:paraId="2152CDF8" w14:textId="77777777" w:rsidR="00444DAF" w:rsidRDefault="00444DAF" w:rsidP="00444DAF"/>
    <w:p w14:paraId="4ADD52E6" w14:textId="264F689A" w:rsidR="00BA3A34" w:rsidRPr="00BA3A34" w:rsidRDefault="00444DAF">
      <w:pPr>
        <w:pStyle w:val="TOC1"/>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rPr>
        <w:fldChar w:fldCharType="begin"/>
      </w:r>
      <w:r w:rsidRPr="00BA3A34">
        <w:rPr>
          <w:rFonts w:asciiTheme="minorHAnsi" w:hAnsiTheme="minorHAnsi" w:cstheme="minorHAnsi"/>
          <w:rtl/>
        </w:rPr>
        <w:instrText xml:space="preserve"> </w:instrText>
      </w:r>
      <w:r w:rsidRPr="00BA3A34">
        <w:rPr>
          <w:rFonts w:asciiTheme="minorHAnsi" w:hAnsiTheme="minorHAnsi" w:cstheme="minorHAnsi"/>
        </w:rPr>
        <w:instrText xml:space="preserve">TOC \t "Leg # Title,1,Leg SubRule #,2" </w:instrText>
      </w:r>
      <w:r w:rsidRPr="00BA3A34">
        <w:rPr>
          <w:rFonts w:asciiTheme="minorHAnsi" w:hAnsiTheme="minorHAnsi" w:cstheme="minorHAnsi"/>
        </w:rPr>
        <w:fldChar w:fldCharType="separate"/>
      </w:r>
      <w:r w:rsidR="00BA3A34" w:rsidRPr="00BA3A34">
        <w:rPr>
          <w:rFonts w:asciiTheme="minorHAnsi" w:hAnsiTheme="minorHAnsi" w:cstheme="minorHAnsi"/>
          <w:noProof/>
          <w:rtl/>
        </w:rPr>
        <w:t>القاعدة 29 الطلبات الدولية التي تعد مسحوبة</w:t>
      </w:r>
      <w:r w:rsidR="00BA3A34" w:rsidRPr="00BA3A34">
        <w:rPr>
          <w:rFonts w:asciiTheme="minorHAnsi" w:hAnsiTheme="minorHAnsi" w:cstheme="minorHAnsi"/>
          <w:noProof/>
          <w:rtl/>
        </w:rPr>
        <w:tab/>
      </w:r>
      <w:r w:rsidR="00BA3A34" w:rsidRPr="00BA3A34">
        <w:rPr>
          <w:rFonts w:asciiTheme="minorHAnsi" w:hAnsiTheme="minorHAnsi" w:cstheme="minorHAnsi"/>
          <w:noProof/>
          <w:rtl/>
        </w:rPr>
        <w:fldChar w:fldCharType="begin"/>
      </w:r>
      <w:r w:rsidR="00BA3A34" w:rsidRPr="00BA3A34">
        <w:rPr>
          <w:rFonts w:asciiTheme="minorHAnsi" w:hAnsiTheme="minorHAnsi" w:cstheme="minorHAnsi"/>
          <w:noProof/>
          <w:rtl/>
        </w:rPr>
        <w:instrText xml:space="preserve"> </w:instrText>
      </w:r>
      <w:r w:rsidR="00BA3A34" w:rsidRPr="00BA3A34">
        <w:rPr>
          <w:rFonts w:asciiTheme="minorHAnsi" w:hAnsiTheme="minorHAnsi" w:cstheme="minorHAnsi"/>
          <w:noProof/>
        </w:rPr>
        <w:instrText>PAGEREF</w:instrText>
      </w:r>
      <w:r w:rsidR="00BA3A34" w:rsidRPr="00BA3A34">
        <w:rPr>
          <w:rFonts w:asciiTheme="minorHAnsi" w:hAnsiTheme="minorHAnsi" w:cstheme="minorHAnsi"/>
          <w:noProof/>
          <w:rtl/>
        </w:rPr>
        <w:instrText xml:space="preserve"> _</w:instrText>
      </w:r>
      <w:r w:rsidR="00BA3A34" w:rsidRPr="00BA3A34">
        <w:rPr>
          <w:rFonts w:asciiTheme="minorHAnsi" w:hAnsiTheme="minorHAnsi" w:cstheme="minorHAnsi"/>
          <w:noProof/>
        </w:rPr>
        <w:instrText>Toc189660230 \h</w:instrText>
      </w:r>
      <w:r w:rsidR="00BA3A34" w:rsidRPr="00BA3A34">
        <w:rPr>
          <w:rFonts w:asciiTheme="minorHAnsi" w:hAnsiTheme="minorHAnsi" w:cstheme="minorHAnsi"/>
          <w:noProof/>
          <w:rtl/>
        </w:rPr>
        <w:instrText xml:space="preserve"> </w:instrText>
      </w:r>
      <w:r w:rsidR="00BA3A34" w:rsidRPr="00BA3A34">
        <w:rPr>
          <w:rFonts w:asciiTheme="minorHAnsi" w:hAnsiTheme="minorHAnsi" w:cstheme="minorHAnsi"/>
          <w:noProof/>
          <w:rtl/>
        </w:rPr>
      </w:r>
      <w:r w:rsidR="00BA3A34" w:rsidRPr="00BA3A34">
        <w:rPr>
          <w:rFonts w:asciiTheme="minorHAnsi" w:hAnsiTheme="minorHAnsi" w:cstheme="minorHAnsi"/>
          <w:noProof/>
          <w:rtl/>
        </w:rPr>
        <w:fldChar w:fldCharType="separate"/>
      </w:r>
      <w:r w:rsidR="00EF0877">
        <w:rPr>
          <w:rFonts w:asciiTheme="minorHAnsi" w:hAnsiTheme="minorHAnsi" w:cstheme="minorHAnsi"/>
          <w:noProof/>
          <w:rtl/>
        </w:rPr>
        <w:t>2</w:t>
      </w:r>
      <w:r w:rsidR="00BA3A34" w:rsidRPr="00BA3A34">
        <w:rPr>
          <w:rFonts w:asciiTheme="minorHAnsi" w:hAnsiTheme="minorHAnsi" w:cstheme="minorHAnsi"/>
          <w:noProof/>
          <w:rtl/>
        </w:rPr>
        <w:fldChar w:fldCharType="end"/>
      </w:r>
    </w:p>
    <w:p w14:paraId="27C21E3E" w14:textId="163C4C14" w:rsidR="00BA3A34" w:rsidRPr="00BA3A34" w:rsidRDefault="00BA3A34">
      <w:pPr>
        <w:pStyle w:val="TOC2"/>
        <w:tabs>
          <w:tab w:val="left" w:pos="1200"/>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1.29</w:t>
      </w:r>
      <w:r w:rsidRPr="00BA3A34">
        <w:rPr>
          <w:rFonts w:asciiTheme="minorHAnsi" w:eastAsiaTheme="minorEastAsia" w:hAnsiTheme="minorHAnsi" w:cstheme="minorHAnsi"/>
          <w:noProof/>
          <w:kern w:val="2"/>
          <w:sz w:val="24"/>
          <w:szCs w:val="24"/>
          <w:rtl/>
          <w:lang w:eastAsia="en-US"/>
          <w14:ligatures w14:val="standardContextual"/>
        </w:rPr>
        <w:tab/>
      </w:r>
      <w:r w:rsidRPr="00BA3A34">
        <w:rPr>
          <w:rFonts w:asciiTheme="minorHAnsi" w:hAnsiTheme="minorHAnsi" w:cstheme="minorHAnsi"/>
          <w:i/>
          <w:iCs/>
          <w:noProof/>
          <w:rtl/>
        </w:rPr>
        <w:t>ملاحظة مكتب تسلم الطلبات</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Toc189660231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2</w:t>
      </w:r>
      <w:r w:rsidRPr="00BA3A34">
        <w:rPr>
          <w:rFonts w:asciiTheme="minorHAnsi" w:hAnsiTheme="minorHAnsi" w:cstheme="minorHAnsi"/>
          <w:noProof/>
          <w:rtl/>
        </w:rPr>
        <w:fldChar w:fldCharType="end"/>
      </w:r>
    </w:p>
    <w:p w14:paraId="5D0EFE73" w14:textId="712CE729" w:rsidR="00BA3A34" w:rsidRPr="00BA3A34" w:rsidRDefault="00BA3A34">
      <w:pPr>
        <w:pStyle w:val="TOC2"/>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2.29   </w:t>
      </w:r>
      <w:r w:rsidRPr="00BA3A34">
        <w:rPr>
          <w:rFonts w:asciiTheme="minorHAnsi" w:hAnsiTheme="minorHAnsi" w:cstheme="minorHAnsi"/>
          <w:i/>
          <w:iCs/>
          <w:noProof/>
          <w:rtl/>
        </w:rPr>
        <w:t>[تظل محذوفة]</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Toc189660232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2</w:t>
      </w:r>
      <w:r w:rsidRPr="00BA3A34">
        <w:rPr>
          <w:rFonts w:asciiTheme="minorHAnsi" w:hAnsiTheme="minorHAnsi" w:cstheme="minorHAnsi"/>
          <w:noProof/>
          <w:rtl/>
        </w:rPr>
        <w:fldChar w:fldCharType="end"/>
      </w:r>
    </w:p>
    <w:p w14:paraId="23445806" w14:textId="20A08B40" w:rsidR="00BA3A34" w:rsidRPr="00BA3A34" w:rsidRDefault="00BA3A34">
      <w:pPr>
        <w:pStyle w:val="TOC2"/>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‎3.29 و4.29   </w:t>
      </w:r>
      <w:r w:rsidRPr="00BA3A34">
        <w:rPr>
          <w:rFonts w:asciiTheme="minorHAnsi" w:hAnsiTheme="minorHAnsi" w:cstheme="minorHAnsi"/>
          <w:i/>
          <w:iCs/>
          <w:noProof/>
          <w:rtl/>
        </w:rPr>
        <w:t>[بدون تغيير]</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Toc189660233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2</w:t>
      </w:r>
      <w:r w:rsidRPr="00BA3A34">
        <w:rPr>
          <w:rFonts w:asciiTheme="minorHAnsi" w:hAnsiTheme="minorHAnsi" w:cstheme="minorHAnsi"/>
          <w:noProof/>
          <w:rtl/>
        </w:rPr>
        <w:fldChar w:fldCharType="end"/>
      </w:r>
    </w:p>
    <w:p w14:paraId="0FF19448" w14:textId="1D3CBB79" w:rsidR="00BA3A34" w:rsidRPr="00BA3A34" w:rsidRDefault="00BA3A34">
      <w:pPr>
        <w:pStyle w:val="TOC1"/>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القاعدة 89(ثانياً) إيداع الطلبات الدولية والمستندات الأخرى ومعالجتها  وتحويلها في شكل إلكتروني أو بوسائل إلكترونية</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Toc189660234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3</w:t>
      </w:r>
      <w:r w:rsidRPr="00BA3A34">
        <w:rPr>
          <w:rFonts w:asciiTheme="minorHAnsi" w:hAnsiTheme="minorHAnsi" w:cstheme="minorHAnsi"/>
          <w:noProof/>
          <w:rtl/>
        </w:rPr>
        <w:fldChar w:fldCharType="end"/>
      </w:r>
    </w:p>
    <w:p w14:paraId="41D2472D" w14:textId="5CFF5634" w:rsidR="00BA3A34" w:rsidRPr="00BA3A34" w:rsidRDefault="00BA3A34">
      <w:pPr>
        <w:pStyle w:val="TOC2"/>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89(ثانيا).1 [بدون تغيير]  </w:t>
      </w:r>
      <w:r w:rsidRPr="00BA3A34">
        <w:rPr>
          <w:rFonts w:asciiTheme="minorHAnsi" w:hAnsiTheme="minorHAnsi" w:cstheme="minorHAnsi"/>
          <w:i/>
          <w:iCs/>
          <w:noProof/>
          <w:rtl/>
        </w:rPr>
        <w:t>الطلبات الدولية</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Toc189660235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3</w:t>
      </w:r>
      <w:r w:rsidRPr="00BA3A34">
        <w:rPr>
          <w:rFonts w:asciiTheme="minorHAnsi" w:hAnsiTheme="minorHAnsi" w:cstheme="minorHAnsi"/>
          <w:noProof/>
          <w:rtl/>
        </w:rPr>
        <w:fldChar w:fldCharType="end"/>
      </w:r>
    </w:p>
    <w:p w14:paraId="3B016BF4" w14:textId="369967D6" w:rsidR="00BA3A34" w:rsidRPr="00BA3A34" w:rsidRDefault="00BA3A34">
      <w:pPr>
        <w:pStyle w:val="TOC2"/>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 xml:space="preserve">89(ثانيا).2   [بدون تغيير] </w:t>
      </w:r>
      <w:r w:rsidRPr="00BA3A34">
        <w:rPr>
          <w:rFonts w:asciiTheme="minorHAnsi" w:hAnsiTheme="minorHAnsi" w:cstheme="minorHAnsi"/>
          <w:i/>
          <w:iCs/>
          <w:noProof/>
          <w:rtl/>
        </w:rPr>
        <w:t>المستندات الأخرى</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Toc189660236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3</w:t>
      </w:r>
      <w:r w:rsidRPr="00BA3A34">
        <w:rPr>
          <w:rFonts w:asciiTheme="minorHAnsi" w:hAnsiTheme="minorHAnsi" w:cstheme="minorHAnsi"/>
          <w:noProof/>
          <w:rtl/>
        </w:rPr>
        <w:fldChar w:fldCharType="end"/>
      </w:r>
    </w:p>
    <w:p w14:paraId="40974AFA" w14:textId="19BFF2C0" w:rsidR="00BA3A34" w:rsidRPr="00BA3A34" w:rsidRDefault="00BA3A34">
      <w:pPr>
        <w:pStyle w:val="TOC2"/>
        <w:tabs>
          <w:tab w:val="right" w:leader="dot" w:pos="9345"/>
        </w:tabs>
        <w:bidi/>
        <w:rPr>
          <w:rFonts w:asciiTheme="minorHAnsi" w:eastAsiaTheme="minorEastAsia" w:hAnsiTheme="minorHAnsi" w:cstheme="minorHAnsi"/>
          <w:noProof/>
          <w:kern w:val="2"/>
          <w:sz w:val="24"/>
          <w:szCs w:val="24"/>
          <w:rtl/>
          <w:lang w:eastAsia="en-US"/>
          <w14:ligatures w14:val="standardContextual"/>
        </w:rPr>
      </w:pPr>
      <w:r w:rsidRPr="00BA3A34">
        <w:rPr>
          <w:rFonts w:asciiTheme="minorHAnsi" w:hAnsiTheme="minorHAnsi" w:cstheme="minorHAnsi"/>
          <w:noProof/>
          <w:rtl/>
        </w:rPr>
        <w:t>89(ثانيا).3   </w:t>
      </w:r>
      <w:r w:rsidRPr="00BA3A34">
        <w:rPr>
          <w:rFonts w:asciiTheme="minorHAnsi" w:hAnsiTheme="minorHAnsi" w:cstheme="minorHAnsi"/>
          <w:i/>
          <w:iCs/>
          <w:noProof/>
          <w:rtl/>
        </w:rPr>
        <w:t>[بدون تغيير]</w:t>
      </w:r>
      <w:r w:rsidRPr="00BA3A34">
        <w:rPr>
          <w:rFonts w:asciiTheme="minorHAnsi" w:hAnsiTheme="minorHAnsi" w:cstheme="minorHAnsi"/>
          <w:noProof/>
          <w:rtl/>
        </w:rPr>
        <w:tab/>
      </w:r>
      <w:r w:rsidRPr="00BA3A34">
        <w:rPr>
          <w:rFonts w:asciiTheme="minorHAnsi" w:hAnsiTheme="minorHAnsi" w:cstheme="minorHAnsi"/>
          <w:noProof/>
          <w:rtl/>
        </w:rPr>
        <w:fldChar w:fldCharType="begin"/>
      </w:r>
      <w:r w:rsidRPr="00BA3A34">
        <w:rPr>
          <w:rFonts w:asciiTheme="minorHAnsi" w:hAnsiTheme="minorHAnsi" w:cstheme="minorHAnsi"/>
          <w:noProof/>
          <w:rtl/>
        </w:rPr>
        <w:instrText xml:space="preserve"> </w:instrText>
      </w:r>
      <w:r w:rsidRPr="00BA3A34">
        <w:rPr>
          <w:rFonts w:asciiTheme="minorHAnsi" w:hAnsiTheme="minorHAnsi" w:cstheme="minorHAnsi"/>
          <w:noProof/>
        </w:rPr>
        <w:instrText>PAGEREF</w:instrText>
      </w:r>
      <w:r w:rsidRPr="00BA3A34">
        <w:rPr>
          <w:rFonts w:asciiTheme="minorHAnsi" w:hAnsiTheme="minorHAnsi" w:cstheme="minorHAnsi"/>
          <w:noProof/>
          <w:rtl/>
        </w:rPr>
        <w:instrText xml:space="preserve"> _</w:instrText>
      </w:r>
      <w:r w:rsidRPr="00BA3A34">
        <w:rPr>
          <w:rFonts w:asciiTheme="minorHAnsi" w:hAnsiTheme="minorHAnsi" w:cstheme="minorHAnsi"/>
          <w:noProof/>
        </w:rPr>
        <w:instrText>Toc189660237 \h</w:instrText>
      </w:r>
      <w:r w:rsidRPr="00BA3A34">
        <w:rPr>
          <w:rFonts w:asciiTheme="minorHAnsi" w:hAnsiTheme="minorHAnsi" w:cstheme="minorHAnsi"/>
          <w:noProof/>
          <w:rtl/>
        </w:rPr>
        <w:instrText xml:space="preserve"> </w:instrText>
      </w:r>
      <w:r w:rsidRPr="00BA3A34">
        <w:rPr>
          <w:rFonts w:asciiTheme="minorHAnsi" w:hAnsiTheme="minorHAnsi" w:cstheme="minorHAnsi"/>
          <w:noProof/>
          <w:rtl/>
        </w:rPr>
      </w:r>
      <w:r w:rsidRPr="00BA3A34">
        <w:rPr>
          <w:rFonts w:asciiTheme="minorHAnsi" w:hAnsiTheme="minorHAnsi" w:cstheme="minorHAnsi"/>
          <w:noProof/>
          <w:rtl/>
        </w:rPr>
        <w:fldChar w:fldCharType="separate"/>
      </w:r>
      <w:r w:rsidR="00EF0877">
        <w:rPr>
          <w:rFonts w:asciiTheme="minorHAnsi" w:hAnsiTheme="minorHAnsi" w:cstheme="minorHAnsi"/>
          <w:noProof/>
          <w:rtl/>
        </w:rPr>
        <w:t>3</w:t>
      </w:r>
      <w:r w:rsidRPr="00BA3A34">
        <w:rPr>
          <w:rFonts w:asciiTheme="minorHAnsi" w:hAnsiTheme="minorHAnsi" w:cstheme="minorHAnsi"/>
          <w:noProof/>
          <w:rtl/>
        </w:rPr>
        <w:fldChar w:fldCharType="end"/>
      </w:r>
    </w:p>
    <w:p w14:paraId="3BD3C1F5" w14:textId="072442C6" w:rsidR="00444DAF" w:rsidRPr="00BA3A34" w:rsidRDefault="00444DAF" w:rsidP="00444DAF">
      <w:pPr>
        <w:rPr>
          <w:rFonts w:asciiTheme="minorHAnsi" w:hAnsiTheme="minorHAnsi" w:cstheme="minorHAnsi"/>
          <w:rtl/>
        </w:rPr>
      </w:pPr>
      <w:r w:rsidRPr="00BA3A34">
        <w:rPr>
          <w:rFonts w:asciiTheme="minorHAnsi" w:hAnsiTheme="minorHAnsi" w:cstheme="minorHAnsi"/>
        </w:rPr>
        <w:fldChar w:fldCharType="end"/>
      </w:r>
    </w:p>
    <w:p w14:paraId="45C49BDC" w14:textId="77777777" w:rsidR="00444DAF" w:rsidRPr="00BA3A34" w:rsidRDefault="00444DAF" w:rsidP="00444DAF">
      <w:pPr>
        <w:rPr>
          <w:rFonts w:asciiTheme="minorHAnsi" w:hAnsiTheme="minorHAnsi" w:cstheme="minorHAnsi"/>
        </w:rPr>
      </w:pPr>
    </w:p>
    <w:p w14:paraId="229C282E" w14:textId="77777777" w:rsidR="00444DAF" w:rsidRDefault="00444DAF" w:rsidP="00444DAF"/>
    <w:p w14:paraId="5BBE3DB5" w14:textId="77777777" w:rsidR="00444DAF" w:rsidRPr="0078519E" w:rsidRDefault="00444DAF" w:rsidP="00444DAF">
      <w:pPr>
        <w:pStyle w:val="LegTitle"/>
        <w:bidi/>
        <w:rPr>
          <w:rFonts w:asciiTheme="minorHAnsi" w:hAnsiTheme="minorHAnsi" w:cstheme="minorHAnsi"/>
          <w:b w:val="0"/>
          <w:bCs/>
          <w:rtl/>
        </w:rPr>
      </w:pPr>
      <w:bookmarkStart w:id="6" w:name="_Toc189660230"/>
      <w:r w:rsidRPr="0078519E">
        <w:rPr>
          <w:rFonts w:asciiTheme="minorHAnsi" w:hAnsiTheme="minorHAnsi" w:cstheme="minorHAnsi"/>
          <w:b w:val="0"/>
          <w:bCs/>
          <w:rtl/>
        </w:rPr>
        <w:t>القاعدة 29</w:t>
      </w:r>
      <w:r w:rsidRPr="0078519E">
        <w:rPr>
          <w:rFonts w:asciiTheme="minorHAnsi" w:hAnsiTheme="minorHAnsi" w:cstheme="minorHAnsi"/>
          <w:b w:val="0"/>
          <w:bCs/>
          <w:vanish/>
          <w:rtl/>
          <w:lang w:val="en-GB"/>
        </w:rPr>
        <w:t xml:space="preserve">- </w:t>
      </w:r>
      <w:r w:rsidRPr="0078519E">
        <w:rPr>
          <w:rFonts w:asciiTheme="minorHAnsi" w:hAnsiTheme="minorHAnsi" w:cstheme="minorHAnsi"/>
          <w:b w:val="0"/>
          <w:bCs/>
          <w:rtl/>
        </w:rPr>
        <w:br/>
        <w:t>الطلبات الدولية التي تعد مسحوبة</w:t>
      </w:r>
      <w:bookmarkEnd w:id="6"/>
    </w:p>
    <w:p w14:paraId="2C523028" w14:textId="77777777" w:rsidR="00444DAF" w:rsidRPr="0078519E" w:rsidRDefault="00444DAF" w:rsidP="00444DAF">
      <w:pPr>
        <w:pStyle w:val="LegSubRule"/>
        <w:bidi/>
        <w:rPr>
          <w:rFonts w:asciiTheme="minorHAnsi" w:hAnsiTheme="minorHAnsi" w:cstheme="minorHAnsi"/>
          <w:rtl/>
        </w:rPr>
      </w:pPr>
      <w:bookmarkStart w:id="7" w:name="_Toc189660231"/>
      <w:r>
        <w:rPr>
          <w:rFonts w:hint="cs"/>
          <w:rtl/>
        </w:rPr>
        <w:t>1.29</w:t>
      </w:r>
      <w:r w:rsidRPr="0078519E">
        <w:rPr>
          <w:rFonts w:asciiTheme="minorHAnsi" w:hAnsiTheme="minorHAnsi" w:cstheme="minorHAnsi"/>
          <w:i/>
          <w:iCs/>
          <w:rtl/>
        </w:rPr>
        <w:tab/>
        <w:t>ملاحظة مكتب تسلم الطلبات</w:t>
      </w:r>
      <w:bookmarkEnd w:id="7"/>
    </w:p>
    <w:p w14:paraId="680E3B7B" w14:textId="77777777" w:rsidR="00444DAF" w:rsidRPr="0078519E" w:rsidRDefault="00444DAF" w:rsidP="00444DAF">
      <w:pPr>
        <w:pStyle w:val="Lega"/>
        <w:bidi/>
        <w:rPr>
          <w:rFonts w:asciiTheme="minorHAnsi" w:hAnsiTheme="minorHAnsi" w:cstheme="minorHAnsi"/>
          <w:rtl/>
        </w:rPr>
      </w:pPr>
      <w:r w:rsidRPr="0078519E">
        <w:rPr>
          <w:rFonts w:asciiTheme="minorHAnsi" w:hAnsiTheme="minorHAnsi" w:cstheme="minorHAnsi"/>
          <w:rtl/>
        </w:rPr>
        <w:tab/>
        <w:t xml:space="preserve">إذا أعلن مكتب تسلم الطلبات بناء على المادة 14(1)(ب) والقاعدة 26.5 (التخلف عن تصحيح بعض أوجه النقص) أو بناء على المادة 14(3)(أ) (التخلف عن تسديد الرسوم المنصوص عليها في القاعدة 27.1(أ)) أو بناء على المادة 14(4) (الملاحظة اللاحقة بعدم استيفاء الشروط الواردة في البنود "1" إلى "3" من المادة 11(1)) أو بناء على القاعدة 12.3(د) أو 12.4(د) أو 3.26(ثالثا) (التخلف عن تقديم الترجمة المطلوبة أو عن تسديد رسم التأخير عند الاقتضاء)، </w:t>
      </w:r>
      <w:r w:rsidRPr="0078519E">
        <w:rPr>
          <w:rStyle w:val="LegInsertedText"/>
          <w:rFonts w:asciiTheme="minorHAnsi" w:hAnsiTheme="minorHAnsi" w:cstheme="minorHAnsi"/>
          <w:rtl/>
        </w:rPr>
        <w:t>أو بموجب القاعدة 89(ثانياً).1(د-ثالثا) (التخلف عن تقديم نسخة من طلب دولي بالوسائل الإلكترونية)،</w:t>
      </w:r>
      <w:r w:rsidRPr="0078519E">
        <w:rPr>
          <w:rFonts w:asciiTheme="minorHAnsi" w:hAnsiTheme="minorHAnsi" w:cstheme="minorHAnsi"/>
          <w:rtl/>
        </w:rPr>
        <w:t xml:space="preserve"> أو بناء على القاعدة 92.4(ز)"1" (التخلف عن تقديم النسخة الأصلية) أن الطلب الدولي يعد مسحوبا:</w:t>
      </w:r>
    </w:p>
    <w:p w14:paraId="050CCC6E" w14:textId="77777777" w:rsidR="00444DAF" w:rsidRPr="0078519E" w:rsidRDefault="00444DAF" w:rsidP="00444DAF">
      <w:pPr>
        <w:pStyle w:val="Legi"/>
        <w:bidi/>
        <w:rPr>
          <w:rFonts w:asciiTheme="minorHAnsi" w:hAnsiTheme="minorHAnsi" w:cstheme="minorHAnsi"/>
          <w:rtl/>
        </w:rPr>
      </w:pPr>
      <w:r w:rsidRPr="0078519E">
        <w:rPr>
          <w:rFonts w:asciiTheme="minorHAnsi" w:hAnsiTheme="minorHAnsi" w:cstheme="minorHAnsi"/>
          <w:rtl/>
        </w:rPr>
        <w:tab/>
        <w:t>"1"</w:t>
      </w:r>
      <w:r w:rsidRPr="0078519E">
        <w:rPr>
          <w:rFonts w:asciiTheme="minorHAnsi" w:hAnsiTheme="minorHAnsi" w:cstheme="minorHAnsi"/>
          <w:rtl/>
        </w:rPr>
        <w:tab/>
        <w:t>وجب عليه أن يرسل النسخة الأصلية إلى المكتب الدولي (ما لم يكن قد أرسلها بالفعل) وكذلك أي تصحيح يقدمه مودع الطلب؛</w:t>
      </w:r>
    </w:p>
    <w:p w14:paraId="570B5D45" w14:textId="77777777" w:rsidR="00444DAF" w:rsidRPr="0078519E" w:rsidRDefault="00444DAF" w:rsidP="00444DAF">
      <w:pPr>
        <w:pStyle w:val="Legi"/>
        <w:bidi/>
        <w:rPr>
          <w:rFonts w:asciiTheme="minorHAnsi" w:hAnsiTheme="minorHAnsi" w:cstheme="minorHAnsi"/>
          <w:rtl/>
        </w:rPr>
      </w:pPr>
      <w:r w:rsidRPr="0078519E">
        <w:rPr>
          <w:rFonts w:asciiTheme="minorHAnsi" w:hAnsiTheme="minorHAnsi" w:cstheme="minorHAnsi"/>
          <w:rtl/>
        </w:rPr>
        <w:tab/>
        <w:t>"2"</w:t>
      </w:r>
      <w:r w:rsidRPr="0078519E">
        <w:rPr>
          <w:rFonts w:asciiTheme="minorHAnsi" w:hAnsiTheme="minorHAnsi" w:cstheme="minorHAnsi"/>
          <w:rtl/>
        </w:rPr>
        <w:tab/>
        <w:t>وجب عليه أن يبلغ ذلك الإعلان لكل من مودع الطلب والمكتب الدولي في أقرب فرصة، على أن يبلغه المكتب الدولي بدوره لكل مكتب معين سبق له أن تسلم إخطارا بتعيينه؛</w:t>
      </w:r>
    </w:p>
    <w:p w14:paraId="6A05FA94" w14:textId="77777777" w:rsidR="00444DAF" w:rsidRPr="0078519E" w:rsidRDefault="00444DAF" w:rsidP="00444DAF">
      <w:pPr>
        <w:pStyle w:val="Legi"/>
        <w:bidi/>
        <w:rPr>
          <w:rFonts w:asciiTheme="minorHAnsi" w:hAnsiTheme="minorHAnsi" w:cstheme="minorHAnsi"/>
          <w:rtl/>
        </w:rPr>
      </w:pPr>
      <w:r w:rsidRPr="0078519E">
        <w:rPr>
          <w:rFonts w:asciiTheme="minorHAnsi" w:hAnsiTheme="minorHAnsi" w:cstheme="minorHAnsi"/>
          <w:rtl/>
        </w:rPr>
        <w:tab/>
        <w:t>"3"</w:t>
      </w:r>
      <w:r w:rsidRPr="0078519E">
        <w:rPr>
          <w:rFonts w:asciiTheme="minorHAnsi" w:hAnsiTheme="minorHAnsi" w:cstheme="minorHAnsi"/>
          <w:rtl/>
        </w:rPr>
        <w:tab/>
        <w:t>وجب عليه ألا يرسل صورة عن البحث كما هو منصوص عليه في القاعدة 23، أو وجب عليه أن يبلغ ذلك الإعلان لإدارة البحث الدولي إن سبق إرسال صورة عن البحث؛</w:t>
      </w:r>
    </w:p>
    <w:p w14:paraId="026AE9CB" w14:textId="77777777" w:rsidR="00444DAF" w:rsidRPr="0078519E" w:rsidRDefault="00444DAF" w:rsidP="00444DAF">
      <w:pPr>
        <w:pStyle w:val="Legi"/>
        <w:bidi/>
        <w:rPr>
          <w:rFonts w:asciiTheme="minorHAnsi" w:hAnsiTheme="minorHAnsi" w:cstheme="minorHAnsi"/>
          <w:rtl/>
        </w:rPr>
      </w:pPr>
      <w:r w:rsidRPr="0078519E">
        <w:rPr>
          <w:rFonts w:asciiTheme="minorHAnsi" w:hAnsiTheme="minorHAnsi" w:cstheme="minorHAnsi"/>
          <w:rtl/>
        </w:rPr>
        <w:tab/>
        <w:t>"4"</w:t>
      </w:r>
      <w:r w:rsidRPr="0078519E">
        <w:rPr>
          <w:rFonts w:asciiTheme="minorHAnsi" w:hAnsiTheme="minorHAnsi" w:cstheme="minorHAnsi"/>
          <w:rtl/>
        </w:rPr>
        <w:tab/>
        <w:t>وجب عليه ألا يطالب المكتب الدولي بتبليغ مودع الطلب بتسلم النسخة الأصلية؛</w:t>
      </w:r>
    </w:p>
    <w:p w14:paraId="5A97C50B" w14:textId="77777777" w:rsidR="00444DAF" w:rsidRPr="0078519E" w:rsidRDefault="00444DAF" w:rsidP="00444DAF">
      <w:pPr>
        <w:pStyle w:val="Legi"/>
        <w:bidi/>
        <w:rPr>
          <w:rFonts w:asciiTheme="minorHAnsi" w:hAnsiTheme="minorHAnsi" w:cstheme="minorHAnsi"/>
          <w:i/>
          <w:rtl/>
        </w:rPr>
      </w:pPr>
      <w:r w:rsidRPr="0078519E">
        <w:rPr>
          <w:rFonts w:asciiTheme="minorHAnsi" w:hAnsiTheme="minorHAnsi" w:cstheme="minorHAnsi"/>
          <w:rtl/>
        </w:rPr>
        <w:tab/>
        <w:t>"5"</w:t>
      </w:r>
      <w:r w:rsidRPr="0078519E">
        <w:rPr>
          <w:rFonts w:asciiTheme="minorHAnsi" w:hAnsiTheme="minorHAnsi" w:cstheme="minorHAnsi"/>
          <w:rtl/>
        </w:rPr>
        <w:tab/>
        <w:t>لا يجرى النشر الدولي للطلب الدولي إذا وصل الإبلاغ بذلك الإخطار الذي يرسله مكتب تسلم الطلبات إلى المكتب الدولي قبل الانتهاء من إعداد النشر الدولي من الناحية التقنية.</w:t>
      </w:r>
    </w:p>
    <w:p w14:paraId="0B6F2EF6" w14:textId="77777777" w:rsidR="00444DAF" w:rsidRPr="0078519E" w:rsidRDefault="00444DAF" w:rsidP="00444DAF">
      <w:pPr>
        <w:pStyle w:val="LegSubRule"/>
        <w:bidi/>
        <w:rPr>
          <w:rFonts w:asciiTheme="minorHAnsi" w:hAnsiTheme="minorHAnsi" w:cstheme="minorHAnsi"/>
          <w:rtl/>
        </w:rPr>
      </w:pPr>
      <w:bookmarkStart w:id="8" w:name="_Toc189660232"/>
      <w:r w:rsidRPr="0078519E">
        <w:rPr>
          <w:rFonts w:asciiTheme="minorHAnsi" w:hAnsiTheme="minorHAnsi" w:cstheme="minorHAnsi"/>
          <w:rtl/>
        </w:rPr>
        <w:t>2.29   </w:t>
      </w:r>
      <w:r w:rsidRPr="0078519E">
        <w:rPr>
          <w:rFonts w:asciiTheme="minorHAnsi" w:hAnsiTheme="minorHAnsi" w:cstheme="minorHAnsi"/>
          <w:i/>
          <w:iCs/>
          <w:rtl/>
        </w:rPr>
        <w:t>[تظل محذوفة]</w:t>
      </w:r>
      <w:bookmarkEnd w:id="8"/>
    </w:p>
    <w:p w14:paraId="4369566E" w14:textId="77777777" w:rsidR="00444DAF" w:rsidRPr="0078519E" w:rsidRDefault="00444DAF" w:rsidP="00444DAF">
      <w:pPr>
        <w:pStyle w:val="LegSubRule"/>
        <w:bidi/>
        <w:rPr>
          <w:rFonts w:asciiTheme="minorHAnsi" w:hAnsiTheme="minorHAnsi" w:cstheme="minorHAnsi"/>
          <w:rtl/>
        </w:rPr>
      </w:pPr>
      <w:bookmarkStart w:id="9" w:name="_Toc189660233"/>
      <w:r w:rsidRPr="0078519E">
        <w:rPr>
          <w:rFonts w:asciiTheme="minorHAnsi" w:hAnsiTheme="minorHAnsi" w:cstheme="minorHAnsi"/>
          <w:rtl/>
        </w:rPr>
        <w:t>‎3.29 و4.29   </w:t>
      </w:r>
      <w:r w:rsidRPr="0078519E">
        <w:rPr>
          <w:rFonts w:asciiTheme="minorHAnsi" w:hAnsiTheme="minorHAnsi" w:cstheme="minorHAnsi"/>
          <w:i/>
          <w:iCs/>
          <w:rtl/>
        </w:rPr>
        <w:t>[بدون تغيير]</w:t>
      </w:r>
      <w:bookmarkEnd w:id="9"/>
    </w:p>
    <w:p w14:paraId="3B25833E" w14:textId="77777777" w:rsidR="00444DAF" w:rsidRPr="0078519E" w:rsidRDefault="00444DAF" w:rsidP="00444DAF">
      <w:pPr>
        <w:rPr>
          <w:rFonts w:asciiTheme="minorHAnsi" w:hAnsiTheme="minorHAnsi" w:cstheme="minorHAnsi"/>
        </w:rPr>
      </w:pPr>
    </w:p>
    <w:p w14:paraId="2928ADBA" w14:textId="422403F8" w:rsidR="00444DAF" w:rsidRPr="0078519E" w:rsidRDefault="00444DAF" w:rsidP="00444DAF">
      <w:pPr>
        <w:pStyle w:val="LegTitle"/>
        <w:bidi/>
        <w:rPr>
          <w:rFonts w:asciiTheme="minorHAnsi" w:hAnsiTheme="minorHAnsi" w:cstheme="minorHAnsi"/>
          <w:b w:val="0"/>
          <w:bCs/>
          <w:rtl/>
        </w:rPr>
      </w:pPr>
      <w:bookmarkStart w:id="10" w:name="_Toc160470697"/>
      <w:bookmarkStart w:id="11" w:name="_Toc160471085"/>
      <w:bookmarkStart w:id="12" w:name="_Toc160471224"/>
      <w:bookmarkStart w:id="13" w:name="_Toc160471347"/>
      <w:bookmarkStart w:id="14" w:name="_Toc160471515"/>
      <w:bookmarkStart w:id="15" w:name="_Toc160542735"/>
      <w:bookmarkStart w:id="16" w:name="_Toc189660234"/>
      <w:r w:rsidRPr="0078519E">
        <w:rPr>
          <w:rFonts w:asciiTheme="minorHAnsi" w:hAnsiTheme="minorHAnsi" w:cstheme="minorHAnsi"/>
          <w:b w:val="0"/>
          <w:bCs/>
          <w:rtl/>
        </w:rPr>
        <w:t>القاعدة 89(ثانياً)</w:t>
      </w:r>
      <w:r w:rsidRPr="0078519E">
        <w:rPr>
          <w:rFonts w:asciiTheme="minorHAnsi" w:hAnsiTheme="minorHAnsi" w:cstheme="minorHAnsi"/>
          <w:b w:val="0"/>
          <w:bCs/>
          <w:rtl/>
        </w:rPr>
        <w:br/>
        <w:t xml:space="preserve">إيداع الطلبات الدولية والمستندات الأخرى ومعالجتها </w:t>
      </w:r>
      <w:r w:rsidRPr="0078519E">
        <w:rPr>
          <w:rFonts w:asciiTheme="minorHAnsi" w:hAnsiTheme="minorHAnsi" w:cstheme="minorHAnsi"/>
          <w:b w:val="0"/>
          <w:bCs/>
          <w:rtl/>
        </w:rPr>
        <w:br/>
        <w:t>وتحويلها في شكل إلكتروني أو بوسائل إلكترونية</w:t>
      </w:r>
      <w:bookmarkEnd w:id="10"/>
      <w:bookmarkEnd w:id="11"/>
      <w:bookmarkEnd w:id="12"/>
      <w:bookmarkEnd w:id="13"/>
      <w:bookmarkEnd w:id="14"/>
      <w:bookmarkEnd w:id="15"/>
      <w:bookmarkEnd w:id="16"/>
    </w:p>
    <w:p w14:paraId="189D87FF" w14:textId="77777777" w:rsidR="00444DAF" w:rsidRPr="0078519E" w:rsidRDefault="00444DAF" w:rsidP="00444DAF">
      <w:pPr>
        <w:pStyle w:val="LegSubRule"/>
        <w:bidi/>
        <w:rPr>
          <w:rFonts w:asciiTheme="minorHAnsi" w:hAnsiTheme="minorHAnsi" w:cstheme="minorHAnsi"/>
          <w:rtl/>
        </w:rPr>
      </w:pPr>
      <w:bookmarkStart w:id="17" w:name="_Toc160470698"/>
      <w:bookmarkStart w:id="18" w:name="_Toc160471086"/>
      <w:bookmarkStart w:id="19" w:name="_Toc160471225"/>
      <w:bookmarkStart w:id="20" w:name="_Toc160471348"/>
      <w:bookmarkStart w:id="21" w:name="_Toc160471516"/>
      <w:bookmarkStart w:id="22" w:name="_Toc160542736"/>
      <w:bookmarkStart w:id="23" w:name="_Toc189660235"/>
      <w:r w:rsidRPr="0078519E">
        <w:rPr>
          <w:rFonts w:asciiTheme="minorHAnsi" w:hAnsiTheme="minorHAnsi" w:cstheme="minorHAnsi"/>
          <w:rtl/>
        </w:rPr>
        <w:t>89(ثانيا).1 [بدون تغيير]  </w:t>
      </w:r>
      <w:r w:rsidRPr="0078519E">
        <w:rPr>
          <w:rFonts w:asciiTheme="minorHAnsi" w:hAnsiTheme="minorHAnsi" w:cstheme="minorHAnsi"/>
          <w:i/>
          <w:iCs/>
          <w:rtl/>
        </w:rPr>
        <w:t>الطلبات الدولية</w:t>
      </w:r>
      <w:bookmarkEnd w:id="17"/>
      <w:bookmarkEnd w:id="18"/>
      <w:bookmarkEnd w:id="19"/>
      <w:bookmarkEnd w:id="20"/>
      <w:bookmarkEnd w:id="21"/>
      <w:bookmarkEnd w:id="22"/>
      <w:bookmarkEnd w:id="23"/>
    </w:p>
    <w:p w14:paraId="6E7709CA" w14:textId="77777777" w:rsidR="00444DAF" w:rsidRPr="0078519E" w:rsidRDefault="00444DAF" w:rsidP="00444DAF">
      <w:pPr>
        <w:pStyle w:val="Lega"/>
        <w:bidi/>
        <w:rPr>
          <w:rFonts w:asciiTheme="minorHAnsi" w:hAnsiTheme="minorHAnsi" w:cstheme="minorHAnsi"/>
          <w:rtl/>
        </w:rPr>
      </w:pPr>
      <w:r w:rsidRPr="0078519E">
        <w:rPr>
          <w:rFonts w:asciiTheme="minorHAnsi" w:hAnsiTheme="minorHAnsi" w:cstheme="minorHAnsi"/>
          <w:rtl/>
        </w:rPr>
        <w:tab/>
        <w:t xml:space="preserve">( أ )   [بدون تغيير] يجوز إيداع الطلبات الدولية ومعالجتها في شكل إلكتروني أو بوسائل إلكترونية وفقا للتعليمات الإدارية، مع مراعاة الفقرات من (ب) إلى (ﻫ).  </w:t>
      </w:r>
    </w:p>
    <w:p w14:paraId="67BF8783" w14:textId="77777777" w:rsidR="00444DAF" w:rsidRPr="0078519E" w:rsidRDefault="00444DAF" w:rsidP="00444DAF">
      <w:pPr>
        <w:pStyle w:val="Lega"/>
        <w:bidi/>
        <w:rPr>
          <w:rFonts w:asciiTheme="minorHAnsi" w:hAnsiTheme="minorHAnsi" w:cstheme="minorHAnsi"/>
          <w:rtl/>
        </w:rPr>
      </w:pPr>
      <w:r w:rsidRPr="0078519E">
        <w:rPr>
          <w:rFonts w:asciiTheme="minorHAnsi" w:hAnsiTheme="minorHAnsi" w:cstheme="minorHAnsi"/>
          <w:rtl/>
        </w:rPr>
        <w:tab/>
        <w:t>(ب) إلى (د) [بدون تغيير]</w:t>
      </w:r>
    </w:p>
    <w:p w14:paraId="39BE939E" w14:textId="77777777" w:rsidR="00444DAF" w:rsidRPr="0078519E" w:rsidRDefault="00444DAF" w:rsidP="00444DAF">
      <w:pPr>
        <w:pStyle w:val="Lega"/>
        <w:bidi/>
        <w:rPr>
          <w:rFonts w:asciiTheme="minorHAnsi" w:eastAsia="SimSun" w:hAnsiTheme="minorHAnsi" w:cstheme="minorHAnsi"/>
          <w:rtl/>
        </w:rPr>
      </w:pPr>
      <w:r w:rsidRPr="0078519E">
        <w:rPr>
          <w:rFonts w:asciiTheme="minorHAnsi" w:hAnsiTheme="minorHAnsi" w:cstheme="minorHAnsi"/>
          <w:rtl/>
        </w:rPr>
        <w:tab/>
        <w:t>(د-ثانيا)   [بدون تغيير] يجوز للمكتب الوطني أو المنظمة الحكومية الدولية، بخلاف المكتب الدولي، الذي قدّم إخطارا بموجب الفقرة (د) بإخطار المكتب الدولي أنه سيستلم الطلبات الدولية المودعة في شكل إلكتروني أو بوسائل إلكترونية فقط.  ويتولى المكتب الدولي نشر الإخطار المقدم بموجب هذه الفقرة في الجريدة.</w:t>
      </w:r>
    </w:p>
    <w:p w14:paraId="5F31E4DF" w14:textId="77777777" w:rsidR="00444DAF" w:rsidRPr="0078519E" w:rsidRDefault="00444DAF" w:rsidP="00444DAF">
      <w:pPr>
        <w:pStyle w:val="Lega"/>
        <w:keepLines/>
        <w:bidi/>
        <w:rPr>
          <w:rFonts w:asciiTheme="minorHAnsi" w:eastAsia="SimSun" w:hAnsiTheme="minorHAnsi" w:cstheme="minorHAnsi"/>
          <w:rtl/>
        </w:rPr>
      </w:pPr>
      <w:r w:rsidRPr="0078519E">
        <w:rPr>
          <w:rFonts w:asciiTheme="minorHAnsi" w:hAnsiTheme="minorHAnsi" w:cstheme="minorHAnsi"/>
          <w:rtl/>
        </w:rPr>
        <w:tab/>
        <w:t>(د-ثالثا)   [بدون تغيير] يجوز للمكتب الوطني أو المنظمة الحكومية الدولية التي أرسلت إخطارا بموجب الفقرة (د) وليس الفقرة (د</w:t>
      </w:r>
      <w:r w:rsidRPr="0078519E">
        <w:rPr>
          <w:rFonts w:asciiTheme="minorHAnsi" w:hAnsiTheme="minorHAnsi" w:cstheme="minorHAnsi"/>
          <w:rtl/>
        </w:rPr>
        <w:noBreakHyphen/>
        <w:t>ثانيا) أن تخطر المكتب الدولي بأن أي طلب مودّع في شكل ورقي يجب إعادة تقديمه بالوسائل الإلكترونية في غضون شهرين من تاريخ الدعوة من قبل هذا المكتب أو المنظمة.  وإذا لم تُستلم المستندات المقابلة في الوقت المناسب، يُعتبر الطلب الدولي مسحوبا ويتعين على مكتب تسلم الطلبات إعلان ذلك.  ويتولى المكتب الدولي نشر الإخطار المقدم بموجب هذه الفقرة في الجريدة.</w:t>
      </w:r>
    </w:p>
    <w:p w14:paraId="18261C00" w14:textId="77777777" w:rsidR="00444DAF" w:rsidRPr="0078519E" w:rsidRDefault="00444DAF" w:rsidP="00444DAF">
      <w:pPr>
        <w:pStyle w:val="Lega"/>
        <w:bidi/>
        <w:rPr>
          <w:rFonts w:asciiTheme="minorHAnsi" w:hAnsiTheme="minorHAnsi" w:cstheme="minorHAnsi"/>
          <w:rtl/>
        </w:rPr>
      </w:pPr>
      <w:r w:rsidRPr="0078519E">
        <w:rPr>
          <w:rFonts w:asciiTheme="minorHAnsi" w:hAnsiTheme="minorHAnsi" w:cstheme="minorHAnsi"/>
          <w:rtl/>
        </w:rPr>
        <w:tab/>
        <w:t xml:space="preserve">(ﻫ)   [بدون تغيير] </w:t>
      </w:r>
    </w:p>
    <w:p w14:paraId="090CEF70" w14:textId="77777777" w:rsidR="00444DAF" w:rsidRPr="0078519E" w:rsidRDefault="00444DAF" w:rsidP="00444DAF">
      <w:pPr>
        <w:pStyle w:val="LegSubRule"/>
        <w:bidi/>
        <w:rPr>
          <w:rFonts w:asciiTheme="minorHAnsi" w:hAnsiTheme="minorHAnsi" w:cstheme="minorHAnsi"/>
          <w:i/>
          <w:rtl/>
        </w:rPr>
      </w:pPr>
      <w:bookmarkStart w:id="24" w:name="_Toc160470699"/>
      <w:bookmarkStart w:id="25" w:name="_Toc160471087"/>
      <w:bookmarkStart w:id="26" w:name="_Toc160471226"/>
      <w:bookmarkStart w:id="27" w:name="_Toc160471349"/>
      <w:bookmarkStart w:id="28" w:name="_Toc160471517"/>
      <w:bookmarkStart w:id="29" w:name="_Toc160542737"/>
      <w:bookmarkStart w:id="30" w:name="_Toc189660236"/>
      <w:r w:rsidRPr="0078519E">
        <w:rPr>
          <w:rFonts w:asciiTheme="minorHAnsi" w:hAnsiTheme="minorHAnsi" w:cstheme="minorHAnsi"/>
          <w:rtl/>
        </w:rPr>
        <w:t xml:space="preserve">89(ثانيا).2   [بدون تغيير] </w:t>
      </w:r>
      <w:r w:rsidRPr="0078519E">
        <w:rPr>
          <w:rFonts w:asciiTheme="minorHAnsi" w:hAnsiTheme="minorHAnsi" w:cstheme="minorHAnsi"/>
          <w:i/>
          <w:iCs/>
          <w:rtl/>
        </w:rPr>
        <w:t>المستندات الأخرى</w:t>
      </w:r>
      <w:bookmarkEnd w:id="24"/>
      <w:bookmarkEnd w:id="25"/>
      <w:bookmarkEnd w:id="26"/>
      <w:bookmarkEnd w:id="27"/>
      <w:bookmarkEnd w:id="28"/>
      <w:bookmarkEnd w:id="29"/>
      <w:bookmarkEnd w:id="30"/>
    </w:p>
    <w:p w14:paraId="504A6172" w14:textId="77777777" w:rsidR="00444DAF" w:rsidRPr="0078519E" w:rsidRDefault="00444DAF" w:rsidP="00444DAF">
      <w:pPr>
        <w:pStyle w:val="Lega"/>
        <w:bidi/>
        <w:rPr>
          <w:rFonts w:asciiTheme="minorHAnsi" w:hAnsiTheme="minorHAnsi" w:cstheme="minorHAnsi"/>
          <w:rtl/>
        </w:rPr>
      </w:pPr>
      <w:r w:rsidRPr="0078519E">
        <w:rPr>
          <w:rFonts w:asciiTheme="minorHAnsi" w:hAnsiTheme="minorHAnsi" w:cstheme="minorHAnsi"/>
          <w:rtl/>
        </w:rPr>
        <w:tab/>
        <w:t>[بدون تغيير] تطبق القاعدة 89(ثانيا)1 مع ما يلزم من تبديل على المستندات والمراسلات الأخرى المتعلقة بالطلبات الدولية، شريطة أنه، في حالة قيام مكتب وطني أو منظمة حكومية دولية بتقديم إخطار بموجب القاعدة 89(ثانيا).1(د</w:t>
      </w:r>
      <w:r w:rsidRPr="0078519E">
        <w:rPr>
          <w:rFonts w:asciiTheme="minorHAnsi" w:hAnsiTheme="minorHAnsi" w:cstheme="minorHAnsi"/>
          <w:rtl/>
        </w:rPr>
        <w:noBreakHyphen/>
        <w:t xml:space="preserve">ثالثا)، فإن أي مستندات أو مراسلات مودعة في شكل ورقي ولم تقدم مرة أخرى بوسائل إلكترونية في غضون شهرين من تاريخ الدعوة المقابلة يجب أن يصرف النظر عنها. </w:t>
      </w:r>
    </w:p>
    <w:p w14:paraId="50893060" w14:textId="77777777" w:rsidR="00444DAF" w:rsidRPr="0078519E" w:rsidRDefault="00444DAF" w:rsidP="00444DAF">
      <w:pPr>
        <w:pStyle w:val="LegSubRule"/>
        <w:bidi/>
        <w:rPr>
          <w:rFonts w:asciiTheme="minorHAnsi" w:hAnsiTheme="minorHAnsi" w:cstheme="minorHAnsi"/>
          <w:rtl/>
        </w:rPr>
      </w:pPr>
      <w:bookmarkStart w:id="31" w:name="_Toc160470700"/>
      <w:bookmarkStart w:id="32" w:name="_Toc160471088"/>
      <w:bookmarkStart w:id="33" w:name="_Toc160471227"/>
      <w:bookmarkStart w:id="34" w:name="_Toc160471350"/>
      <w:bookmarkStart w:id="35" w:name="_Toc160471518"/>
      <w:bookmarkStart w:id="36" w:name="_Toc160542738"/>
      <w:bookmarkStart w:id="37" w:name="_Toc189660237"/>
      <w:r w:rsidRPr="0078519E">
        <w:rPr>
          <w:rFonts w:asciiTheme="minorHAnsi" w:hAnsiTheme="minorHAnsi" w:cstheme="minorHAnsi"/>
          <w:rtl/>
        </w:rPr>
        <w:t>89(ثانيا).3   </w:t>
      </w:r>
      <w:r w:rsidRPr="0078519E">
        <w:rPr>
          <w:rFonts w:asciiTheme="minorHAnsi" w:hAnsiTheme="minorHAnsi" w:cstheme="minorHAnsi"/>
          <w:i/>
          <w:iCs/>
          <w:rtl/>
        </w:rPr>
        <w:t>[بدون تغيير]</w:t>
      </w:r>
      <w:bookmarkEnd w:id="31"/>
      <w:bookmarkEnd w:id="32"/>
      <w:bookmarkEnd w:id="33"/>
      <w:bookmarkEnd w:id="34"/>
      <w:bookmarkEnd w:id="35"/>
      <w:bookmarkEnd w:id="36"/>
      <w:bookmarkEnd w:id="37"/>
      <w:r w:rsidRPr="0078519E">
        <w:rPr>
          <w:rFonts w:asciiTheme="minorHAnsi" w:hAnsiTheme="minorHAnsi" w:cstheme="minorHAnsi"/>
          <w:rtl/>
        </w:rPr>
        <w:t xml:space="preserve"> </w:t>
      </w:r>
    </w:p>
    <w:p w14:paraId="3A11A42C" w14:textId="77777777" w:rsidR="00444DAF" w:rsidRPr="0078519E" w:rsidRDefault="00444DAF" w:rsidP="00444DAF">
      <w:pPr>
        <w:rPr>
          <w:rFonts w:asciiTheme="minorHAnsi" w:hAnsiTheme="minorHAnsi" w:cstheme="minorHAnsi"/>
        </w:rPr>
      </w:pPr>
    </w:p>
    <w:p w14:paraId="51D408E5" w14:textId="77777777" w:rsidR="00444DAF" w:rsidRPr="0078519E" w:rsidRDefault="00444DAF" w:rsidP="00444DAF">
      <w:pPr>
        <w:pStyle w:val="Endofdocument-Annex"/>
        <w:rPr>
          <w:rFonts w:asciiTheme="minorHAnsi" w:hAnsiTheme="minorHAnsi" w:cstheme="minorHAnsi"/>
          <w:rtl/>
        </w:rPr>
      </w:pPr>
      <w:r w:rsidRPr="0078519E">
        <w:rPr>
          <w:rFonts w:asciiTheme="minorHAnsi" w:hAnsiTheme="minorHAnsi" w:cstheme="minorHAnsi"/>
        </w:rPr>
        <w:t>‎</w:t>
      </w:r>
      <w:r w:rsidRPr="0078519E">
        <w:rPr>
          <w:rFonts w:asciiTheme="minorHAnsi" w:hAnsiTheme="minorHAnsi" w:cstheme="minorHAnsi"/>
          <w:rtl/>
        </w:rPr>
        <w:t>[نهاية المرفق والوثيقة]</w:t>
      </w:r>
    </w:p>
    <w:sectPr w:rsidR="00444DAF" w:rsidRPr="0078519E" w:rsidSect="0078519E">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D441" w14:textId="77777777" w:rsidR="00D20023" w:rsidRDefault="00D20023">
      <w:r>
        <w:separator/>
      </w:r>
    </w:p>
  </w:endnote>
  <w:endnote w:type="continuationSeparator" w:id="0">
    <w:p w14:paraId="7750C100" w14:textId="77777777" w:rsidR="00D20023" w:rsidRDefault="00D20023" w:rsidP="003B38C1">
      <w:r>
        <w:separator/>
      </w:r>
    </w:p>
    <w:p w14:paraId="7009096B" w14:textId="77777777" w:rsidR="00D20023" w:rsidRPr="003B38C1" w:rsidRDefault="00D20023" w:rsidP="003B38C1">
      <w:pPr>
        <w:spacing w:after="60"/>
        <w:rPr>
          <w:sz w:val="17"/>
        </w:rPr>
      </w:pPr>
      <w:r>
        <w:rPr>
          <w:sz w:val="17"/>
        </w:rPr>
        <w:t>[Endnote continued from previous page]</w:t>
      </w:r>
    </w:p>
  </w:endnote>
  <w:endnote w:type="continuationNotice" w:id="1">
    <w:p w14:paraId="1CBD8B84" w14:textId="77777777" w:rsidR="00D20023" w:rsidRPr="003B38C1" w:rsidRDefault="00D2002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4498" w14:textId="77777777" w:rsidR="00D20023" w:rsidRDefault="00D20023">
      <w:r>
        <w:separator/>
      </w:r>
    </w:p>
  </w:footnote>
  <w:footnote w:type="continuationSeparator" w:id="0">
    <w:p w14:paraId="291D4B3A" w14:textId="77777777" w:rsidR="00D20023" w:rsidRDefault="00D20023" w:rsidP="008B60B2">
      <w:r>
        <w:separator/>
      </w:r>
    </w:p>
    <w:p w14:paraId="63DBBAC6" w14:textId="77777777" w:rsidR="00D20023" w:rsidRPr="00ED77FB" w:rsidRDefault="00D20023" w:rsidP="008B60B2">
      <w:pPr>
        <w:spacing w:after="60"/>
        <w:rPr>
          <w:sz w:val="17"/>
          <w:szCs w:val="17"/>
        </w:rPr>
      </w:pPr>
      <w:r w:rsidRPr="00ED77FB">
        <w:rPr>
          <w:sz w:val="17"/>
          <w:szCs w:val="17"/>
        </w:rPr>
        <w:t>[Footnote continued from previous page]</w:t>
      </w:r>
    </w:p>
  </w:footnote>
  <w:footnote w:type="continuationNotice" w:id="1">
    <w:p w14:paraId="2FBE8BE7" w14:textId="77777777" w:rsidR="00D20023" w:rsidRPr="00ED77FB" w:rsidRDefault="00D2002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E661C05" w14:textId="77777777" w:rsidR="00444DAF" w:rsidRDefault="00444DAF" w:rsidP="00444DAF">
      <w:pPr>
        <w:pStyle w:val="FootnoteText"/>
        <w:rPr>
          <w:rtl/>
        </w:rPr>
      </w:pPr>
      <w:r>
        <w:rPr>
          <w:rStyle w:val="FootnoteReference"/>
        </w:rPr>
        <w:footnoteRef/>
      </w:r>
      <w:r>
        <w:rPr>
          <w:rFonts w:hint="cs"/>
          <w:rtl/>
        </w:rPr>
        <w:tab/>
        <w:t>يُشار إلى نص الإضافات المقترحة بوضع خط تحته.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DC0F" w14:textId="77777777" w:rsidR="00444DAF" w:rsidRDefault="00444DAF" w:rsidP="00477D6B">
    <w:pPr>
      <w:jc w:val="right"/>
      <w:rPr>
        <w:rtl/>
      </w:rPr>
    </w:pPr>
    <w:bookmarkStart w:id="5" w:name="Code2"/>
    <w:bookmarkEnd w:id="5"/>
    <w:r>
      <w:t>PCT/WG/18/19</w:t>
    </w:r>
  </w:p>
  <w:p w14:paraId="45E7F3B2" w14:textId="1F76B801" w:rsidR="00BA3A34" w:rsidRDefault="00444DAF" w:rsidP="00BA3A34">
    <w:pPr>
      <w:jc w:val="right"/>
    </w:pP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7B9D59EF" w14:textId="77777777" w:rsidR="00BA3A34" w:rsidRDefault="00BA3A34" w:rsidP="00BA3A34">
    <w:pPr>
      <w:jc w:val="right"/>
    </w:pPr>
  </w:p>
  <w:p w14:paraId="4588782A" w14:textId="77777777" w:rsidR="00BA3A34" w:rsidRDefault="00BA3A34" w:rsidP="00444DA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746A" w14:textId="507EA3D7" w:rsidR="00D07C78"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78519E">
      <w:rPr>
        <w:caps/>
      </w:rPr>
      <w:t>19</w:t>
    </w:r>
  </w:p>
  <w:p w14:paraId="7AE3B1AF" w14:textId="6CA4A340" w:rsidR="0078519E" w:rsidRPr="002326AB" w:rsidRDefault="0078519E" w:rsidP="0078519E">
    <w:pPr>
      <w:bidi w:val="0"/>
      <w:rPr>
        <w:caps/>
      </w:rPr>
    </w:pPr>
    <w:r>
      <w:t>Annex</w:t>
    </w:r>
  </w:p>
  <w:p w14:paraId="3B93D0EA" w14:textId="3644C548" w:rsidR="00D07C78" w:rsidRDefault="0078519E" w:rsidP="00210D5F">
    <w:pPr>
      <w:bidi w:val="0"/>
    </w:pPr>
    <w:r>
      <w:fldChar w:fldCharType="begin"/>
    </w:r>
    <w:r>
      <w:instrText xml:space="preserve"> PAGE   \* MERGEFORMAT </w:instrText>
    </w:r>
    <w:r>
      <w:fldChar w:fldCharType="separate"/>
    </w:r>
    <w:r>
      <w:rPr>
        <w:noProof/>
      </w:rPr>
      <w:t>1</w:t>
    </w:r>
    <w:r>
      <w:rPr>
        <w:noProof/>
      </w:rPr>
      <w:fldChar w:fldCharType="end"/>
    </w:r>
  </w:p>
  <w:p w14:paraId="2C4F3247"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9082" w14:textId="77777777" w:rsidR="00BA3A34" w:rsidRDefault="00BA3A34" w:rsidP="00BA3A34">
    <w:pPr>
      <w:pStyle w:val="Header"/>
      <w:jc w:val="right"/>
    </w:pPr>
    <w:r>
      <w:t>PCT/WG/18/19</w:t>
    </w:r>
  </w:p>
  <w:p w14:paraId="2B799449" w14:textId="77777777" w:rsidR="00BA3A34" w:rsidRDefault="00BA3A34" w:rsidP="00BA3A34">
    <w:pPr>
      <w:pStyle w:val="Header"/>
      <w:jc w:val="right"/>
    </w:pPr>
    <w:r>
      <w:t>ANNEX</w:t>
    </w:r>
  </w:p>
  <w:p w14:paraId="723A6BD0" w14:textId="4ED56859" w:rsidR="00BA3A34" w:rsidRPr="00BA3A34" w:rsidRDefault="00BA3A34" w:rsidP="00BA3A34">
    <w:pPr>
      <w:pStyle w:val="Header"/>
      <w:bidi w:val="0"/>
      <w:rPr>
        <w:rtl/>
        <w:lang w:val="fr-CH" w:bidi="ar-SY"/>
      </w:rPr>
    </w:pPr>
    <w:r>
      <w:rPr>
        <w:rFonts w:hint="cs"/>
        <w:rtl/>
        <w:lang w:val="fr-CH" w:bidi="ar-SY"/>
      </w:rPr>
      <w:t>المرفق</w:t>
    </w:r>
  </w:p>
  <w:p w14:paraId="66B7931B" w14:textId="77777777" w:rsidR="00BA3A34" w:rsidRDefault="00BA3A34" w:rsidP="00BA3A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 w:numId="9" w16cid:durableId="1042556044">
    <w:abstractNumId w:val="7"/>
  </w:num>
  <w:num w:numId="10" w16cid:durableId="73743099">
    <w:abstractNumId w:val="7"/>
  </w:num>
  <w:num w:numId="11" w16cid:durableId="1413041658">
    <w:abstractNumId w:val="7"/>
  </w:num>
  <w:num w:numId="12" w16cid:durableId="522745865">
    <w:abstractNumId w:val="7"/>
  </w:num>
  <w:num w:numId="13" w16cid:durableId="594633449">
    <w:abstractNumId w:val="7"/>
  </w:num>
  <w:num w:numId="14" w16cid:durableId="157698280">
    <w:abstractNumId w:val="7"/>
  </w:num>
  <w:num w:numId="15" w16cid:durableId="669791953">
    <w:abstractNumId w:val="7"/>
  </w:num>
  <w:num w:numId="16" w16cid:durableId="2112704310">
    <w:abstractNumId w:val="7"/>
  </w:num>
  <w:num w:numId="17" w16cid:durableId="1065496818">
    <w:abstractNumId w:val="7"/>
  </w:num>
  <w:num w:numId="18" w16cid:durableId="756173138">
    <w:abstractNumId w:val="7"/>
  </w:num>
  <w:num w:numId="19" w16cid:durableId="1796094349">
    <w:abstractNumId w:val="7"/>
  </w:num>
  <w:num w:numId="20" w16cid:durableId="794909897">
    <w:abstractNumId w:val="7"/>
  </w:num>
  <w:num w:numId="21" w16cid:durableId="1481849727">
    <w:abstractNumId w:val="7"/>
  </w:num>
  <w:num w:numId="22" w16cid:durableId="2076009542">
    <w:abstractNumId w:val="7"/>
  </w:num>
  <w:num w:numId="23" w16cid:durableId="1753697539">
    <w:abstractNumId w:val="7"/>
  </w:num>
  <w:num w:numId="24" w16cid:durableId="1599633186">
    <w:abstractNumId w:val="7"/>
  </w:num>
  <w:num w:numId="25" w16cid:durableId="930940975">
    <w:abstractNumId w:val="7"/>
  </w:num>
  <w:num w:numId="26" w16cid:durableId="363141769">
    <w:abstractNumId w:val="7"/>
  </w:num>
  <w:num w:numId="27" w16cid:durableId="1096705814">
    <w:abstractNumId w:val="7"/>
  </w:num>
  <w:num w:numId="28" w16cid:durableId="1963414395">
    <w:abstractNumId w:val="7"/>
  </w:num>
  <w:num w:numId="29" w16cid:durableId="380598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184313">
    <w:abstractNumId w:val="7"/>
  </w:num>
  <w:num w:numId="31" w16cid:durableId="2060474622">
    <w:abstractNumId w:val="7"/>
  </w:num>
  <w:num w:numId="32" w16cid:durableId="80836064">
    <w:abstractNumId w:val="7"/>
  </w:num>
  <w:num w:numId="33" w16cid:durableId="1300845262">
    <w:abstractNumId w:val="7"/>
  </w:num>
  <w:num w:numId="34" w16cid:durableId="273948372">
    <w:abstractNumId w:val="7"/>
  </w:num>
  <w:num w:numId="35" w16cid:durableId="733697454">
    <w:abstractNumId w:val="7"/>
  </w:num>
  <w:num w:numId="36" w16cid:durableId="1089620234">
    <w:abstractNumId w:val="7"/>
  </w:num>
  <w:num w:numId="37" w16cid:durableId="555629533">
    <w:abstractNumId w:val="7"/>
  </w:num>
  <w:num w:numId="38" w16cid:durableId="279384694">
    <w:abstractNumId w:val="7"/>
  </w:num>
  <w:num w:numId="39" w16cid:durableId="62993477">
    <w:abstractNumId w:val="7"/>
  </w:num>
  <w:num w:numId="40" w16cid:durableId="961497872">
    <w:abstractNumId w:val="7"/>
  </w:num>
  <w:num w:numId="41" w16cid:durableId="1255363375">
    <w:abstractNumId w:val="7"/>
  </w:num>
  <w:num w:numId="42" w16cid:durableId="591820265">
    <w:abstractNumId w:val="7"/>
  </w:num>
  <w:num w:numId="43" w16cid:durableId="636106980">
    <w:abstractNumId w:val="7"/>
  </w:num>
  <w:num w:numId="44" w16cid:durableId="408187610">
    <w:abstractNumId w:val="7"/>
  </w:num>
  <w:num w:numId="45" w16cid:durableId="181063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86"/>
    <w:rsid w:val="00043CAA"/>
    <w:rsid w:val="00056816"/>
    <w:rsid w:val="00075432"/>
    <w:rsid w:val="000968ED"/>
    <w:rsid w:val="000A3D97"/>
    <w:rsid w:val="000F3DDD"/>
    <w:rsid w:val="000F5E56"/>
    <w:rsid w:val="001362EE"/>
    <w:rsid w:val="001406E1"/>
    <w:rsid w:val="00155D8A"/>
    <w:rsid w:val="001647D5"/>
    <w:rsid w:val="00167832"/>
    <w:rsid w:val="001832A6"/>
    <w:rsid w:val="0019592A"/>
    <w:rsid w:val="001B6737"/>
    <w:rsid w:val="001D4107"/>
    <w:rsid w:val="001E41FD"/>
    <w:rsid w:val="001F4309"/>
    <w:rsid w:val="00200035"/>
    <w:rsid w:val="00203D24"/>
    <w:rsid w:val="00210D5F"/>
    <w:rsid w:val="0021217E"/>
    <w:rsid w:val="002326AB"/>
    <w:rsid w:val="00243430"/>
    <w:rsid w:val="00250149"/>
    <w:rsid w:val="002634C4"/>
    <w:rsid w:val="002906BF"/>
    <w:rsid w:val="002928D3"/>
    <w:rsid w:val="00293886"/>
    <w:rsid w:val="002C516E"/>
    <w:rsid w:val="002F1FE6"/>
    <w:rsid w:val="002F4E68"/>
    <w:rsid w:val="00312F7F"/>
    <w:rsid w:val="0032013E"/>
    <w:rsid w:val="00361450"/>
    <w:rsid w:val="003673CF"/>
    <w:rsid w:val="003845C1"/>
    <w:rsid w:val="003A6F89"/>
    <w:rsid w:val="003B355C"/>
    <w:rsid w:val="003B38C1"/>
    <w:rsid w:val="003C2A9F"/>
    <w:rsid w:val="003C34E9"/>
    <w:rsid w:val="003C48E9"/>
    <w:rsid w:val="003D52D1"/>
    <w:rsid w:val="00423E3E"/>
    <w:rsid w:val="00427AF4"/>
    <w:rsid w:val="00444DAF"/>
    <w:rsid w:val="0045246E"/>
    <w:rsid w:val="004647DA"/>
    <w:rsid w:val="00474062"/>
    <w:rsid w:val="00477D6B"/>
    <w:rsid w:val="004A11DF"/>
    <w:rsid w:val="004E0043"/>
    <w:rsid w:val="005019FF"/>
    <w:rsid w:val="0053057A"/>
    <w:rsid w:val="00556076"/>
    <w:rsid w:val="00560A29"/>
    <w:rsid w:val="005C6649"/>
    <w:rsid w:val="005E7B89"/>
    <w:rsid w:val="00605827"/>
    <w:rsid w:val="00606C65"/>
    <w:rsid w:val="00646050"/>
    <w:rsid w:val="006713CA"/>
    <w:rsid w:val="00676C5C"/>
    <w:rsid w:val="006840CE"/>
    <w:rsid w:val="006B5C12"/>
    <w:rsid w:val="00720EFD"/>
    <w:rsid w:val="00762189"/>
    <w:rsid w:val="00781037"/>
    <w:rsid w:val="0078519E"/>
    <w:rsid w:val="007854AF"/>
    <w:rsid w:val="00793A7C"/>
    <w:rsid w:val="007A398A"/>
    <w:rsid w:val="007C4902"/>
    <w:rsid w:val="007D1613"/>
    <w:rsid w:val="007E4C0E"/>
    <w:rsid w:val="008A134B"/>
    <w:rsid w:val="008B2CC1"/>
    <w:rsid w:val="008B60B2"/>
    <w:rsid w:val="0090731E"/>
    <w:rsid w:val="00916EE2"/>
    <w:rsid w:val="0096652C"/>
    <w:rsid w:val="00966A22"/>
    <w:rsid w:val="0096722F"/>
    <w:rsid w:val="00980843"/>
    <w:rsid w:val="009926F8"/>
    <w:rsid w:val="009B0855"/>
    <w:rsid w:val="009D161D"/>
    <w:rsid w:val="009E1721"/>
    <w:rsid w:val="009E2791"/>
    <w:rsid w:val="009E3F6F"/>
    <w:rsid w:val="009F499F"/>
    <w:rsid w:val="00A37342"/>
    <w:rsid w:val="00A42DAF"/>
    <w:rsid w:val="00A45BD8"/>
    <w:rsid w:val="00A650E9"/>
    <w:rsid w:val="00A71122"/>
    <w:rsid w:val="00A869B7"/>
    <w:rsid w:val="00A90F0A"/>
    <w:rsid w:val="00AC205C"/>
    <w:rsid w:val="00AC2FC7"/>
    <w:rsid w:val="00AF0A6B"/>
    <w:rsid w:val="00AF3DCE"/>
    <w:rsid w:val="00B05A69"/>
    <w:rsid w:val="00B16820"/>
    <w:rsid w:val="00B42CA9"/>
    <w:rsid w:val="00B51FF7"/>
    <w:rsid w:val="00B75281"/>
    <w:rsid w:val="00B92F1F"/>
    <w:rsid w:val="00B96EB2"/>
    <w:rsid w:val="00B9734B"/>
    <w:rsid w:val="00BA30E2"/>
    <w:rsid w:val="00BA3A34"/>
    <w:rsid w:val="00BC76C1"/>
    <w:rsid w:val="00C11BFE"/>
    <w:rsid w:val="00C5068F"/>
    <w:rsid w:val="00C86D74"/>
    <w:rsid w:val="00C95971"/>
    <w:rsid w:val="00CB3DBA"/>
    <w:rsid w:val="00CC3E2D"/>
    <w:rsid w:val="00CD04F1"/>
    <w:rsid w:val="00CE19F8"/>
    <w:rsid w:val="00CE77E9"/>
    <w:rsid w:val="00CF681A"/>
    <w:rsid w:val="00D07C78"/>
    <w:rsid w:val="00D20023"/>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EF0877"/>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E54E"/>
  <w15:docId w15:val="{D93AB70B-A8A5-4CFE-BD6F-0B1497C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FootnoteTextChar">
    <w:name w:val="Footnote Text Char"/>
    <w:basedOn w:val="DefaultParagraphFont"/>
    <w:link w:val="FootnoteText"/>
    <w:semiHidden/>
    <w:rsid w:val="00444DAF"/>
    <w:rPr>
      <w:rFonts w:ascii="Arial" w:eastAsia="SimSun" w:hAnsi="Arial" w:cs="Calibri"/>
      <w:sz w:val="18"/>
      <w:szCs w:val="18"/>
      <w:lang w:val="en-US" w:eastAsia="zh-CN"/>
    </w:rPr>
  </w:style>
  <w:style w:type="paragraph" w:customStyle="1" w:styleId="LegTitle">
    <w:name w:val="Leg # Title"/>
    <w:basedOn w:val="Normal"/>
    <w:next w:val="Normal"/>
    <w:rsid w:val="00444DAF"/>
    <w:pPr>
      <w:keepNext/>
      <w:keepLines/>
      <w:pageBreakBefore/>
      <w:bidi w:val="0"/>
      <w:spacing w:before="240" w:after="180" w:line="360" w:lineRule="auto"/>
      <w:ind w:left="567"/>
      <w:jc w:val="center"/>
    </w:pPr>
    <w:rPr>
      <w:rFonts w:eastAsia="Times New Roman" w:cs="Arial"/>
      <w:b/>
      <w:snapToGrid w:val="0"/>
      <w:lang w:eastAsia="en-US"/>
    </w:rPr>
  </w:style>
  <w:style w:type="paragraph" w:customStyle="1" w:styleId="Lega">
    <w:name w:val="Leg (a)"/>
    <w:basedOn w:val="Normal"/>
    <w:link w:val="LegaChar"/>
    <w:rsid w:val="00444DAF"/>
    <w:pPr>
      <w:tabs>
        <w:tab w:val="left" w:pos="454"/>
      </w:tabs>
      <w:bidi w:val="0"/>
      <w:spacing w:after="180" w:line="360" w:lineRule="auto"/>
      <w:ind w:left="567"/>
    </w:pPr>
    <w:rPr>
      <w:rFonts w:eastAsia="Times New Roman" w:cs="Arial"/>
      <w:snapToGrid w:val="0"/>
      <w:lang w:eastAsia="en-US"/>
    </w:rPr>
  </w:style>
  <w:style w:type="paragraph" w:customStyle="1" w:styleId="Legi">
    <w:name w:val="Leg (i)"/>
    <w:basedOn w:val="Normal"/>
    <w:rsid w:val="00444DAF"/>
    <w:pPr>
      <w:tabs>
        <w:tab w:val="right" w:pos="1560"/>
        <w:tab w:val="left" w:pos="1843"/>
      </w:tabs>
      <w:bidi w:val="0"/>
      <w:spacing w:after="180" w:line="360" w:lineRule="auto"/>
      <w:ind w:left="567"/>
    </w:pPr>
    <w:rPr>
      <w:rFonts w:eastAsia="Times New Roman" w:cs="Arial"/>
      <w:snapToGrid w:val="0"/>
      <w:lang w:eastAsia="en-US"/>
    </w:rPr>
  </w:style>
  <w:style w:type="paragraph" w:customStyle="1" w:styleId="LegSubRule">
    <w:name w:val="Leg SubRule #"/>
    <w:basedOn w:val="Normal"/>
    <w:rsid w:val="00444DAF"/>
    <w:pPr>
      <w:keepNext/>
      <w:tabs>
        <w:tab w:val="left" w:pos="510"/>
      </w:tabs>
      <w:bidi w:val="0"/>
      <w:spacing w:after="180" w:line="360" w:lineRule="auto"/>
      <w:ind w:left="567"/>
      <w:outlineLvl w:val="0"/>
    </w:pPr>
    <w:rPr>
      <w:rFonts w:eastAsia="Times New Roman" w:cs="Arial"/>
      <w:snapToGrid w:val="0"/>
      <w:lang w:eastAsia="en-US"/>
    </w:rPr>
  </w:style>
  <w:style w:type="character" w:customStyle="1" w:styleId="LegInsertedText">
    <w:name w:val="LegInsertedText"/>
    <w:rsid w:val="00444DAF"/>
    <w:rPr>
      <w:color w:val="0000FF"/>
      <w:u w:val="single"/>
    </w:rPr>
  </w:style>
  <w:style w:type="character" w:customStyle="1" w:styleId="LegaChar">
    <w:name w:val="Leg (a) Char"/>
    <w:link w:val="Lega"/>
    <w:rsid w:val="00444DAF"/>
    <w:rPr>
      <w:rFonts w:ascii="Arial" w:hAnsi="Arial" w:cs="Arial"/>
      <w:snapToGrid w:val="0"/>
      <w:sz w:val="22"/>
      <w:szCs w:val="22"/>
      <w:lang w:val="en-US" w:eastAsia="en-US"/>
    </w:rPr>
  </w:style>
  <w:style w:type="paragraph" w:styleId="TOC1">
    <w:name w:val="toc 1"/>
    <w:basedOn w:val="Normal"/>
    <w:next w:val="Normal"/>
    <w:autoRedefine/>
    <w:uiPriority w:val="39"/>
    <w:unhideWhenUsed/>
    <w:rsid w:val="00444DAF"/>
    <w:pPr>
      <w:bidi w:val="0"/>
      <w:spacing w:after="100"/>
    </w:pPr>
    <w:rPr>
      <w:rFonts w:cs="Arial"/>
      <w:szCs w:val="20"/>
    </w:rPr>
  </w:style>
  <w:style w:type="paragraph" w:styleId="TOC2">
    <w:name w:val="toc 2"/>
    <w:basedOn w:val="Normal"/>
    <w:next w:val="Normal"/>
    <w:autoRedefine/>
    <w:uiPriority w:val="39"/>
    <w:unhideWhenUsed/>
    <w:rsid w:val="00444DAF"/>
    <w:pPr>
      <w:bidi w:val="0"/>
      <w:spacing w:after="100"/>
      <w:ind w:left="220"/>
    </w:pPr>
    <w:rPr>
      <w:rFonts w:cs="Arial"/>
      <w:szCs w:val="20"/>
    </w:rPr>
  </w:style>
  <w:style w:type="character" w:styleId="FootnoteReference">
    <w:name w:val="footnote reference"/>
    <w:basedOn w:val="DefaultParagraphFont"/>
    <w:semiHidden/>
    <w:unhideWhenUsed/>
    <w:rsid w:val="00444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79443">
      <w:bodyDiv w:val="1"/>
      <w:marLeft w:val="0"/>
      <w:marRight w:val="0"/>
      <w:marTop w:val="0"/>
      <w:marBottom w:val="0"/>
      <w:divBdr>
        <w:top w:val="none" w:sz="0" w:space="0" w:color="auto"/>
        <w:left w:val="none" w:sz="0" w:space="0" w:color="auto"/>
        <w:bottom w:val="none" w:sz="0" w:space="0" w:color="auto"/>
        <w:right w:val="none" w:sz="0" w:space="0" w:color="auto"/>
      </w:divBdr>
    </w:div>
    <w:div w:id="17479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PCT/WG/18/1 Prov. (Arabic)</vt:lpstr>
    </vt:vector>
  </TitlesOfParts>
  <Company>WIPO</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 Prov.2 (Arabic)</dc:title>
  <dc:creator>FM</dc:creator>
  <cp:keywords>PUBLIC</cp:keywords>
  <cp:lastModifiedBy>MARLOW Thomas</cp:lastModifiedBy>
  <cp:revision>2</cp:revision>
  <cp:lastPrinted>2025-02-05T14:08:00Z</cp:lastPrinted>
  <dcterms:created xsi:type="dcterms:W3CDTF">2025-02-05T15:06:00Z</dcterms:created>
  <dcterms:modified xsi:type="dcterms:W3CDTF">2025-02-05T15:06:00Z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2024-12-05T18:00:49Z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4c4396f8-a116-4310-b65a-3ae24077e4a8</vt:lpwstr>
  </property>
  <property fmtid="{D5CDD505-2E9C-101B-9397-08002B2CF9AE}" pid="13" name="MSIP_Label_20773ee6-353b-4fb9-a59d-0b94c8c67bea_ContentBits">
    <vt:lpwstr>0</vt:lpwstr>
  </property>
</Properties>
</file>