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731FF" w14:textId="77777777" w:rsidR="008B2CC1" w:rsidRPr="008B2CC1" w:rsidRDefault="00873EE5" w:rsidP="00F11D94">
      <w:pPr>
        <w:spacing w:after="120"/>
        <w:jc w:val="right"/>
      </w:pPr>
      <w:r>
        <w:rPr>
          <w:noProof/>
          <w:sz w:val="28"/>
          <w:szCs w:val="28"/>
          <w:lang w:eastAsia="ja-JP"/>
        </w:rPr>
        <w:drawing>
          <wp:inline distT="0" distB="0" distL="0" distR="0" wp14:anchorId="6DCACE92" wp14:editId="1863A509">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ja-JP"/>
        </w:rPr>
        <mc:AlternateContent>
          <mc:Choice Requires="wps">
            <w:drawing>
              <wp:inline distT="0" distB="0" distL="0" distR="0" wp14:anchorId="41BF169F" wp14:editId="5AD3AF1F">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AD30F74"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865D8D4" w14:textId="46B6814B" w:rsidR="008B2CC1" w:rsidRPr="001024FE" w:rsidRDefault="00E90B8B" w:rsidP="001024FE">
      <w:pPr>
        <w:jc w:val="right"/>
        <w:rPr>
          <w:rFonts w:ascii="Arial Black" w:hAnsi="Arial Black"/>
          <w:caps/>
          <w:sz w:val="15"/>
          <w:szCs w:val="15"/>
        </w:rPr>
      </w:pPr>
      <w:r>
        <w:rPr>
          <w:rFonts w:ascii="Arial Black" w:hAnsi="Arial Black"/>
          <w:caps/>
          <w:sz w:val="15"/>
          <w:szCs w:val="15"/>
        </w:rPr>
        <w:t>PCT/WG/1</w:t>
      </w:r>
      <w:r w:rsidR="00946221">
        <w:rPr>
          <w:rFonts w:ascii="Arial Black" w:hAnsi="Arial Black"/>
          <w:caps/>
          <w:sz w:val="15"/>
          <w:szCs w:val="15"/>
        </w:rPr>
        <w:t>8</w:t>
      </w:r>
      <w:r w:rsidR="00497C1B">
        <w:rPr>
          <w:rFonts w:ascii="Arial Black" w:hAnsi="Arial Black"/>
          <w:caps/>
          <w:sz w:val="15"/>
          <w:szCs w:val="15"/>
        </w:rPr>
        <w:t>/</w:t>
      </w:r>
      <w:bookmarkStart w:id="0" w:name="Code"/>
      <w:bookmarkEnd w:id="0"/>
      <w:r w:rsidR="00256D31">
        <w:rPr>
          <w:rFonts w:ascii="Arial Black" w:hAnsi="Arial Black"/>
          <w:caps/>
          <w:sz w:val="15"/>
          <w:szCs w:val="15"/>
        </w:rPr>
        <w:t>19</w:t>
      </w:r>
    </w:p>
    <w:p w14:paraId="763C2B02" w14:textId="628AFFFF"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256D31">
        <w:rPr>
          <w:rFonts w:ascii="Arial Black" w:hAnsi="Arial Black"/>
          <w:caps/>
          <w:sz w:val="15"/>
          <w:szCs w:val="15"/>
        </w:rPr>
        <w:t>English</w:t>
      </w:r>
    </w:p>
    <w:bookmarkEnd w:id="1"/>
    <w:p w14:paraId="7D4ADE70" w14:textId="217097E4"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DATE</w:t>
      </w:r>
      <w:bookmarkStart w:id="2" w:name="Date"/>
      <w:r w:rsidR="00A01C80">
        <w:rPr>
          <w:rFonts w:ascii="Arial Black" w:hAnsi="Arial Black"/>
          <w:caps/>
          <w:sz w:val="15"/>
          <w:szCs w:val="15"/>
        </w:rPr>
        <w:t>: February 4</w:t>
      </w:r>
      <w:r w:rsidR="00256D31">
        <w:rPr>
          <w:rFonts w:ascii="Arial Black" w:hAnsi="Arial Black"/>
          <w:caps/>
          <w:sz w:val="15"/>
          <w:szCs w:val="15"/>
        </w:rPr>
        <w:t>, 2025</w:t>
      </w:r>
    </w:p>
    <w:bookmarkEnd w:id="2"/>
    <w:p w14:paraId="3C44727D" w14:textId="77777777" w:rsidR="008B2CC1" w:rsidRPr="003845C1" w:rsidRDefault="00E90B8B" w:rsidP="00FB3E54">
      <w:pPr>
        <w:spacing w:after="600"/>
        <w:rPr>
          <w:b/>
          <w:sz w:val="28"/>
          <w:szCs w:val="28"/>
        </w:rPr>
      </w:pPr>
      <w:r w:rsidRPr="00E90B8B">
        <w:rPr>
          <w:b/>
          <w:sz w:val="28"/>
          <w:szCs w:val="28"/>
        </w:rPr>
        <w:t>Patent Cooperation Treaty (PCT) Working Group</w:t>
      </w:r>
    </w:p>
    <w:p w14:paraId="28E8EC5E" w14:textId="77777777" w:rsidR="008B2CC1" w:rsidRPr="003845C1" w:rsidRDefault="00946221" w:rsidP="008B2CC1">
      <w:pPr>
        <w:rPr>
          <w:b/>
          <w:sz w:val="24"/>
          <w:szCs w:val="24"/>
        </w:rPr>
      </w:pPr>
      <w:r>
        <w:rPr>
          <w:b/>
          <w:sz w:val="24"/>
          <w:szCs w:val="24"/>
        </w:rPr>
        <w:t>Eighte</w:t>
      </w:r>
      <w:r w:rsidRPr="008D0E8D">
        <w:rPr>
          <w:b/>
          <w:sz w:val="24"/>
          <w:szCs w:val="24"/>
        </w:rPr>
        <w:t xml:space="preserve">enth </w:t>
      </w:r>
      <w:r w:rsidR="00E90B8B" w:rsidRPr="008D0E8D">
        <w:rPr>
          <w:b/>
          <w:sz w:val="24"/>
          <w:szCs w:val="24"/>
        </w:rPr>
        <w:t>Session</w:t>
      </w:r>
    </w:p>
    <w:p w14:paraId="0AC0AC84" w14:textId="77777777" w:rsidR="008B2CC1" w:rsidRPr="009F3BF9" w:rsidRDefault="00E90B8B" w:rsidP="00CE65D4">
      <w:pPr>
        <w:spacing w:after="720"/>
      </w:pPr>
      <w:r w:rsidRPr="008D0E8D">
        <w:rPr>
          <w:b/>
          <w:sz w:val="24"/>
          <w:szCs w:val="24"/>
        </w:rPr>
        <w:t xml:space="preserve">Geneva, </w:t>
      </w:r>
      <w:r>
        <w:rPr>
          <w:b/>
          <w:sz w:val="24"/>
          <w:szCs w:val="24"/>
        </w:rPr>
        <w:t xml:space="preserve">February </w:t>
      </w:r>
      <w:r w:rsidR="003F4C9E">
        <w:rPr>
          <w:b/>
          <w:sz w:val="24"/>
          <w:szCs w:val="24"/>
        </w:rPr>
        <w:t>1</w:t>
      </w:r>
      <w:r w:rsidR="00946221">
        <w:rPr>
          <w:b/>
          <w:sz w:val="24"/>
          <w:szCs w:val="24"/>
        </w:rPr>
        <w:t>8</w:t>
      </w:r>
      <w:r w:rsidR="003F4C9E">
        <w:rPr>
          <w:b/>
          <w:sz w:val="24"/>
          <w:szCs w:val="24"/>
        </w:rPr>
        <w:t xml:space="preserve"> to 2</w:t>
      </w:r>
      <w:r w:rsidR="00946221">
        <w:rPr>
          <w:b/>
          <w:sz w:val="24"/>
          <w:szCs w:val="24"/>
        </w:rPr>
        <w:t>0</w:t>
      </w:r>
      <w:r w:rsidR="003F4C9E">
        <w:rPr>
          <w:b/>
          <w:sz w:val="24"/>
          <w:szCs w:val="24"/>
        </w:rPr>
        <w:t>, 202</w:t>
      </w:r>
      <w:r w:rsidR="00946221">
        <w:rPr>
          <w:b/>
          <w:sz w:val="24"/>
          <w:szCs w:val="24"/>
        </w:rPr>
        <w:t>5</w:t>
      </w:r>
    </w:p>
    <w:p w14:paraId="1CA6F9AE" w14:textId="32E72A69" w:rsidR="008B2CC1" w:rsidRPr="009F3BF9" w:rsidRDefault="00256D31" w:rsidP="00CE65D4">
      <w:pPr>
        <w:spacing w:after="360"/>
        <w:rPr>
          <w:caps/>
          <w:sz w:val="24"/>
        </w:rPr>
      </w:pPr>
      <w:bookmarkStart w:id="3" w:name="TitleOfDoc"/>
      <w:r>
        <w:rPr>
          <w:caps/>
          <w:sz w:val="24"/>
        </w:rPr>
        <w:t>Filing Medium of International Applications</w:t>
      </w:r>
      <w:r w:rsidR="007A0CD3">
        <w:rPr>
          <w:caps/>
          <w:sz w:val="24"/>
        </w:rPr>
        <w:t>:</w:t>
      </w:r>
      <w:r>
        <w:rPr>
          <w:caps/>
          <w:sz w:val="24"/>
        </w:rPr>
        <w:t xml:space="preserve">  Consequential Amendment</w:t>
      </w:r>
    </w:p>
    <w:p w14:paraId="4CC544C1" w14:textId="141D0046" w:rsidR="008B2CC1" w:rsidRPr="004D39C4" w:rsidRDefault="00256D31" w:rsidP="00CE65D4">
      <w:pPr>
        <w:spacing w:after="960"/>
        <w:rPr>
          <w:i/>
        </w:rPr>
      </w:pPr>
      <w:bookmarkStart w:id="4" w:name="Prepared"/>
      <w:bookmarkEnd w:id="3"/>
      <w:r>
        <w:rPr>
          <w:i/>
        </w:rPr>
        <w:t>Document prepared by the International Bureau</w:t>
      </w:r>
    </w:p>
    <w:bookmarkEnd w:id="4"/>
    <w:p w14:paraId="53F81632" w14:textId="3A46BE3F" w:rsidR="007A0CD3" w:rsidRDefault="007A0CD3" w:rsidP="007A0CD3">
      <w:pPr>
        <w:pStyle w:val="Heading1"/>
      </w:pPr>
      <w:r>
        <w:t>Background</w:t>
      </w:r>
    </w:p>
    <w:p w14:paraId="22278042" w14:textId="51C0E783" w:rsidR="00FD70CF" w:rsidRDefault="007A0CD3" w:rsidP="007A0CD3">
      <w:pPr>
        <w:pStyle w:val="ONUME"/>
      </w:pPr>
      <w:r>
        <w:t>Following discussions at the seventeenth session of the Working Group (see document PCT/WG/17/15 and paragraphs 15 and 16 of document PCT/WG/17/21), the Assembly of the PCT Union adopted amendments to PCT Rule 89</w:t>
      </w:r>
      <w:r>
        <w:rPr>
          <w:i/>
          <w:iCs/>
        </w:rPr>
        <w:t>bis</w:t>
      </w:r>
      <w:r>
        <w:t xml:space="preserve">, permitting </w:t>
      </w:r>
      <w:r w:rsidR="00FD70CF">
        <w:t xml:space="preserve">a </w:t>
      </w:r>
      <w:r>
        <w:t xml:space="preserve">receiving Office to specify that </w:t>
      </w:r>
      <w:r w:rsidR="00FD70CF">
        <w:t xml:space="preserve">it will only receive </w:t>
      </w:r>
      <w:r>
        <w:t xml:space="preserve">international applications and subsequently filed documents </w:t>
      </w:r>
      <w:r w:rsidR="00FD70CF">
        <w:t>in electronic form</w:t>
      </w:r>
      <w:r>
        <w:t>.</w:t>
      </w:r>
      <w:r w:rsidR="00FD70CF">
        <w:t xml:space="preserve">  The amendments will come into force July 1, 2025.</w:t>
      </w:r>
    </w:p>
    <w:p w14:paraId="53D5CF1C" w14:textId="0C9E0C6E" w:rsidR="007A0CD3" w:rsidRDefault="00FD70CF" w:rsidP="007A0CD3">
      <w:pPr>
        <w:pStyle w:val="ONUME"/>
      </w:pPr>
      <w:r>
        <w:t>Rule 89</w:t>
      </w:r>
      <w:r>
        <w:rPr>
          <w:i/>
          <w:iCs/>
        </w:rPr>
        <w:t>bis</w:t>
      </w:r>
      <w:r>
        <w:t>.1(d-</w:t>
      </w:r>
      <w:proofErr w:type="spellStart"/>
      <w:r w:rsidRPr="00FD70CF">
        <w:rPr>
          <w:i/>
          <w:iCs/>
        </w:rPr>
        <w:t>ter</w:t>
      </w:r>
      <w:proofErr w:type="spellEnd"/>
      <w:r>
        <w:t>) allows a receiving Office to specify that any application filed on paper must be resubmitted by electronic means within two months from the date of an invitation by the Office.  If the electronic copy is not timely received, the international application shall b</w:t>
      </w:r>
      <w:r w:rsidR="0058784C">
        <w:t>e considered</w:t>
      </w:r>
      <w:r>
        <w:t xml:space="preserve"> with</w:t>
      </w:r>
      <w:r w:rsidR="0058784C">
        <w:t>drawn</w:t>
      </w:r>
      <w:r>
        <w:t>.</w:t>
      </w:r>
    </w:p>
    <w:p w14:paraId="19C2468D" w14:textId="25BAA0F2" w:rsidR="007A0CD3" w:rsidRDefault="0058784C" w:rsidP="007A0CD3">
      <w:pPr>
        <w:pStyle w:val="ONUME"/>
      </w:pPr>
      <w:r>
        <w:t>It has been noted that in other cases where applications are considered withdrawn, further steps to be taken by the receiving Office (as well as steps not to be taken by the receiving Office and International Bureau) are specified in Rule 29.  The same steps should apply in the case referred to in Rule 89</w:t>
      </w:r>
      <w:r>
        <w:rPr>
          <w:i/>
          <w:iCs/>
        </w:rPr>
        <w:t>bis</w:t>
      </w:r>
      <w:r>
        <w:t>.1(d-</w:t>
      </w:r>
      <w:proofErr w:type="spellStart"/>
      <w:r>
        <w:rPr>
          <w:i/>
          <w:iCs/>
        </w:rPr>
        <w:t>ter</w:t>
      </w:r>
      <w:proofErr w:type="spellEnd"/>
      <w:r>
        <w:t>)</w:t>
      </w:r>
      <w:r w:rsidR="007A0CD3">
        <w:t>.</w:t>
      </w:r>
    </w:p>
    <w:p w14:paraId="2BA3B162" w14:textId="57B80B7A" w:rsidR="0058784C" w:rsidRDefault="0058784C" w:rsidP="0058784C">
      <w:pPr>
        <w:pStyle w:val="Heading1"/>
      </w:pPr>
      <w:r>
        <w:t>Proposal</w:t>
      </w:r>
    </w:p>
    <w:p w14:paraId="3AD29A92" w14:textId="4AE944C1" w:rsidR="0058784C" w:rsidRDefault="0058784C" w:rsidP="007A0CD3">
      <w:pPr>
        <w:pStyle w:val="ONUME"/>
      </w:pPr>
      <w:r>
        <w:t xml:space="preserve">Annex I </w:t>
      </w:r>
      <w:proofErr w:type="gramStart"/>
      <w:r>
        <w:t>sets</w:t>
      </w:r>
      <w:proofErr w:type="gramEnd"/>
      <w:r>
        <w:t xml:space="preserve"> out proposed amendments to PCT Rule 29 to clarify that an application </w:t>
      </w:r>
      <w:r w:rsidR="004009A7">
        <w:t xml:space="preserve">considered </w:t>
      </w:r>
      <w:r>
        <w:t xml:space="preserve">withdrawn </w:t>
      </w:r>
      <w:r w:rsidR="004009A7">
        <w:t>under Rule 89</w:t>
      </w:r>
      <w:r w:rsidR="004009A7">
        <w:rPr>
          <w:i/>
          <w:iCs/>
        </w:rPr>
        <w:t>bis</w:t>
      </w:r>
      <w:r w:rsidR="004009A7">
        <w:t>.1(d-</w:t>
      </w:r>
      <w:proofErr w:type="spellStart"/>
      <w:r w:rsidR="004009A7">
        <w:rPr>
          <w:i/>
          <w:iCs/>
        </w:rPr>
        <w:t>ter</w:t>
      </w:r>
      <w:proofErr w:type="spellEnd"/>
      <w:r w:rsidR="004009A7">
        <w:t>) will be treated in the same way as an application considered withdrawn for any other reason.  The receiving Office could decide whether to transmit the record copy on paper or to scan it and transmit it electronically</w:t>
      </w:r>
      <w:r>
        <w:t>.</w:t>
      </w:r>
      <w:r w:rsidR="004009A7">
        <w:t xml:space="preserve">  </w:t>
      </w:r>
      <w:r w:rsidR="004009A7">
        <w:lastRenderedPageBreak/>
        <w:t>Relevant portions of Rule 89</w:t>
      </w:r>
      <w:r w:rsidR="004009A7">
        <w:rPr>
          <w:i/>
          <w:iCs/>
        </w:rPr>
        <w:t>bis</w:t>
      </w:r>
      <w:r w:rsidR="004009A7">
        <w:t>.1</w:t>
      </w:r>
      <w:r w:rsidR="00C67CB6">
        <w:t xml:space="preserve"> as in force from July 1, 2025</w:t>
      </w:r>
      <w:r w:rsidR="00942E94">
        <w:t>,</w:t>
      </w:r>
      <w:r w:rsidR="00C67CB6">
        <w:t xml:space="preserve"> </w:t>
      </w:r>
      <w:r w:rsidR="004009A7">
        <w:t>are included for ease of reference.</w:t>
      </w:r>
    </w:p>
    <w:p w14:paraId="0D636858" w14:textId="0100BA3C" w:rsidR="007A0CD3" w:rsidRPr="007A0CD3" w:rsidRDefault="007A0CD3" w:rsidP="007A0CD3">
      <w:pPr>
        <w:pStyle w:val="ONUME"/>
        <w:tabs>
          <w:tab w:val="left" w:pos="5954"/>
        </w:tabs>
        <w:ind w:left="5533"/>
        <w:rPr>
          <w:i/>
        </w:rPr>
      </w:pPr>
      <w:r w:rsidRPr="007A0CD3">
        <w:rPr>
          <w:i/>
        </w:rPr>
        <w:t>The Working Group is invited to consider the proposed amendments to the PCT Regulations set out in the Annex to document PCT/WG/18/19.</w:t>
      </w:r>
    </w:p>
    <w:p w14:paraId="55F6E076" w14:textId="77777777" w:rsidR="007A0CD3" w:rsidRDefault="007A0CD3" w:rsidP="007A0CD3"/>
    <w:p w14:paraId="605A5147" w14:textId="77777777" w:rsidR="007A0CD3" w:rsidRPr="007A0CD3" w:rsidRDefault="007A0CD3" w:rsidP="007A0CD3"/>
    <w:p w14:paraId="5E03B816" w14:textId="2894150B" w:rsidR="00D673CF" w:rsidRDefault="00D673CF" w:rsidP="007A0CD3">
      <w:pPr>
        <w:pStyle w:val="Endofdocument-Annex"/>
        <w:sectPr w:rsidR="00D673CF" w:rsidSect="00256D31">
          <w:headerReference w:type="default" r:id="rId9"/>
          <w:endnotePr>
            <w:numFmt w:val="decimal"/>
          </w:endnotePr>
          <w:pgSz w:w="11907" w:h="16840" w:code="9"/>
          <w:pgMar w:top="567" w:right="1134" w:bottom="1418" w:left="1418" w:header="510" w:footer="1021" w:gutter="0"/>
          <w:cols w:space="720"/>
          <w:titlePg/>
          <w:docGrid w:linePitch="299"/>
        </w:sectPr>
      </w:pPr>
      <w:r>
        <w:t>[Annex follows]</w:t>
      </w:r>
    </w:p>
    <w:p w14:paraId="515966D5" w14:textId="4BFC6022" w:rsidR="002928D3" w:rsidRDefault="00BC788C" w:rsidP="00BC788C">
      <w:pPr>
        <w:jc w:val="center"/>
      </w:pPr>
      <w:r>
        <w:lastRenderedPageBreak/>
        <w:t>PROPOSED AMENDMENTS TO THE PCT REGULATIONS</w:t>
      </w:r>
      <w:r w:rsidR="00DD59F3">
        <w:rPr>
          <w:rStyle w:val="FootnoteReference"/>
          <w:caps/>
        </w:rPr>
        <w:footnoteReference w:id="2"/>
      </w:r>
    </w:p>
    <w:p w14:paraId="7CA6E7CF" w14:textId="77777777" w:rsidR="00BC788C" w:rsidRDefault="00BC788C" w:rsidP="00BC788C">
      <w:pPr>
        <w:jc w:val="center"/>
      </w:pPr>
    </w:p>
    <w:p w14:paraId="74D8A0DE" w14:textId="3C031AD6" w:rsidR="00BC788C" w:rsidRDefault="00BC788C" w:rsidP="00BC788C">
      <w:pPr>
        <w:jc w:val="center"/>
      </w:pPr>
      <w:r>
        <w:t>TABLE OF CONTENTS</w:t>
      </w:r>
    </w:p>
    <w:p w14:paraId="175AB7A5" w14:textId="77777777" w:rsidR="00BC788C" w:rsidRDefault="00BC788C" w:rsidP="00BC788C"/>
    <w:p w14:paraId="5FA5491F" w14:textId="77777777" w:rsidR="00BC788C" w:rsidRDefault="00BC788C" w:rsidP="00BC788C"/>
    <w:p w14:paraId="07FC6A9F" w14:textId="43791285" w:rsidR="00B03107" w:rsidRDefault="001F28A8">
      <w:pPr>
        <w:pStyle w:val="TOC1"/>
        <w:tabs>
          <w:tab w:val="right" w:leader="dot" w:pos="9345"/>
        </w:tabs>
        <w:rPr>
          <w:rFonts w:asciiTheme="minorHAnsi" w:eastAsiaTheme="minorEastAsia" w:hAnsiTheme="minorHAnsi" w:cstheme="minorBidi"/>
          <w:noProof/>
          <w:kern w:val="2"/>
          <w:sz w:val="24"/>
          <w:szCs w:val="24"/>
          <w:lang w:eastAsia="en-US"/>
          <w14:ligatures w14:val="standardContextual"/>
        </w:rPr>
      </w:pPr>
      <w:r>
        <w:fldChar w:fldCharType="begin"/>
      </w:r>
      <w:r>
        <w:instrText xml:space="preserve"> TOC \t "Leg # Title,1,Leg SubRule #,2" </w:instrText>
      </w:r>
      <w:r>
        <w:fldChar w:fldCharType="separate"/>
      </w:r>
      <w:r w:rsidR="00B03107">
        <w:rPr>
          <w:noProof/>
        </w:rPr>
        <w:t>Rule 29  International Applications Considered Withdrawn</w:t>
      </w:r>
      <w:r w:rsidR="00B03107">
        <w:rPr>
          <w:noProof/>
        </w:rPr>
        <w:tab/>
      </w:r>
      <w:r w:rsidR="00B03107">
        <w:rPr>
          <w:noProof/>
        </w:rPr>
        <w:fldChar w:fldCharType="begin"/>
      </w:r>
      <w:r w:rsidR="00B03107">
        <w:rPr>
          <w:noProof/>
        </w:rPr>
        <w:instrText xml:space="preserve"> PAGEREF _Toc188978027 \h </w:instrText>
      </w:r>
      <w:r w:rsidR="00B03107">
        <w:rPr>
          <w:noProof/>
        </w:rPr>
      </w:r>
      <w:r w:rsidR="00B03107">
        <w:rPr>
          <w:noProof/>
        </w:rPr>
        <w:fldChar w:fldCharType="separate"/>
      </w:r>
      <w:r w:rsidR="007E5C74">
        <w:rPr>
          <w:noProof/>
        </w:rPr>
        <w:t>2</w:t>
      </w:r>
      <w:r w:rsidR="00B03107">
        <w:rPr>
          <w:noProof/>
        </w:rPr>
        <w:fldChar w:fldCharType="end"/>
      </w:r>
    </w:p>
    <w:p w14:paraId="7993044A" w14:textId="1CFC261B" w:rsidR="00B03107" w:rsidRDefault="00B03107">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r>
        <w:rPr>
          <w:noProof/>
        </w:rPr>
        <w:t>29.1   </w:t>
      </w:r>
      <w:r w:rsidRPr="002C41B0">
        <w:rPr>
          <w:i/>
          <w:noProof/>
        </w:rPr>
        <w:t>Finding by Receiving Office</w:t>
      </w:r>
      <w:r>
        <w:rPr>
          <w:noProof/>
        </w:rPr>
        <w:tab/>
      </w:r>
      <w:r>
        <w:rPr>
          <w:noProof/>
        </w:rPr>
        <w:fldChar w:fldCharType="begin"/>
      </w:r>
      <w:r>
        <w:rPr>
          <w:noProof/>
        </w:rPr>
        <w:instrText xml:space="preserve"> PAGEREF _Toc188978028 \h </w:instrText>
      </w:r>
      <w:r>
        <w:rPr>
          <w:noProof/>
        </w:rPr>
      </w:r>
      <w:r>
        <w:rPr>
          <w:noProof/>
        </w:rPr>
        <w:fldChar w:fldCharType="separate"/>
      </w:r>
      <w:r w:rsidR="007E5C74">
        <w:rPr>
          <w:noProof/>
        </w:rPr>
        <w:t>2</w:t>
      </w:r>
      <w:r>
        <w:rPr>
          <w:noProof/>
        </w:rPr>
        <w:fldChar w:fldCharType="end"/>
      </w:r>
    </w:p>
    <w:p w14:paraId="1818835F" w14:textId="2FD143BA" w:rsidR="00B03107" w:rsidRDefault="00B03107">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r>
        <w:rPr>
          <w:noProof/>
        </w:rPr>
        <w:t>29.2   </w:t>
      </w:r>
      <w:r w:rsidRPr="002C41B0">
        <w:rPr>
          <w:i/>
          <w:noProof/>
        </w:rPr>
        <w:t>[Remains deleted]</w:t>
      </w:r>
      <w:r>
        <w:rPr>
          <w:noProof/>
        </w:rPr>
        <w:tab/>
      </w:r>
      <w:r>
        <w:rPr>
          <w:noProof/>
        </w:rPr>
        <w:fldChar w:fldCharType="begin"/>
      </w:r>
      <w:r>
        <w:rPr>
          <w:noProof/>
        </w:rPr>
        <w:instrText xml:space="preserve"> PAGEREF _Toc188978029 \h </w:instrText>
      </w:r>
      <w:r>
        <w:rPr>
          <w:noProof/>
        </w:rPr>
      </w:r>
      <w:r>
        <w:rPr>
          <w:noProof/>
        </w:rPr>
        <w:fldChar w:fldCharType="separate"/>
      </w:r>
      <w:r w:rsidR="007E5C74">
        <w:rPr>
          <w:noProof/>
        </w:rPr>
        <w:t>2</w:t>
      </w:r>
      <w:r>
        <w:rPr>
          <w:noProof/>
        </w:rPr>
        <w:fldChar w:fldCharType="end"/>
      </w:r>
    </w:p>
    <w:p w14:paraId="7F7489FB" w14:textId="0B9558A6" w:rsidR="00B03107" w:rsidRDefault="00B03107">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r>
        <w:rPr>
          <w:noProof/>
        </w:rPr>
        <w:t xml:space="preserve">29.3 and 29.4   </w:t>
      </w:r>
      <w:r w:rsidRPr="002C41B0">
        <w:rPr>
          <w:i/>
          <w:iCs/>
          <w:noProof/>
        </w:rPr>
        <w:t>[No change]</w:t>
      </w:r>
      <w:r>
        <w:rPr>
          <w:noProof/>
        </w:rPr>
        <w:tab/>
      </w:r>
      <w:r>
        <w:rPr>
          <w:noProof/>
        </w:rPr>
        <w:fldChar w:fldCharType="begin"/>
      </w:r>
      <w:r>
        <w:rPr>
          <w:noProof/>
        </w:rPr>
        <w:instrText xml:space="preserve"> PAGEREF _Toc188978030 \h </w:instrText>
      </w:r>
      <w:r>
        <w:rPr>
          <w:noProof/>
        </w:rPr>
      </w:r>
      <w:r>
        <w:rPr>
          <w:noProof/>
        </w:rPr>
        <w:fldChar w:fldCharType="separate"/>
      </w:r>
      <w:r w:rsidR="007E5C74">
        <w:rPr>
          <w:noProof/>
        </w:rPr>
        <w:t>2</w:t>
      </w:r>
      <w:r>
        <w:rPr>
          <w:noProof/>
        </w:rPr>
        <w:fldChar w:fldCharType="end"/>
      </w:r>
    </w:p>
    <w:p w14:paraId="34DE6469" w14:textId="0C171DC4" w:rsidR="00B03107" w:rsidRDefault="00B03107">
      <w:pPr>
        <w:pStyle w:val="TOC1"/>
        <w:tabs>
          <w:tab w:val="right" w:leader="dot" w:pos="9345"/>
        </w:tabs>
        <w:rPr>
          <w:rFonts w:asciiTheme="minorHAnsi" w:eastAsiaTheme="minorEastAsia" w:hAnsiTheme="minorHAnsi" w:cstheme="minorBidi"/>
          <w:noProof/>
          <w:kern w:val="2"/>
          <w:sz w:val="24"/>
          <w:szCs w:val="24"/>
          <w:lang w:eastAsia="en-US"/>
          <w14:ligatures w14:val="standardContextual"/>
        </w:rPr>
      </w:pPr>
      <w:r>
        <w:rPr>
          <w:noProof/>
        </w:rPr>
        <w:t>Rule 89</w:t>
      </w:r>
      <w:r w:rsidRPr="002C41B0">
        <w:rPr>
          <w:i/>
          <w:iCs/>
          <w:noProof/>
        </w:rPr>
        <w:t>bis</w:t>
      </w:r>
      <w:r>
        <w:rPr>
          <w:noProof/>
        </w:rPr>
        <w:t xml:space="preserve"> Filing, Processing and Communication of International Applications and Other Documents in Electronic Form or by Electronic Means</w:t>
      </w:r>
      <w:r>
        <w:rPr>
          <w:noProof/>
        </w:rPr>
        <w:tab/>
      </w:r>
      <w:r>
        <w:rPr>
          <w:noProof/>
        </w:rPr>
        <w:fldChar w:fldCharType="begin"/>
      </w:r>
      <w:r>
        <w:rPr>
          <w:noProof/>
        </w:rPr>
        <w:instrText xml:space="preserve"> PAGEREF _Toc188978031 \h </w:instrText>
      </w:r>
      <w:r>
        <w:rPr>
          <w:noProof/>
        </w:rPr>
      </w:r>
      <w:r>
        <w:rPr>
          <w:noProof/>
        </w:rPr>
        <w:fldChar w:fldCharType="separate"/>
      </w:r>
      <w:r w:rsidR="007E5C74">
        <w:rPr>
          <w:noProof/>
        </w:rPr>
        <w:t>3</w:t>
      </w:r>
      <w:r>
        <w:rPr>
          <w:noProof/>
        </w:rPr>
        <w:fldChar w:fldCharType="end"/>
      </w:r>
    </w:p>
    <w:p w14:paraId="52BEDE4B" w14:textId="6970B678" w:rsidR="00B03107" w:rsidRDefault="00B03107">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r>
        <w:rPr>
          <w:noProof/>
        </w:rPr>
        <w:t>89</w:t>
      </w:r>
      <w:r w:rsidRPr="002C41B0">
        <w:rPr>
          <w:i/>
          <w:noProof/>
        </w:rPr>
        <w:t>bis</w:t>
      </w:r>
      <w:r>
        <w:rPr>
          <w:noProof/>
        </w:rPr>
        <w:t xml:space="preserve">.1   [No change]  </w:t>
      </w:r>
      <w:r w:rsidRPr="002C41B0">
        <w:rPr>
          <w:i/>
          <w:noProof/>
        </w:rPr>
        <w:t>International Applications</w:t>
      </w:r>
      <w:r>
        <w:rPr>
          <w:noProof/>
        </w:rPr>
        <w:tab/>
      </w:r>
      <w:r>
        <w:rPr>
          <w:noProof/>
        </w:rPr>
        <w:fldChar w:fldCharType="begin"/>
      </w:r>
      <w:r>
        <w:rPr>
          <w:noProof/>
        </w:rPr>
        <w:instrText xml:space="preserve"> PAGEREF _Toc188978032 \h </w:instrText>
      </w:r>
      <w:r>
        <w:rPr>
          <w:noProof/>
        </w:rPr>
      </w:r>
      <w:r>
        <w:rPr>
          <w:noProof/>
        </w:rPr>
        <w:fldChar w:fldCharType="separate"/>
      </w:r>
      <w:r w:rsidR="007E5C74">
        <w:rPr>
          <w:noProof/>
        </w:rPr>
        <w:t>3</w:t>
      </w:r>
      <w:r>
        <w:rPr>
          <w:noProof/>
        </w:rPr>
        <w:fldChar w:fldCharType="end"/>
      </w:r>
    </w:p>
    <w:p w14:paraId="7F62CE64" w14:textId="539AB1AF" w:rsidR="00B03107" w:rsidRDefault="00B03107">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r>
        <w:rPr>
          <w:noProof/>
        </w:rPr>
        <w:t>89</w:t>
      </w:r>
      <w:r w:rsidRPr="002C41B0">
        <w:rPr>
          <w:i/>
          <w:noProof/>
        </w:rPr>
        <w:t>bis</w:t>
      </w:r>
      <w:r>
        <w:rPr>
          <w:noProof/>
        </w:rPr>
        <w:t xml:space="preserve">.2    [No change] </w:t>
      </w:r>
      <w:r w:rsidRPr="002C41B0">
        <w:rPr>
          <w:i/>
          <w:noProof/>
        </w:rPr>
        <w:t>Other Documents</w:t>
      </w:r>
      <w:r>
        <w:rPr>
          <w:noProof/>
        </w:rPr>
        <w:tab/>
      </w:r>
      <w:r>
        <w:rPr>
          <w:noProof/>
        </w:rPr>
        <w:fldChar w:fldCharType="begin"/>
      </w:r>
      <w:r>
        <w:rPr>
          <w:noProof/>
        </w:rPr>
        <w:instrText xml:space="preserve"> PAGEREF _Toc188978033 \h </w:instrText>
      </w:r>
      <w:r>
        <w:rPr>
          <w:noProof/>
        </w:rPr>
      </w:r>
      <w:r>
        <w:rPr>
          <w:noProof/>
        </w:rPr>
        <w:fldChar w:fldCharType="separate"/>
      </w:r>
      <w:r w:rsidR="007E5C74">
        <w:rPr>
          <w:noProof/>
        </w:rPr>
        <w:t>3</w:t>
      </w:r>
      <w:r>
        <w:rPr>
          <w:noProof/>
        </w:rPr>
        <w:fldChar w:fldCharType="end"/>
      </w:r>
    </w:p>
    <w:p w14:paraId="0C94C8CB" w14:textId="2EB8435E" w:rsidR="00B03107" w:rsidRDefault="00B03107">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r>
        <w:rPr>
          <w:noProof/>
        </w:rPr>
        <w:t>89</w:t>
      </w:r>
      <w:r w:rsidRPr="002C41B0">
        <w:rPr>
          <w:i/>
          <w:noProof/>
        </w:rPr>
        <w:t>bis</w:t>
      </w:r>
      <w:r>
        <w:rPr>
          <w:noProof/>
        </w:rPr>
        <w:t>.3   </w:t>
      </w:r>
      <w:r w:rsidRPr="002C41B0">
        <w:rPr>
          <w:i/>
          <w:noProof/>
        </w:rPr>
        <w:t>[No change]</w:t>
      </w:r>
      <w:r>
        <w:rPr>
          <w:noProof/>
        </w:rPr>
        <w:tab/>
      </w:r>
      <w:r>
        <w:rPr>
          <w:noProof/>
        </w:rPr>
        <w:fldChar w:fldCharType="begin"/>
      </w:r>
      <w:r>
        <w:rPr>
          <w:noProof/>
        </w:rPr>
        <w:instrText xml:space="preserve"> PAGEREF _Toc188978034 \h </w:instrText>
      </w:r>
      <w:r>
        <w:rPr>
          <w:noProof/>
        </w:rPr>
      </w:r>
      <w:r>
        <w:rPr>
          <w:noProof/>
        </w:rPr>
        <w:fldChar w:fldCharType="separate"/>
      </w:r>
      <w:r w:rsidR="007E5C74">
        <w:rPr>
          <w:noProof/>
        </w:rPr>
        <w:t>3</w:t>
      </w:r>
      <w:r>
        <w:rPr>
          <w:noProof/>
        </w:rPr>
        <w:fldChar w:fldCharType="end"/>
      </w:r>
    </w:p>
    <w:p w14:paraId="209223E1" w14:textId="42E7CDF7" w:rsidR="00BC788C" w:rsidRDefault="001F28A8" w:rsidP="00BC788C">
      <w:r>
        <w:fldChar w:fldCharType="end"/>
      </w:r>
    </w:p>
    <w:p w14:paraId="17FF820F" w14:textId="77777777" w:rsidR="00D673CF" w:rsidRDefault="00D673CF" w:rsidP="00D673CF"/>
    <w:p w14:paraId="22FE50CB" w14:textId="77777777" w:rsidR="00D673CF" w:rsidRDefault="00D673CF" w:rsidP="00D673CF"/>
    <w:p w14:paraId="08105331" w14:textId="77777777" w:rsidR="0001146D" w:rsidRDefault="0001146D" w:rsidP="0001146D">
      <w:pPr>
        <w:pStyle w:val="LegTitle"/>
      </w:pPr>
      <w:bookmarkStart w:id="6" w:name="_Toc188978027"/>
      <w:r>
        <w:lastRenderedPageBreak/>
        <w:t xml:space="preserve">Rule 29 </w:t>
      </w:r>
      <w:r w:rsidRPr="00785762">
        <w:rPr>
          <w:vanish/>
          <w:lang w:val="en-GB"/>
        </w:rPr>
        <w:t>-</w:t>
      </w:r>
      <w:r>
        <w:rPr>
          <w:vanish/>
          <w:lang w:val="en-GB"/>
        </w:rPr>
        <w:t xml:space="preserve"> </w:t>
      </w:r>
      <w:r>
        <w:br/>
        <w:t>International Applications Considered Withdrawn</w:t>
      </w:r>
      <w:bookmarkEnd w:id="6"/>
    </w:p>
    <w:p w14:paraId="7554405C" w14:textId="77777777" w:rsidR="0001146D" w:rsidRDefault="0001146D" w:rsidP="0001146D">
      <w:pPr>
        <w:pStyle w:val="LegSubRule"/>
      </w:pPr>
      <w:bookmarkStart w:id="7" w:name="_Toc188978028"/>
      <w:r>
        <w:t>29.1   </w:t>
      </w:r>
      <w:r w:rsidRPr="00C00524">
        <w:rPr>
          <w:i/>
        </w:rPr>
        <w:t>Finding by Receiving Office</w:t>
      </w:r>
      <w:bookmarkEnd w:id="7"/>
    </w:p>
    <w:p w14:paraId="3C360727" w14:textId="00F0BBFF" w:rsidR="0001146D" w:rsidRDefault="0001146D" w:rsidP="0001146D">
      <w:pPr>
        <w:pStyle w:val="Lega"/>
      </w:pPr>
      <w:r>
        <w:tab/>
      </w:r>
      <w:r w:rsidRPr="00B21D03">
        <w:t>If the receiving</w:t>
      </w:r>
      <w:r>
        <w:t xml:space="preserve"> Office declares, under Article </w:t>
      </w:r>
      <w:r w:rsidRPr="00B21D03">
        <w:t>14(1)(b) and Rule</w:t>
      </w:r>
      <w:r>
        <w:t> </w:t>
      </w:r>
      <w:r w:rsidRPr="00B21D03">
        <w:t>26.5 (failure to correct certain defects), or under Article</w:t>
      </w:r>
      <w:r>
        <w:t> </w:t>
      </w:r>
      <w:r w:rsidRPr="00B21D03">
        <w:t>14(3)(a) (failure to pay</w:t>
      </w:r>
      <w:r>
        <w:t xml:space="preserve"> the prescribed fees under Rule </w:t>
      </w:r>
      <w:r w:rsidRPr="00B21D03">
        <w:t>27.1(a))</w:t>
      </w:r>
      <w:r>
        <w:t xml:space="preserve">, or under Article 14(4) (later finding of </w:t>
      </w:r>
      <w:r>
        <w:br/>
        <w:t>non-</w:t>
      </w:r>
      <w:r w:rsidRPr="00B21D03">
        <w:t>compliance with the requirements listed in items</w:t>
      </w:r>
      <w:r>
        <w:t> </w:t>
      </w:r>
      <w:r w:rsidRPr="00B21D03">
        <w:t>(</w:t>
      </w:r>
      <w:proofErr w:type="spellStart"/>
      <w:r w:rsidRPr="00B21D03">
        <w:t>i</w:t>
      </w:r>
      <w:proofErr w:type="spellEnd"/>
      <w:r w:rsidRPr="00B21D03">
        <w:t>) to</w:t>
      </w:r>
      <w:r>
        <w:t> </w:t>
      </w:r>
      <w:r w:rsidRPr="00B21D03">
        <w:t>(iii) of Article</w:t>
      </w:r>
      <w:r>
        <w:t> </w:t>
      </w:r>
      <w:r w:rsidRPr="00B21D03">
        <w:t>11(1)), or under Rule</w:t>
      </w:r>
      <w:r>
        <w:t> </w:t>
      </w:r>
      <w:r w:rsidRPr="00B21D03">
        <w:t>12.3(d)</w:t>
      </w:r>
      <w:r>
        <w:t>, </w:t>
      </w:r>
      <w:r w:rsidRPr="00B21D03">
        <w:t>12.4(d)</w:t>
      </w:r>
      <w:r>
        <w:t xml:space="preserve"> or 26.3</w:t>
      </w:r>
      <w:r w:rsidRPr="003F40A5">
        <w:rPr>
          <w:i/>
          <w:iCs/>
        </w:rPr>
        <w:t>ter</w:t>
      </w:r>
      <w:r w:rsidRPr="00B21D03">
        <w:t xml:space="preserve"> (failure to furnish a required translation or, where applicable, to pay a late furnishing fee),</w:t>
      </w:r>
      <w:r w:rsidR="0058784C">
        <w:t xml:space="preserve"> </w:t>
      </w:r>
      <w:r w:rsidR="0058784C">
        <w:rPr>
          <w:rStyle w:val="LegInsertedText"/>
        </w:rPr>
        <w:t>or under Rule 89</w:t>
      </w:r>
      <w:r w:rsidR="0058784C">
        <w:rPr>
          <w:rStyle w:val="LegInsertedText"/>
          <w:i/>
          <w:iCs/>
        </w:rPr>
        <w:t>bis</w:t>
      </w:r>
      <w:r w:rsidR="0058784C">
        <w:rPr>
          <w:rStyle w:val="LegInsertedText"/>
        </w:rPr>
        <w:t>.1(d-</w:t>
      </w:r>
      <w:proofErr w:type="spellStart"/>
      <w:r w:rsidR="0058784C">
        <w:rPr>
          <w:rStyle w:val="LegInsertedText"/>
          <w:i/>
          <w:iCs/>
        </w:rPr>
        <w:t>ter</w:t>
      </w:r>
      <w:proofErr w:type="spellEnd"/>
      <w:r w:rsidR="0058784C">
        <w:rPr>
          <w:rStyle w:val="LegInsertedText"/>
        </w:rPr>
        <w:t>) (failure to resubmit a copy of an international application by electronic means),</w:t>
      </w:r>
      <w:r>
        <w:t xml:space="preserve"> or under Rule </w:t>
      </w:r>
      <w:r w:rsidRPr="00B21D03">
        <w:t>92.4(g)(</w:t>
      </w:r>
      <w:proofErr w:type="spellStart"/>
      <w:r w:rsidRPr="00B21D03">
        <w:t>i</w:t>
      </w:r>
      <w:proofErr w:type="spellEnd"/>
      <w:r w:rsidRPr="00B21D03">
        <w:t>) (failure to furnish the original of a document), that the international application is considered withdrawn:</w:t>
      </w:r>
    </w:p>
    <w:p w14:paraId="7FBD3536" w14:textId="77777777" w:rsidR="0001146D" w:rsidRDefault="0001146D" w:rsidP="0001146D">
      <w:pPr>
        <w:pStyle w:val="Legi"/>
      </w:pPr>
      <w:r>
        <w:tab/>
        <w:t>(</w:t>
      </w:r>
      <w:proofErr w:type="spellStart"/>
      <w:r>
        <w:t>i</w:t>
      </w:r>
      <w:proofErr w:type="spellEnd"/>
      <w:r>
        <w:t>)</w:t>
      </w:r>
      <w:r>
        <w:tab/>
        <w:t xml:space="preserve">the receiving Office shall transmit the record copy (unless already transmitted), and any correction offered by the applicant, to the International </w:t>
      </w:r>
      <w:proofErr w:type="gramStart"/>
      <w:r>
        <w:t>Bureau;</w:t>
      </w:r>
      <w:proofErr w:type="gramEnd"/>
    </w:p>
    <w:p w14:paraId="18AF54DA" w14:textId="77777777" w:rsidR="0001146D" w:rsidRDefault="0001146D" w:rsidP="0001146D">
      <w:pPr>
        <w:pStyle w:val="Legi"/>
      </w:pPr>
      <w:r>
        <w:tab/>
        <w:t>(ii)</w:t>
      </w:r>
      <w:r>
        <w:tab/>
        <w:t xml:space="preserve">the receiving Office shall promptly notify both the applicant and the International Bureau of the said declaration, and the International Bureau shall in turn notify each designated Office which has already been notified of its </w:t>
      </w:r>
      <w:proofErr w:type="gramStart"/>
      <w:r>
        <w:t>designation;</w:t>
      </w:r>
      <w:proofErr w:type="gramEnd"/>
    </w:p>
    <w:p w14:paraId="1956E8F8" w14:textId="77777777" w:rsidR="0001146D" w:rsidRDefault="0001146D" w:rsidP="0001146D">
      <w:pPr>
        <w:pStyle w:val="Legi"/>
      </w:pPr>
      <w:r>
        <w:tab/>
        <w:t>(iii)</w:t>
      </w:r>
      <w:r>
        <w:tab/>
        <w:t xml:space="preserve">the receiving Office shall not transmit the search copy as provided in Rule 23, or, if such copy has already been transmitted, it shall notify the International Searching Authority of the said </w:t>
      </w:r>
      <w:proofErr w:type="gramStart"/>
      <w:r>
        <w:t>declaration;</w:t>
      </w:r>
      <w:proofErr w:type="gramEnd"/>
    </w:p>
    <w:p w14:paraId="3634274B" w14:textId="77777777" w:rsidR="0001146D" w:rsidRDefault="0001146D" w:rsidP="0001146D">
      <w:pPr>
        <w:pStyle w:val="Legi"/>
      </w:pPr>
      <w:r>
        <w:tab/>
        <w:t>(iv)</w:t>
      </w:r>
      <w:r>
        <w:tab/>
        <w:t xml:space="preserve">the International Bureau shall not be required to notify the applicant of the receipt of the record </w:t>
      </w:r>
      <w:proofErr w:type="gramStart"/>
      <w:r>
        <w:t>copy;</w:t>
      </w:r>
      <w:proofErr w:type="gramEnd"/>
    </w:p>
    <w:p w14:paraId="09D440BD" w14:textId="77777777" w:rsidR="0001146D" w:rsidRDefault="0001146D" w:rsidP="0001146D">
      <w:pPr>
        <w:pStyle w:val="Legi"/>
        <w:rPr>
          <w:i/>
        </w:rPr>
      </w:pPr>
      <w:r>
        <w:tab/>
        <w:t>(v)</w:t>
      </w:r>
      <w:r>
        <w:tab/>
        <w:t xml:space="preserve">no international publication of the international application shall be </w:t>
      </w:r>
      <w:proofErr w:type="gramStart"/>
      <w:r>
        <w:t>effected</w:t>
      </w:r>
      <w:proofErr w:type="gramEnd"/>
      <w:r>
        <w:t xml:space="preserve"> if the notification of the said declaration transmitted by the receiving Office reaches the International Bureau before the technical preparations for international publication have been completed.</w:t>
      </w:r>
    </w:p>
    <w:p w14:paraId="2EC459FE" w14:textId="2FAF77C1" w:rsidR="0001146D" w:rsidRDefault="0001146D" w:rsidP="0001146D">
      <w:pPr>
        <w:pStyle w:val="LegSubRule"/>
      </w:pPr>
      <w:bookmarkStart w:id="8" w:name="_Toc188978029"/>
      <w:r>
        <w:t>29.2   </w:t>
      </w:r>
      <w:r w:rsidRPr="00C00524">
        <w:rPr>
          <w:i/>
        </w:rPr>
        <w:t>[</w:t>
      </w:r>
      <w:r>
        <w:rPr>
          <w:i/>
        </w:rPr>
        <w:t>Remains d</w:t>
      </w:r>
      <w:r w:rsidRPr="00C00524">
        <w:rPr>
          <w:i/>
        </w:rPr>
        <w:t>eleted]</w:t>
      </w:r>
      <w:bookmarkEnd w:id="8"/>
    </w:p>
    <w:p w14:paraId="3DBD3C1E" w14:textId="0089F0B5" w:rsidR="0001146D" w:rsidRDefault="0001146D" w:rsidP="0001146D">
      <w:pPr>
        <w:pStyle w:val="LegSubRule"/>
      </w:pPr>
      <w:bookmarkStart w:id="9" w:name="_Toc188978030"/>
      <w:r>
        <w:t>29.3</w:t>
      </w:r>
      <w:r w:rsidR="004009A7">
        <w:t xml:space="preserve"> and 29.4   </w:t>
      </w:r>
      <w:r w:rsidR="004009A7">
        <w:rPr>
          <w:i/>
          <w:iCs/>
        </w:rPr>
        <w:t>[No change]</w:t>
      </w:r>
      <w:bookmarkEnd w:id="9"/>
    </w:p>
    <w:p w14:paraId="05F162F2" w14:textId="77777777" w:rsidR="00D673CF" w:rsidRDefault="00D673CF" w:rsidP="00D673CF"/>
    <w:p w14:paraId="35CB056B" w14:textId="77777777" w:rsidR="00D673CF" w:rsidRPr="00DE6A4E" w:rsidRDefault="00D673CF" w:rsidP="00D673CF">
      <w:pPr>
        <w:pStyle w:val="LegTitle"/>
      </w:pPr>
      <w:bookmarkStart w:id="10" w:name="_Toc160470697"/>
      <w:bookmarkStart w:id="11" w:name="_Toc160471085"/>
      <w:bookmarkStart w:id="12" w:name="_Toc160471224"/>
      <w:bookmarkStart w:id="13" w:name="_Toc160471347"/>
      <w:bookmarkStart w:id="14" w:name="_Toc160471515"/>
      <w:bookmarkStart w:id="15" w:name="_Toc160542735"/>
      <w:bookmarkStart w:id="16" w:name="_Toc188978031"/>
      <w:r>
        <w:t>Rule 89</w:t>
      </w:r>
      <w:r w:rsidRPr="008B6CF7">
        <w:rPr>
          <w:i/>
          <w:iCs/>
        </w:rPr>
        <w:t>bis</w:t>
      </w:r>
      <w:r>
        <w:br/>
      </w:r>
      <w:r w:rsidRPr="008B6CF7">
        <w:t>Filing, Processing and Communication</w:t>
      </w:r>
      <w:r>
        <w:br/>
      </w:r>
      <w:r w:rsidRPr="008B6CF7">
        <w:t>of International Applications and Other Documents</w:t>
      </w:r>
      <w:r>
        <w:br/>
        <w:t>in Electronic Form or by Electronic Means</w:t>
      </w:r>
      <w:bookmarkEnd w:id="10"/>
      <w:bookmarkEnd w:id="11"/>
      <w:bookmarkEnd w:id="12"/>
      <w:bookmarkEnd w:id="13"/>
      <w:bookmarkEnd w:id="14"/>
      <w:bookmarkEnd w:id="15"/>
      <w:bookmarkEnd w:id="16"/>
      <w:r w:rsidRPr="008B6CF7">
        <w:t xml:space="preserve"> </w:t>
      </w:r>
    </w:p>
    <w:p w14:paraId="489B9C8F" w14:textId="0745E7A9" w:rsidR="00D673CF" w:rsidRPr="006E324D" w:rsidRDefault="00D673CF" w:rsidP="00D673CF">
      <w:pPr>
        <w:pStyle w:val="LegSubRule"/>
      </w:pPr>
      <w:bookmarkStart w:id="17" w:name="_Toc160470698"/>
      <w:bookmarkStart w:id="18" w:name="_Toc160471086"/>
      <w:bookmarkStart w:id="19" w:name="_Toc160471225"/>
      <w:bookmarkStart w:id="20" w:name="_Toc160471348"/>
      <w:bookmarkStart w:id="21" w:name="_Toc160471516"/>
      <w:bookmarkStart w:id="22" w:name="_Toc160542736"/>
      <w:bookmarkStart w:id="23" w:name="_Toc188978032"/>
      <w:r>
        <w:t>89</w:t>
      </w:r>
      <w:r w:rsidRPr="002052C3">
        <w:rPr>
          <w:i/>
        </w:rPr>
        <w:t>bis</w:t>
      </w:r>
      <w:r w:rsidRPr="006E324D">
        <w:t>.1   </w:t>
      </w:r>
      <w:r w:rsidR="005D29F3">
        <w:t xml:space="preserve">[No change]  </w:t>
      </w:r>
      <w:r>
        <w:rPr>
          <w:i/>
        </w:rPr>
        <w:t>International Applications</w:t>
      </w:r>
      <w:bookmarkEnd w:id="17"/>
      <w:bookmarkEnd w:id="18"/>
      <w:bookmarkEnd w:id="19"/>
      <w:bookmarkEnd w:id="20"/>
      <w:bookmarkEnd w:id="21"/>
      <w:bookmarkEnd w:id="22"/>
      <w:bookmarkEnd w:id="23"/>
    </w:p>
    <w:p w14:paraId="14D1E6C1" w14:textId="10CA919A" w:rsidR="00D673CF" w:rsidRDefault="00D673CF" w:rsidP="00D673CF">
      <w:pPr>
        <w:pStyle w:val="Lega"/>
      </w:pPr>
      <w:r>
        <w:tab/>
        <w:t>(a)  </w:t>
      </w:r>
      <w:r w:rsidR="00C67CB6">
        <w:t xml:space="preserve">[No change] </w:t>
      </w:r>
      <w:r w:rsidRPr="002052C3">
        <w:t>International applications may, subject to paragraphs (b) to (e), be filed and processed in electronic form or by electronic means, in accordance with the Administrative Instructions</w:t>
      </w:r>
      <w:r w:rsidRPr="00746852">
        <w:rPr>
          <w:color w:val="C00000"/>
        </w:rPr>
        <w:t>.</w:t>
      </w:r>
      <w:r>
        <w:t xml:space="preserve">  </w:t>
      </w:r>
    </w:p>
    <w:p w14:paraId="538E348E" w14:textId="77777777" w:rsidR="00D673CF" w:rsidRDefault="00D673CF" w:rsidP="00D673CF">
      <w:pPr>
        <w:pStyle w:val="Lega"/>
      </w:pPr>
      <w:r>
        <w:tab/>
      </w:r>
      <w:r w:rsidRPr="002C6378">
        <w:t xml:space="preserve">(b) </w:t>
      </w:r>
      <w:r>
        <w:t>to (d) [No change]</w:t>
      </w:r>
    </w:p>
    <w:p w14:paraId="11831F81" w14:textId="4F2F620C" w:rsidR="00D673CF" w:rsidRPr="00967521" w:rsidRDefault="00D673CF" w:rsidP="00D673CF">
      <w:pPr>
        <w:pStyle w:val="Lega"/>
        <w:rPr>
          <w:rFonts w:eastAsia="SimSun"/>
        </w:rPr>
      </w:pPr>
      <w:r w:rsidRPr="00862EE0">
        <w:tab/>
      </w:r>
      <w:r w:rsidRPr="00967521">
        <w:rPr>
          <w:rFonts w:eastAsia="SimSun"/>
        </w:rPr>
        <w:t>(d-</w:t>
      </w:r>
      <w:r w:rsidRPr="00967521">
        <w:rPr>
          <w:rFonts w:eastAsia="SimSun"/>
          <w:i/>
          <w:iCs/>
        </w:rPr>
        <w:t>bis</w:t>
      </w:r>
      <w:r w:rsidRPr="00967521">
        <w:rPr>
          <w:rFonts w:eastAsia="SimSun"/>
        </w:rPr>
        <w:t xml:space="preserve">)  </w:t>
      </w:r>
      <w:r w:rsidR="00C67CB6">
        <w:t xml:space="preserve">[No change] </w:t>
      </w:r>
      <w:r w:rsidRPr="00967521">
        <w:rPr>
          <w:rFonts w:eastAsia="SimSun"/>
        </w:rPr>
        <w:t>A national Office or intergovernmental organization, other than the International Bureau, that has made a notification under paragraph (d) may notify the International Bureau that it will only receive international applications if they are filed in electronic form or by electronic means.  The International Bureau shall publish a notification made under this paragraph in the Gazette.</w:t>
      </w:r>
    </w:p>
    <w:p w14:paraId="6E5C4B43" w14:textId="7F812CE1" w:rsidR="00D673CF" w:rsidRPr="00862EE0" w:rsidRDefault="00D673CF" w:rsidP="00D673CF">
      <w:pPr>
        <w:pStyle w:val="Lega"/>
        <w:keepLines/>
        <w:rPr>
          <w:rFonts w:eastAsia="SimSun"/>
        </w:rPr>
      </w:pPr>
      <w:r w:rsidRPr="00862EE0">
        <w:tab/>
      </w:r>
      <w:r w:rsidRPr="00967521">
        <w:rPr>
          <w:rFonts w:eastAsia="SimSun"/>
        </w:rPr>
        <w:t>(d-</w:t>
      </w:r>
      <w:proofErr w:type="spellStart"/>
      <w:r w:rsidRPr="00967521">
        <w:rPr>
          <w:rFonts w:eastAsia="SimSun"/>
          <w:i/>
          <w:iCs/>
        </w:rPr>
        <w:t>ter</w:t>
      </w:r>
      <w:proofErr w:type="spellEnd"/>
      <w:r w:rsidRPr="00967521">
        <w:rPr>
          <w:rFonts w:eastAsia="SimSun"/>
        </w:rPr>
        <w:t xml:space="preserve">)  </w:t>
      </w:r>
      <w:r w:rsidR="00C67CB6">
        <w:t xml:space="preserve">[No change] </w:t>
      </w:r>
      <w:r w:rsidRPr="00967521">
        <w:rPr>
          <w:rFonts w:eastAsia="SimSun"/>
        </w:rPr>
        <w:t>A national Office or intergovernmental organization</w:t>
      </w:r>
      <w:r w:rsidRPr="00967521" w:rsidDel="0010647F">
        <w:rPr>
          <w:rFonts w:eastAsia="SimSun"/>
        </w:rPr>
        <w:t xml:space="preserve"> </w:t>
      </w:r>
      <w:r w:rsidRPr="00967521">
        <w:rPr>
          <w:rFonts w:eastAsia="SimSun"/>
        </w:rPr>
        <w:t>that has made a notification under paragraph (d) but not paragraph (d</w:t>
      </w:r>
      <w:r w:rsidRPr="00967521">
        <w:rPr>
          <w:rFonts w:eastAsia="SimSun"/>
        </w:rPr>
        <w:noBreakHyphen/>
      </w:r>
      <w:r w:rsidRPr="00967521">
        <w:rPr>
          <w:rFonts w:eastAsia="SimSun"/>
          <w:i/>
          <w:iCs/>
        </w:rPr>
        <w:t>bis</w:t>
      </w:r>
      <w:r w:rsidRPr="00967521">
        <w:rPr>
          <w:rFonts w:eastAsia="SimSun"/>
        </w:rPr>
        <w:t xml:space="preserve">) may notify the International Bureau that any application filed on paper must be resubmitted by electronic means within two months from the date of an invitation by such Office or organization.  If corresponding documents are not timely received, the international application shall be considered </w:t>
      </w:r>
      <w:proofErr w:type="gramStart"/>
      <w:r w:rsidRPr="00967521">
        <w:rPr>
          <w:rFonts w:eastAsia="SimSun"/>
        </w:rPr>
        <w:t>withdrawn</w:t>
      </w:r>
      <w:proofErr w:type="gramEnd"/>
      <w:r w:rsidRPr="00967521">
        <w:rPr>
          <w:rFonts w:eastAsia="SimSun"/>
        </w:rPr>
        <w:t xml:space="preserve"> and the receiving Office shall so declare.  The International Bureau shall publish a notification made under this paragraph in the Gazette.</w:t>
      </w:r>
    </w:p>
    <w:p w14:paraId="65C03A68" w14:textId="77777777" w:rsidR="00D673CF" w:rsidRPr="00862EE0" w:rsidRDefault="00D673CF" w:rsidP="00D673CF">
      <w:pPr>
        <w:pStyle w:val="Lega"/>
      </w:pPr>
      <w:r w:rsidRPr="00862EE0">
        <w:tab/>
        <w:t xml:space="preserve">(e)  [No change] </w:t>
      </w:r>
    </w:p>
    <w:p w14:paraId="1A8D855F" w14:textId="2222B56B" w:rsidR="00D673CF" w:rsidRDefault="00D673CF" w:rsidP="00D673CF">
      <w:pPr>
        <w:pStyle w:val="LegSubRule"/>
        <w:rPr>
          <w:i/>
        </w:rPr>
      </w:pPr>
      <w:bookmarkStart w:id="24" w:name="_Toc160470699"/>
      <w:bookmarkStart w:id="25" w:name="_Toc160471087"/>
      <w:bookmarkStart w:id="26" w:name="_Toc160471226"/>
      <w:bookmarkStart w:id="27" w:name="_Toc160471349"/>
      <w:bookmarkStart w:id="28" w:name="_Toc160471517"/>
      <w:bookmarkStart w:id="29" w:name="_Toc160542737"/>
      <w:bookmarkStart w:id="30" w:name="_Toc188978033"/>
      <w:r>
        <w:t>89</w:t>
      </w:r>
      <w:r w:rsidRPr="002052C3">
        <w:rPr>
          <w:i/>
        </w:rPr>
        <w:t>bis</w:t>
      </w:r>
      <w:r>
        <w:t>.2</w:t>
      </w:r>
      <w:r w:rsidRPr="006E324D">
        <w:t>  </w:t>
      </w:r>
      <w:r w:rsidR="004009A7">
        <w:t xml:space="preserve"> </w:t>
      </w:r>
      <w:r w:rsidR="005D29F3">
        <w:t xml:space="preserve"> [No change] </w:t>
      </w:r>
      <w:r w:rsidRPr="003A6AEA">
        <w:rPr>
          <w:i/>
        </w:rPr>
        <w:t>Other Documents</w:t>
      </w:r>
      <w:bookmarkEnd w:id="24"/>
      <w:bookmarkEnd w:id="25"/>
      <w:bookmarkEnd w:id="26"/>
      <w:bookmarkEnd w:id="27"/>
      <w:bookmarkEnd w:id="28"/>
      <w:bookmarkEnd w:id="29"/>
      <w:bookmarkEnd w:id="30"/>
    </w:p>
    <w:p w14:paraId="42423BF8" w14:textId="318FC854" w:rsidR="00D673CF" w:rsidRPr="006E324D" w:rsidRDefault="00D673CF" w:rsidP="00D673CF">
      <w:pPr>
        <w:pStyle w:val="Lega"/>
      </w:pPr>
      <w:r>
        <w:tab/>
      </w:r>
      <w:r w:rsidR="00C67CB6">
        <w:t xml:space="preserve">[No change] </w:t>
      </w:r>
      <w:r w:rsidRPr="003A6AEA">
        <w:t>Rule 89</w:t>
      </w:r>
      <w:r w:rsidRPr="003A6AEA">
        <w:rPr>
          <w:i/>
        </w:rPr>
        <w:t>bis</w:t>
      </w:r>
      <w:r w:rsidRPr="003A6AEA">
        <w:t xml:space="preserve">.1 shall apply </w:t>
      </w:r>
      <w:r w:rsidRPr="00F40A71">
        <w:rPr>
          <w:i/>
        </w:rPr>
        <w:t>mutatis mutandis</w:t>
      </w:r>
      <w:r w:rsidRPr="003A6AEA">
        <w:t xml:space="preserve"> to other documents and correspondence relating to international applications</w:t>
      </w:r>
      <w:r w:rsidRPr="00967521">
        <w:rPr>
          <w:rFonts w:eastAsia="SimSun"/>
        </w:rPr>
        <w:t>, provided that, where a national Office or intergovernmental organization</w:t>
      </w:r>
      <w:r w:rsidRPr="00967521" w:rsidDel="0010647F">
        <w:rPr>
          <w:rFonts w:eastAsia="SimSun"/>
        </w:rPr>
        <w:t xml:space="preserve"> </w:t>
      </w:r>
      <w:r w:rsidRPr="00967521">
        <w:rPr>
          <w:rFonts w:eastAsia="SimSun"/>
        </w:rPr>
        <w:t>has made a notification under Rule 89</w:t>
      </w:r>
      <w:r w:rsidRPr="00967521">
        <w:rPr>
          <w:rFonts w:eastAsia="SimSun"/>
          <w:i/>
          <w:iCs/>
        </w:rPr>
        <w:t>bis</w:t>
      </w:r>
      <w:r w:rsidRPr="00967521">
        <w:rPr>
          <w:rFonts w:eastAsia="SimSun"/>
        </w:rPr>
        <w:t>.1(d</w:t>
      </w:r>
      <w:r w:rsidRPr="00967521">
        <w:rPr>
          <w:rFonts w:eastAsia="SimSun"/>
        </w:rPr>
        <w:noBreakHyphen/>
      </w:r>
      <w:proofErr w:type="spellStart"/>
      <w:r w:rsidRPr="00967521">
        <w:rPr>
          <w:rFonts w:eastAsia="SimSun"/>
          <w:i/>
          <w:iCs/>
        </w:rPr>
        <w:t>ter</w:t>
      </w:r>
      <w:proofErr w:type="spellEnd"/>
      <w:r w:rsidRPr="00967521">
        <w:rPr>
          <w:rFonts w:eastAsia="SimSun"/>
        </w:rPr>
        <w:t>), any such documents or correspondence filed on paper and not resubmitted by electronic means within two months from the date of a corresponding invitation shall be disregarded</w:t>
      </w:r>
      <w:r w:rsidRPr="003A6AEA">
        <w:t xml:space="preserve">. </w:t>
      </w:r>
    </w:p>
    <w:p w14:paraId="02036440" w14:textId="77777777" w:rsidR="00D673CF" w:rsidRDefault="00D673CF" w:rsidP="00D673CF">
      <w:pPr>
        <w:pStyle w:val="LegSubRule"/>
      </w:pPr>
      <w:bookmarkStart w:id="31" w:name="_Toc160470700"/>
      <w:bookmarkStart w:id="32" w:name="_Toc160471088"/>
      <w:bookmarkStart w:id="33" w:name="_Toc160471227"/>
      <w:bookmarkStart w:id="34" w:name="_Toc160471350"/>
      <w:bookmarkStart w:id="35" w:name="_Toc160471518"/>
      <w:bookmarkStart w:id="36" w:name="_Toc160542738"/>
      <w:bookmarkStart w:id="37" w:name="_Toc188978034"/>
      <w:r>
        <w:t>89</w:t>
      </w:r>
      <w:r w:rsidRPr="002052C3">
        <w:rPr>
          <w:i/>
        </w:rPr>
        <w:t>bis</w:t>
      </w:r>
      <w:r>
        <w:t>.3</w:t>
      </w:r>
      <w:r w:rsidRPr="006E324D">
        <w:t>   </w:t>
      </w:r>
      <w:r>
        <w:rPr>
          <w:i/>
        </w:rPr>
        <w:t>[No change]</w:t>
      </w:r>
      <w:bookmarkEnd w:id="31"/>
      <w:bookmarkEnd w:id="32"/>
      <w:bookmarkEnd w:id="33"/>
      <w:bookmarkEnd w:id="34"/>
      <w:bookmarkEnd w:id="35"/>
      <w:bookmarkEnd w:id="36"/>
      <w:bookmarkEnd w:id="37"/>
      <w:r w:rsidRPr="003A6AEA">
        <w:t xml:space="preserve"> </w:t>
      </w:r>
    </w:p>
    <w:p w14:paraId="4E8327EF" w14:textId="77777777" w:rsidR="00D673CF" w:rsidRDefault="00D673CF" w:rsidP="00D673CF"/>
    <w:p w14:paraId="41AD328A" w14:textId="637616C6" w:rsidR="00BC788C" w:rsidRDefault="00BC788C" w:rsidP="00BC788C">
      <w:pPr>
        <w:pStyle w:val="Endofdocument-Annex"/>
      </w:pPr>
      <w:r>
        <w:t>[End of Annex and of document]</w:t>
      </w:r>
    </w:p>
    <w:sectPr w:rsidR="00BC788C" w:rsidSect="00D673CF">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7F917" w14:textId="77777777" w:rsidR="00256D31" w:rsidRDefault="00256D31">
      <w:r>
        <w:separator/>
      </w:r>
    </w:p>
  </w:endnote>
  <w:endnote w:type="continuationSeparator" w:id="0">
    <w:p w14:paraId="58292C77" w14:textId="77777777" w:rsidR="00256D31" w:rsidRDefault="00256D31" w:rsidP="003B38C1">
      <w:r>
        <w:separator/>
      </w:r>
    </w:p>
    <w:p w14:paraId="3E9BA4ED" w14:textId="77777777" w:rsidR="00256D31" w:rsidRPr="003B38C1" w:rsidRDefault="00256D31" w:rsidP="003B38C1">
      <w:pPr>
        <w:spacing w:after="60"/>
        <w:rPr>
          <w:sz w:val="17"/>
        </w:rPr>
      </w:pPr>
      <w:r>
        <w:rPr>
          <w:sz w:val="17"/>
        </w:rPr>
        <w:t>[Endnote continued from previous page]</w:t>
      </w:r>
    </w:p>
  </w:endnote>
  <w:endnote w:type="continuationNotice" w:id="1">
    <w:p w14:paraId="153A3CFA" w14:textId="77777777" w:rsidR="00256D31" w:rsidRPr="003B38C1" w:rsidRDefault="00256D31"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A6BA6" w14:textId="77777777" w:rsidR="00256D31" w:rsidRDefault="00256D31">
      <w:r>
        <w:separator/>
      </w:r>
    </w:p>
  </w:footnote>
  <w:footnote w:type="continuationSeparator" w:id="0">
    <w:p w14:paraId="58F5E7C4" w14:textId="77777777" w:rsidR="00256D31" w:rsidRDefault="00256D31" w:rsidP="008B60B2">
      <w:r>
        <w:separator/>
      </w:r>
    </w:p>
    <w:p w14:paraId="6CC9332D" w14:textId="77777777" w:rsidR="00256D31" w:rsidRPr="00ED77FB" w:rsidRDefault="00256D31" w:rsidP="008B60B2">
      <w:pPr>
        <w:spacing w:after="60"/>
        <w:rPr>
          <w:sz w:val="17"/>
          <w:szCs w:val="17"/>
        </w:rPr>
      </w:pPr>
      <w:r w:rsidRPr="00ED77FB">
        <w:rPr>
          <w:sz w:val="17"/>
          <w:szCs w:val="17"/>
        </w:rPr>
        <w:t>[Footnote continued from previous page]</w:t>
      </w:r>
    </w:p>
  </w:footnote>
  <w:footnote w:type="continuationNotice" w:id="1">
    <w:p w14:paraId="5E22866C" w14:textId="77777777" w:rsidR="00256D31" w:rsidRPr="00ED77FB" w:rsidRDefault="00256D31"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2C00C441" w14:textId="4A7B6860" w:rsidR="00DD59F3" w:rsidRDefault="00DD59F3" w:rsidP="00DD59F3">
      <w:pPr>
        <w:pStyle w:val="FootnoteText"/>
      </w:pPr>
      <w:r>
        <w:rPr>
          <w:rStyle w:val="FootnoteReference"/>
        </w:rPr>
        <w:footnoteRef/>
      </w:r>
      <w:r>
        <w:t xml:space="preserve"> Proposed additions are indicated by underlining the text concerned.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BE049" w14:textId="17B7A380" w:rsidR="00EC4E49" w:rsidRDefault="00256D31" w:rsidP="00477D6B">
    <w:pPr>
      <w:jc w:val="right"/>
    </w:pPr>
    <w:bookmarkStart w:id="5" w:name="Code2"/>
    <w:bookmarkEnd w:id="5"/>
    <w:r>
      <w:t>PCT/WG/18/19</w:t>
    </w:r>
  </w:p>
  <w:p w14:paraId="49A80B57"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4EC7D2A2" w14:textId="77777777" w:rsidR="00EC4E49" w:rsidRDefault="00EC4E49" w:rsidP="00477D6B">
    <w:pPr>
      <w:jc w:val="right"/>
    </w:pPr>
  </w:p>
  <w:p w14:paraId="62E87C5F" w14:textId="77777777" w:rsidR="00B50B99" w:rsidRDefault="00B50B9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AA693" w14:textId="77777777" w:rsidR="00D673CF" w:rsidRDefault="00D673CF" w:rsidP="00477D6B">
    <w:pPr>
      <w:jc w:val="right"/>
    </w:pPr>
    <w:r>
      <w:t>PCT/WG/18/19</w:t>
    </w:r>
  </w:p>
  <w:p w14:paraId="30A52308" w14:textId="639CBE8D" w:rsidR="00D673CF" w:rsidRDefault="00D673CF" w:rsidP="00477D6B">
    <w:pPr>
      <w:jc w:val="right"/>
    </w:pPr>
    <w:r>
      <w:t xml:space="preserve">Annex, page </w:t>
    </w:r>
    <w:r>
      <w:fldChar w:fldCharType="begin"/>
    </w:r>
    <w:r>
      <w:instrText xml:space="preserve"> PAGE  \* MERGEFORMAT </w:instrText>
    </w:r>
    <w:r>
      <w:fldChar w:fldCharType="separate"/>
    </w:r>
    <w:r>
      <w:rPr>
        <w:noProof/>
      </w:rPr>
      <w:t>2</w:t>
    </w:r>
    <w:r>
      <w:fldChar w:fldCharType="end"/>
    </w:r>
  </w:p>
  <w:p w14:paraId="4A3DA446" w14:textId="77777777" w:rsidR="00D673CF" w:rsidRDefault="00D673CF" w:rsidP="00477D6B">
    <w:pPr>
      <w:jc w:val="right"/>
    </w:pPr>
  </w:p>
  <w:p w14:paraId="39D3FE60" w14:textId="77777777" w:rsidR="00D673CF" w:rsidRDefault="00D673C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67765" w14:textId="7A91D1C5" w:rsidR="00D673CF" w:rsidRDefault="00D673CF" w:rsidP="00D673CF">
    <w:pPr>
      <w:pStyle w:val="Header"/>
      <w:jc w:val="right"/>
    </w:pPr>
    <w:r>
      <w:t>PCT/WG/18/19</w:t>
    </w:r>
  </w:p>
  <w:p w14:paraId="18566429" w14:textId="0706584F" w:rsidR="00D673CF" w:rsidRDefault="00D673CF" w:rsidP="00D673CF">
    <w:pPr>
      <w:pStyle w:val="Header"/>
      <w:jc w:val="right"/>
    </w:pPr>
    <w:r>
      <w:t>ANNEX</w:t>
    </w:r>
  </w:p>
  <w:p w14:paraId="7546E92B" w14:textId="77777777" w:rsidR="00D673CF" w:rsidRDefault="00D673CF" w:rsidP="00D673C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31"/>
    <w:rsid w:val="0001146D"/>
    <w:rsid w:val="0001647B"/>
    <w:rsid w:val="00043CAA"/>
    <w:rsid w:val="0005116B"/>
    <w:rsid w:val="00075432"/>
    <w:rsid w:val="00076E50"/>
    <w:rsid w:val="000968ED"/>
    <w:rsid w:val="000F5E56"/>
    <w:rsid w:val="001024FE"/>
    <w:rsid w:val="001362EE"/>
    <w:rsid w:val="00142868"/>
    <w:rsid w:val="001832A6"/>
    <w:rsid w:val="001913A6"/>
    <w:rsid w:val="001C6808"/>
    <w:rsid w:val="001F28A8"/>
    <w:rsid w:val="002121FA"/>
    <w:rsid w:val="00214C74"/>
    <w:rsid w:val="00256D31"/>
    <w:rsid w:val="002634C4"/>
    <w:rsid w:val="002928D3"/>
    <w:rsid w:val="0029703C"/>
    <w:rsid w:val="002F1FE6"/>
    <w:rsid w:val="002F4E68"/>
    <w:rsid w:val="00312F7F"/>
    <w:rsid w:val="003228B7"/>
    <w:rsid w:val="003508A3"/>
    <w:rsid w:val="003673CF"/>
    <w:rsid w:val="003845C1"/>
    <w:rsid w:val="003A6F89"/>
    <w:rsid w:val="003B38C1"/>
    <w:rsid w:val="003C46A7"/>
    <w:rsid w:val="003D352A"/>
    <w:rsid w:val="003F4C9E"/>
    <w:rsid w:val="004009A7"/>
    <w:rsid w:val="00423E3E"/>
    <w:rsid w:val="00427AF4"/>
    <w:rsid w:val="004400E2"/>
    <w:rsid w:val="00461632"/>
    <w:rsid w:val="004647DA"/>
    <w:rsid w:val="00474062"/>
    <w:rsid w:val="00477D6B"/>
    <w:rsid w:val="00497C1B"/>
    <w:rsid w:val="004D39C4"/>
    <w:rsid w:val="0053057A"/>
    <w:rsid w:val="00543927"/>
    <w:rsid w:val="00560A29"/>
    <w:rsid w:val="00564730"/>
    <w:rsid w:val="0058784C"/>
    <w:rsid w:val="00594D27"/>
    <w:rsid w:val="005D29F3"/>
    <w:rsid w:val="00601760"/>
    <w:rsid w:val="00605827"/>
    <w:rsid w:val="00646050"/>
    <w:rsid w:val="006713CA"/>
    <w:rsid w:val="00676C5C"/>
    <w:rsid w:val="00695558"/>
    <w:rsid w:val="006D5E0F"/>
    <w:rsid w:val="007058FB"/>
    <w:rsid w:val="00744C06"/>
    <w:rsid w:val="00791C08"/>
    <w:rsid w:val="007A0CD3"/>
    <w:rsid w:val="007B6A58"/>
    <w:rsid w:val="007D1613"/>
    <w:rsid w:val="007E5C74"/>
    <w:rsid w:val="00873EE5"/>
    <w:rsid w:val="008B2CC1"/>
    <w:rsid w:val="008B4B5E"/>
    <w:rsid w:val="008B60B2"/>
    <w:rsid w:val="0090731E"/>
    <w:rsid w:val="00916EE2"/>
    <w:rsid w:val="00942E94"/>
    <w:rsid w:val="00946221"/>
    <w:rsid w:val="00966A22"/>
    <w:rsid w:val="0096722F"/>
    <w:rsid w:val="00980843"/>
    <w:rsid w:val="009E2791"/>
    <w:rsid w:val="009E3F6F"/>
    <w:rsid w:val="009F3BF9"/>
    <w:rsid w:val="009F499F"/>
    <w:rsid w:val="00A01C80"/>
    <w:rsid w:val="00A26A28"/>
    <w:rsid w:val="00A42DAF"/>
    <w:rsid w:val="00A45BD8"/>
    <w:rsid w:val="00A60A2B"/>
    <w:rsid w:val="00A778BF"/>
    <w:rsid w:val="00A85B8E"/>
    <w:rsid w:val="00AC205C"/>
    <w:rsid w:val="00AF5C73"/>
    <w:rsid w:val="00B03107"/>
    <w:rsid w:val="00B05A69"/>
    <w:rsid w:val="00B40598"/>
    <w:rsid w:val="00B50B99"/>
    <w:rsid w:val="00B62CD9"/>
    <w:rsid w:val="00B9734B"/>
    <w:rsid w:val="00BC788C"/>
    <w:rsid w:val="00BD300F"/>
    <w:rsid w:val="00BF2415"/>
    <w:rsid w:val="00BF48DE"/>
    <w:rsid w:val="00BF5031"/>
    <w:rsid w:val="00C11BFE"/>
    <w:rsid w:val="00C67CB6"/>
    <w:rsid w:val="00C91AB4"/>
    <w:rsid w:val="00C94629"/>
    <w:rsid w:val="00CA7400"/>
    <w:rsid w:val="00CB75D6"/>
    <w:rsid w:val="00CE65D4"/>
    <w:rsid w:val="00D45252"/>
    <w:rsid w:val="00D61F40"/>
    <w:rsid w:val="00D673CF"/>
    <w:rsid w:val="00D71B4D"/>
    <w:rsid w:val="00D93D55"/>
    <w:rsid w:val="00DD59F3"/>
    <w:rsid w:val="00E03E67"/>
    <w:rsid w:val="00E070BF"/>
    <w:rsid w:val="00E161A2"/>
    <w:rsid w:val="00E335FE"/>
    <w:rsid w:val="00E5021F"/>
    <w:rsid w:val="00E671A6"/>
    <w:rsid w:val="00E90B8B"/>
    <w:rsid w:val="00EC4E49"/>
    <w:rsid w:val="00ED77FB"/>
    <w:rsid w:val="00F021A6"/>
    <w:rsid w:val="00F11D94"/>
    <w:rsid w:val="00F66152"/>
    <w:rsid w:val="00F866B9"/>
    <w:rsid w:val="00F9200A"/>
    <w:rsid w:val="00FB3E54"/>
    <w:rsid w:val="00FD70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4401A4"/>
  <w15:docId w15:val="{0B3FF191-E556-413A-919B-FC6392C2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7A0CD3"/>
    <w:pPr>
      <w:keepNext/>
      <w:spacing w:before="24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Legbasic">
    <w:name w:val="Leg basic"/>
    <w:qFormat/>
    <w:rsid w:val="00D673CF"/>
    <w:pPr>
      <w:spacing w:after="180"/>
      <w:ind w:left="567"/>
    </w:pPr>
    <w:rPr>
      <w:rFonts w:ascii="Arial" w:hAnsi="Arial" w:cs="Arial"/>
      <w:snapToGrid w:val="0"/>
      <w:sz w:val="22"/>
      <w:szCs w:val="22"/>
      <w:lang w:val="en-US" w:eastAsia="en-US"/>
    </w:rPr>
  </w:style>
  <w:style w:type="paragraph" w:customStyle="1" w:styleId="LegTitle">
    <w:name w:val="Leg # Title"/>
    <w:basedOn w:val="Legbasic"/>
    <w:next w:val="Normal"/>
    <w:rsid w:val="00564730"/>
    <w:pPr>
      <w:keepNext/>
      <w:keepLines/>
      <w:pageBreakBefore/>
      <w:spacing w:before="240" w:line="360" w:lineRule="auto"/>
      <w:jc w:val="center"/>
    </w:pPr>
    <w:rPr>
      <w:b/>
    </w:rPr>
  </w:style>
  <w:style w:type="paragraph" w:customStyle="1" w:styleId="Lega">
    <w:name w:val="Leg (a)"/>
    <w:basedOn w:val="Legbasic"/>
    <w:link w:val="LegaChar"/>
    <w:rsid w:val="00564730"/>
    <w:pPr>
      <w:tabs>
        <w:tab w:val="left" w:pos="454"/>
      </w:tabs>
      <w:spacing w:line="360" w:lineRule="auto"/>
    </w:pPr>
  </w:style>
  <w:style w:type="paragraph" w:customStyle="1" w:styleId="Legacont">
    <w:name w:val="Leg (a) [cont]"/>
    <w:basedOn w:val="Lega"/>
    <w:next w:val="Lega"/>
    <w:rsid w:val="00D673CF"/>
  </w:style>
  <w:style w:type="paragraph" w:customStyle="1" w:styleId="Legi">
    <w:name w:val="Leg (i)"/>
    <w:basedOn w:val="Legbasic"/>
    <w:rsid w:val="00564730"/>
    <w:pPr>
      <w:tabs>
        <w:tab w:val="right" w:pos="1560"/>
        <w:tab w:val="left" w:pos="1843"/>
      </w:tabs>
      <w:spacing w:line="360" w:lineRule="auto"/>
    </w:pPr>
  </w:style>
  <w:style w:type="character" w:customStyle="1" w:styleId="LegDeletedText">
    <w:name w:val="Leg Deleted Text"/>
    <w:basedOn w:val="DefaultParagraphFont"/>
    <w:uiPriority w:val="1"/>
    <w:qFormat/>
    <w:rsid w:val="00D673CF"/>
    <w:rPr>
      <w:strike/>
      <w:color w:val="FF0000"/>
    </w:rPr>
  </w:style>
  <w:style w:type="paragraph" w:customStyle="1" w:styleId="LegSubRule">
    <w:name w:val="Leg SubRule #"/>
    <w:basedOn w:val="Legbasic"/>
    <w:rsid w:val="00564730"/>
    <w:pPr>
      <w:keepNext/>
      <w:tabs>
        <w:tab w:val="left" w:pos="510"/>
      </w:tabs>
      <w:spacing w:line="360" w:lineRule="auto"/>
      <w:outlineLvl w:val="0"/>
    </w:pPr>
  </w:style>
  <w:style w:type="character" w:customStyle="1" w:styleId="LegInsertedText">
    <w:name w:val="LegInsertedText"/>
    <w:rsid w:val="00D673CF"/>
    <w:rPr>
      <w:color w:val="0000FF"/>
      <w:u w:val="single"/>
    </w:rPr>
  </w:style>
  <w:style w:type="character" w:customStyle="1" w:styleId="LegaChar">
    <w:name w:val="Leg (a) Char"/>
    <w:link w:val="Lega"/>
    <w:rsid w:val="00564730"/>
    <w:rPr>
      <w:rFonts w:ascii="Arial" w:hAnsi="Arial" w:cs="Arial"/>
      <w:snapToGrid w:val="0"/>
      <w:sz w:val="22"/>
      <w:szCs w:val="22"/>
      <w:lang w:val="en-US" w:eastAsia="en-US"/>
    </w:rPr>
  </w:style>
  <w:style w:type="character" w:customStyle="1" w:styleId="InsertedText">
    <w:name w:val="Inserted Text"/>
    <w:basedOn w:val="DefaultParagraphFont"/>
    <w:uiPriority w:val="1"/>
    <w:qFormat/>
    <w:rsid w:val="00D673CF"/>
    <w:rPr>
      <w:color w:val="0000FF"/>
      <w:u w:val="single"/>
    </w:rPr>
  </w:style>
  <w:style w:type="paragraph" w:styleId="TOC1">
    <w:name w:val="toc 1"/>
    <w:basedOn w:val="Normal"/>
    <w:next w:val="Normal"/>
    <w:autoRedefine/>
    <w:uiPriority w:val="39"/>
    <w:unhideWhenUsed/>
    <w:rsid w:val="001F28A8"/>
    <w:pPr>
      <w:spacing w:after="100"/>
    </w:pPr>
  </w:style>
  <w:style w:type="paragraph" w:styleId="TOC2">
    <w:name w:val="toc 2"/>
    <w:basedOn w:val="Normal"/>
    <w:next w:val="Normal"/>
    <w:autoRedefine/>
    <w:uiPriority w:val="39"/>
    <w:unhideWhenUsed/>
    <w:rsid w:val="001F28A8"/>
    <w:pPr>
      <w:spacing w:after="100"/>
      <w:ind w:left="220"/>
    </w:pPr>
  </w:style>
  <w:style w:type="paragraph" w:styleId="Revision">
    <w:name w:val="Revision"/>
    <w:hidden/>
    <w:uiPriority w:val="99"/>
    <w:semiHidden/>
    <w:rsid w:val="00C67CB6"/>
    <w:rPr>
      <w:rFonts w:ascii="Arial" w:eastAsia="SimSun" w:hAnsi="Arial" w:cs="Arial"/>
      <w:sz w:val="22"/>
      <w:lang w:val="en-US" w:eastAsia="zh-CN"/>
    </w:rPr>
  </w:style>
  <w:style w:type="character" w:styleId="FootnoteReference">
    <w:name w:val="footnote reference"/>
    <w:basedOn w:val="DefaultParagraphFont"/>
    <w:semiHidden/>
    <w:unhideWhenUsed/>
    <w:rsid w:val="00DD59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(E)</Template>
  <TotalTime>1</TotalTime>
  <Pages>5</Pages>
  <Words>928</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PCT/WG/18/19</vt:lpstr>
    </vt:vector>
  </TitlesOfParts>
  <Company>WIPO</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PCT/WG/18/19</dc:title>
  <dc:subject>Filing Medium of International Applications - Consequential Amendment</dc:subject>
  <dc:creator>WIPO</dc:creator>
  <cp:keywords>FOR OFFICIAL USE ONLY</cp:keywords>
  <cp:lastModifiedBy>MARLOW Thomas</cp:lastModifiedBy>
  <cp:revision>2</cp:revision>
  <cp:lastPrinted>2011-02-15T11:56:00Z</cp:lastPrinted>
  <dcterms:created xsi:type="dcterms:W3CDTF">2025-02-04T16:09:00Z</dcterms:created>
  <dcterms:modified xsi:type="dcterms:W3CDTF">2025-02-04T16:09:00Z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