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4310" w14:textId="77777777" w:rsidR="002E10AE" w:rsidRPr="002E10AE" w:rsidRDefault="002E10AE" w:rsidP="002E10AE">
      <w:pPr>
        <w:pStyle w:val="LegTitle"/>
        <w:rPr>
          <w:b w:val="0"/>
          <w:bCs/>
        </w:rPr>
      </w:pPr>
      <w:bookmarkStart w:id="0" w:name="_Toc188454087"/>
      <w:r w:rsidRPr="002E10AE">
        <w:rPr>
          <w:b w:val="0"/>
          <w:bCs/>
        </w:rPr>
        <w:t>FILING MEDIUM FOR ENTERING THE NATIONAL PHASE BEFORE DESIGNATED OFFICES</w:t>
      </w:r>
    </w:p>
    <w:p w14:paraId="3EC23BC7" w14:textId="77777777" w:rsidR="002E10AE" w:rsidRDefault="002E10AE" w:rsidP="002E10AE"/>
    <w:p w14:paraId="2C670FF7" w14:textId="77777777" w:rsidR="002E10AE" w:rsidRDefault="002E10AE" w:rsidP="002E10AE"/>
    <w:p w14:paraId="2E828829" w14:textId="0E2E81A6" w:rsidR="002E10AE" w:rsidRDefault="002E10AE" w:rsidP="002E10AE">
      <w:pPr>
        <w:pStyle w:val="ONUME"/>
      </w:pPr>
      <w:r>
        <w:t xml:space="preserve">This non-paper contains revised draft amendments to the PCT Regulations to assist further discussion of certain of the issues raised in relation to document PCT/WG/18/4 Rev.  The revisions are indicated using </w:t>
      </w:r>
      <w:r w:rsidRPr="002E10AE">
        <w:rPr>
          <w:highlight w:val="yellow"/>
        </w:rPr>
        <w:t>highlighting</w:t>
      </w:r>
      <w:r>
        <w:t>.</w:t>
      </w:r>
    </w:p>
    <w:p w14:paraId="41AEA78C" w14:textId="77777777" w:rsidR="002E10AE" w:rsidRDefault="002E10AE" w:rsidP="002E10AE">
      <w:pPr>
        <w:pStyle w:val="ONUME"/>
      </w:pPr>
      <w:r>
        <w:t>The issues of concern in Rule 82 included:</w:t>
      </w:r>
    </w:p>
    <w:p w14:paraId="229E333A" w14:textId="09E32025" w:rsidR="002E10AE" w:rsidRDefault="00105987" w:rsidP="002E10AE">
      <w:pPr>
        <w:pStyle w:val="ONUME"/>
        <w:numPr>
          <w:ilvl w:val="1"/>
          <w:numId w:val="3"/>
        </w:numPr>
      </w:pPr>
      <w:r>
        <w:t>T</w:t>
      </w:r>
      <w:r w:rsidR="002E10AE">
        <w:t xml:space="preserve">he availability of non-electronic systems would not help an applicant where the electronic system was not available at the last minute because it would generally already be too late to use them as a useful </w:t>
      </w:r>
      <w:proofErr w:type="gramStart"/>
      <w:r w:rsidR="002E10AE">
        <w:t>alternative;</w:t>
      </w:r>
      <w:proofErr w:type="gramEnd"/>
    </w:p>
    <w:p w14:paraId="13AE6633" w14:textId="2430A7EA" w:rsidR="002E10AE" w:rsidRDefault="002E10AE" w:rsidP="002E10AE">
      <w:pPr>
        <w:pStyle w:val="ONUME"/>
        <w:numPr>
          <w:ilvl w:val="1"/>
          <w:numId w:val="3"/>
        </w:numPr>
      </w:pPr>
      <w:r>
        <w:t>The amount of time for which a system must be unavailable was not clear</w:t>
      </w:r>
      <w:r w:rsidR="00105987">
        <w:t xml:space="preserve">, nor that it is the final day on which the action can be taken which is </w:t>
      </w:r>
      <w:proofErr w:type="gramStart"/>
      <w:r w:rsidR="00105987">
        <w:t>relevant;</w:t>
      </w:r>
      <w:proofErr w:type="gramEnd"/>
    </w:p>
    <w:p w14:paraId="0414F6EF" w14:textId="6A70947E" w:rsidR="00105987" w:rsidRDefault="00105987" w:rsidP="002E10AE">
      <w:pPr>
        <w:pStyle w:val="ONUME"/>
        <w:numPr>
          <w:ilvl w:val="1"/>
          <w:numId w:val="3"/>
        </w:numPr>
      </w:pPr>
      <w:r>
        <w:t>Safeguards need to cover payment of fees as well as provision of any documents required by Article 22.</w:t>
      </w:r>
    </w:p>
    <w:p w14:paraId="49EF9ADC" w14:textId="3B038E9A" w:rsidR="00105987" w:rsidRDefault="00105987" w:rsidP="002E10AE">
      <w:pPr>
        <w:pStyle w:val="ONUME"/>
        <w:numPr>
          <w:ilvl w:val="1"/>
          <w:numId w:val="3"/>
        </w:numPr>
      </w:pPr>
      <w:r>
        <w:t>The circumstances in which proof might be required, including uncertainty over where a problem might lie (the applicant might not know whether a problem lay with the Office’s systems or some other point).</w:t>
      </w:r>
    </w:p>
    <w:p w14:paraId="379F725D" w14:textId="77777777" w:rsidR="002E10AE" w:rsidRDefault="002E10AE" w:rsidP="002E10AE">
      <w:pPr>
        <w:pStyle w:val="ONUME"/>
        <w:numPr>
          <w:ilvl w:val="0"/>
          <w:numId w:val="0"/>
        </w:numPr>
      </w:pPr>
    </w:p>
    <w:p w14:paraId="75F0144F" w14:textId="60AE61F0" w:rsidR="002E10AE" w:rsidRDefault="002E10AE" w:rsidP="002E10AE">
      <w:pPr>
        <w:pStyle w:val="ONUME"/>
        <w:numPr>
          <w:ilvl w:val="0"/>
          <w:numId w:val="0"/>
        </w:numPr>
      </w:pPr>
      <w:r>
        <w:t xml:space="preserve"> </w:t>
      </w:r>
    </w:p>
    <w:p w14:paraId="35975B9A" w14:textId="77777777" w:rsidR="002E10AE" w:rsidRPr="002E10AE" w:rsidRDefault="002E10AE" w:rsidP="002E10AE"/>
    <w:p w14:paraId="4842C7C4" w14:textId="2DD1A3B3" w:rsidR="00B311F7" w:rsidRPr="002E10AE" w:rsidRDefault="002E10AE" w:rsidP="00105987">
      <w:pPr>
        <w:pStyle w:val="LegTitle"/>
        <w:pageBreakBefore/>
        <w:rPr>
          <w:b w:val="0"/>
          <w:bCs/>
        </w:rPr>
      </w:pPr>
      <w:r w:rsidRPr="002E10AE">
        <w:rPr>
          <w:b w:val="0"/>
          <w:bCs/>
        </w:rPr>
        <w:lastRenderedPageBreak/>
        <w:t>REVISED DRAFT AMENDMENTS</w:t>
      </w:r>
      <w:r w:rsidRPr="002E10AE">
        <w:rPr>
          <w:b w:val="0"/>
          <w:bCs/>
        </w:rPr>
        <w:br/>
        <w:t>TO THE PCT REGULATIONS</w:t>
      </w:r>
    </w:p>
    <w:p w14:paraId="40DB242B" w14:textId="77777777" w:rsidR="00B311F7" w:rsidRDefault="00B311F7" w:rsidP="00B311F7">
      <w:pPr>
        <w:pStyle w:val="LegTitle"/>
      </w:pPr>
    </w:p>
    <w:p w14:paraId="4F048581" w14:textId="44F68863" w:rsidR="00B311F7" w:rsidRDefault="00B311F7" w:rsidP="00B311F7">
      <w:pPr>
        <w:pStyle w:val="LegTitle"/>
      </w:pPr>
      <w:r>
        <w:t xml:space="preserve">Rule 49 </w:t>
      </w:r>
      <w:r w:rsidRPr="00785762">
        <w:rPr>
          <w:vanish/>
          <w:lang w:val="en-GB"/>
        </w:rPr>
        <w:t>-</w:t>
      </w:r>
      <w:r>
        <w:rPr>
          <w:vanish/>
          <w:lang w:val="en-GB"/>
        </w:rPr>
        <w:t xml:space="preserve"> </w:t>
      </w:r>
      <w:r>
        <w:br/>
        <w:t>Copy, Translation and Fee under Article 22</w:t>
      </w:r>
      <w:bookmarkEnd w:id="0"/>
      <w:r>
        <w:t xml:space="preserve"> </w:t>
      </w:r>
    </w:p>
    <w:p w14:paraId="7B828B63" w14:textId="77777777" w:rsidR="00B311F7" w:rsidRPr="002E10AE" w:rsidRDefault="00B311F7" w:rsidP="00B311F7">
      <w:pPr>
        <w:pStyle w:val="LegSubRule"/>
        <w:outlineLvl w:val="0"/>
        <w:rPr>
          <w:rFonts w:cs="Arial"/>
          <w:i/>
          <w:iCs/>
        </w:rPr>
      </w:pPr>
      <w:bookmarkStart w:id="1" w:name="_Toc188454088"/>
      <w:bookmarkStart w:id="2" w:name="_Toc183609107"/>
      <w:r w:rsidRPr="002E10AE">
        <w:rPr>
          <w:rFonts w:cs="Arial"/>
        </w:rPr>
        <w:t xml:space="preserve">49.1 to 49.3 </w:t>
      </w:r>
      <w:r w:rsidRPr="002E10AE">
        <w:rPr>
          <w:rFonts w:cs="Arial"/>
          <w:i/>
          <w:iCs/>
        </w:rPr>
        <w:t xml:space="preserve"> [No change]</w:t>
      </w:r>
      <w:bookmarkEnd w:id="1"/>
    </w:p>
    <w:p w14:paraId="5A2A59E3" w14:textId="77777777" w:rsidR="00B311F7" w:rsidRPr="002E10AE" w:rsidRDefault="00B311F7" w:rsidP="00B311F7">
      <w:pPr>
        <w:pStyle w:val="LegSubRule"/>
        <w:outlineLvl w:val="0"/>
        <w:rPr>
          <w:rFonts w:cs="Arial"/>
          <w:i/>
        </w:rPr>
      </w:pPr>
      <w:bookmarkStart w:id="3" w:name="_Toc188454089"/>
      <w:r w:rsidRPr="002E10AE">
        <w:rPr>
          <w:rFonts w:cs="Arial"/>
        </w:rPr>
        <w:t>49.4   </w:t>
      </w:r>
      <w:r w:rsidRPr="002E10AE">
        <w:rPr>
          <w:rFonts w:cs="Arial"/>
          <w:i/>
          <w:iCs/>
          <w:color w:val="0000FF"/>
          <w:u w:val="single"/>
        </w:rPr>
        <w:t>Means of Transmittal to Perform the Acts Referred to in Article 22</w:t>
      </w:r>
      <w:r w:rsidRPr="002E10AE">
        <w:rPr>
          <w:rFonts w:cs="Arial"/>
          <w:color w:val="0000FF"/>
        </w:rPr>
        <w:t xml:space="preserve"> </w:t>
      </w:r>
      <w:r w:rsidRPr="002E10AE">
        <w:rPr>
          <w:rFonts w:cs="Arial"/>
          <w:i/>
          <w:strike/>
          <w:color w:val="C00000"/>
        </w:rPr>
        <w:t>Use of National Form</w:t>
      </w:r>
      <w:bookmarkEnd w:id="2"/>
      <w:bookmarkEnd w:id="3"/>
    </w:p>
    <w:p w14:paraId="25C73C4C" w14:textId="77777777" w:rsidR="00B311F7" w:rsidRPr="002E10AE" w:rsidRDefault="00B311F7" w:rsidP="00B311F7">
      <w:pPr>
        <w:pStyle w:val="Lega"/>
        <w:rPr>
          <w:rFonts w:cs="Arial"/>
        </w:rPr>
      </w:pPr>
      <w:r w:rsidRPr="002E10AE">
        <w:rPr>
          <w:rFonts w:cs="Arial"/>
          <w:color w:val="0000FF"/>
        </w:rPr>
        <w:tab/>
      </w:r>
      <w:r w:rsidRPr="002E10AE">
        <w:rPr>
          <w:rFonts w:cs="Arial"/>
          <w:color w:val="0000FF"/>
          <w:u w:val="single"/>
        </w:rPr>
        <w:t>(a) Subject to paragraph (b),</w:t>
      </w:r>
      <w:r w:rsidRPr="002E10AE">
        <w:rPr>
          <w:rFonts w:cs="Arial"/>
          <w:color w:val="0000FF"/>
        </w:rPr>
        <w:t xml:space="preserve"> </w:t>
      </w:r>
      <w:r w:rsidRPr="002E10AE">
        <w:rPr>
          <w:rFonts w:cs="Arial"/>
          <w:strike/>
          <w:color w:val="C00000"/>
        </w:rPr>
        <w:t>N</w:t>
      </w:r>
      <w:r w:rsidRPr="002E10AE">
        <w:rPr>
          <w:rFonts w:cs="Arial"/>
          <w:color w:val="0000FF"/>
          <w:u w:val="single"/>
        </w:rPr>
        <w:t>n</w:t>
      </w:r>
      <w:r w:rsidRPr="002E10AE">
        <w:rPr>
          <w:rFonts w:cs="Arial"/>
        </w:rPr>
        <w:t>o applicant shall be required to use a national form when performing the acts referred to in Article 22.</w:t>
      </w:r>
    </w:p>
    <w:p w14:paraId="6760F97D" w14:textId="43FE88EF" w:rsidR="00B311F7" w:rsidRPr="002E10AE" w:rsidRDefault="00B311F7" w:rsidP="00B311F7">
      <w:pPr>
        <w:pStyle w:val="Lega"/>
        <w:rPr>
          <w:rFonts w:cs="Arial"/>
          <w:color w:val="0000FF"/>
          <w:u w:val="single"/>
        </w:rPr>
      </w:pPr>
      <w:r w:rsidRPr="002E10AE">
        <w:rPr>
          <w:rFonts w:cs="Arial"/>
          <w:color w:val="0000FF"/>
        </w:rPr>
        <w:tab/>
      </w:r>
      <w:r w:rsidRPr="002E10AE">
        <w:rPr>
          <w:rFonts w:cs="Arial"/>
          <w:color w:val="0000FF"/>
          <w:u w:val="single"/>
        </w:rPr>
        <w:t xml:space="preserve">(b) Any designated Office may prescribe requirements for the means of transmittal to perform the acts referred to in Article 22, provided that at least one of the means is </w:t>
      </w:r>
      <w:r w:rsidRPr="002E10AE">
        <w:rPr>
          <w:rFonts w:cs="Arial"/>
          <w:color w:val="0000FF"/>
          <w:highlight w:val="yellow"/>
          <w:u w:val="single"/>
        </w:rPr>
        <w:t>[</w:t>
      </w:r>
      <w:r w:rsidRPr="002E10AE">
        <w:rPr>
          <w:rFonts w:cs="Arial"/>
          <w:strike/>
          <w:color w:val="0000FF"/>
          <w:highlight w:val="yellow"/>
          <w:u w:val="single"/>
        </w:rPr>
        <w:t>easily</w:t>
      </w:r>
      <w:r w:rsidRPr="002E10AE">
        <w:rPr>
          <w:rFonts w:cs="Arial"/>
          <w:color w:val="0000FF"/>
          <w:highlight w:val="yellow"/>
          <w:u w:val="single"/>
        </w:rPr>
        <w:t>]</w:t>
      </w:r>
      <w:r w:rsidRPr="002E10AE">
        <w:rPr>
          <w:rFonts w:cs="Arial"/>
          <w:color w:val="0000FF"/>
          <w:u w:val="single"/>
        </w:rPr>
        <w:t xml:space="preserve"> usable by the applicant without the need to:</w:t>
      </w:r>
    </w:p>
    <w:p w14:paraId="0E500E00" w14:textId="77777777" w:rsidR="00B311F7" w:rsidRPr="002E10AE" w:rsidRDefault="00B311F7" w:rsidP="00B311F7">
      <w:pPr>
        <w:pStyle w:val="Lega"/>
        <w:rPr>
          <w:rFonts w:cs="Arial"/>
          <w:color w:val="0000FF"/>
          <w:u w:val="single"/>
        </w:rPr>
      </w:pPr>
      <w:r w:rsidRPr="002E10AE">
        <w:rPr>
          <w:rFonts w:cs="Arial"/>
          <w:color w:val="0000FF"/>
        </w:rPr>
        <w:t xml:space="preserve"> </w:t>
      </w:r>
      <w:r w:rsidRPr="002E10AE">
        <w:rPr>
          <w:rFonts w:cs="Arial"/>
          <w:color w:val="0000FF"/>
        </w:rPr>
        <w:tab/>
        <w:t xml:space="preserve">  </w:t>
      </w:r>
      <w:r w:rsidRPr="002E10AE">
        <w:rPr>
          <w:rFonts w:cs="Arial"/>
          <w:color w:val="0000FF"/>
          <w:u w:val="single"/>
        </w:rPr>
        <w:t xml:space="preserve">(i) have a residence or address in the State of the designated Office; </w:t>
      </w:r>
    </w:p>
    <w:p w14:paraId="3035C475" w14:textId="77777777" w:rsidR="00B311F7" w:rsidRPr="002E10AE" w:rsidRDefault="00B311F7" w:rsidP="00B311F7">
      <w:pPr>
        <w:pStyle w:val="Lega"/>
        <w:rPr>
          <w:rFonts w:cs="Arial"/>
          <w:color w:val="0000FF"/>
          <w:u w:val="single"/>
        </w:rPr>
      </w:pPr>
      <w:r w:rsidRPr="002E10AE">
        <w:rPr>
          <w:rFonts w:cs="Arial"/>
          <w:color w:val="0000FF"/>
        </w:rPr>
        <w:tab/>
      </w:r>
      <w:r w:rsidRPr="002E10AE">
        <w:rPr>
          <w:rFonts w:cs="Arial"/>
          <w:color w:val="0000FF"/>
        </w:rPr>
        <w:tab/>
      </w:r>
      <w:r w:rsidRPr="002E10AE">
        <w:rPr>
          <w:rFonts w:cs="Arial"/>
          <w:color w:val="0000FF"/>
          <w:u w:val="single"/>
        </w:rPr>
        <w:t xml:space="preserve">(ii) appoint an agent having the right to practice before that Office; or </w:t>
      </w:r>
    </w:p>
    <w:p w14:paraId="19BE87A9" w14:textId="5BC23E6B" w:rsidR="00B311F7" w:rsidRPr="002E10AE" w:rsidRDefault="00B311F7" w:rsidP="00B311F7">
      <w:pPr>
        <w:pStyle w:val="Lega"/>
        <w:rPr>
          <w:rFonts w:cs="Arial"/>
          <w:color w:val="0000FF"/>
          <w:u w:val="single"/>
        </w:rPr>
      </w:pPr>
      <w:r w:rsidRPr="002E10AE">
        <w:rPr>
          <w:rFonts w:cs="Arial"/>
          <w:color w:val="0000FF"/>
        </w:rPr>
        <w:tab/>
        <w:t xml:space="preserve"> </w:t>
      </w:r>
      <w:r w:rsidRPr="002E10AE">
        <w:rPr>
          <w:rFonts w:cs="Arial"/>
          <w:color w:val="0000FF"/>
          <w:u w:val="single"/>
        </w:rPr>
        <w:t xml:space="preserve">(iii) provide any data beyond the minimum required to identify the international application and communicate with the applicant </w:t>
      </w:r>
      <w:r w:rsidRPr="002E10AE">
        <w:rPr>
          <w:rFonts w:cs="Arial"/>
          <w:color w:val="0000FF"/>
          <w:highlight w:val="yellow"/>
          <w:u w:val="single"/>
        </w:rPr>
        <w:t>[or, where applicable, with the agent]</w:t>
      </w:r>
      <w:r w:rsidRPr="002E10AE">
        <w:rPr>
          <w:rFonts w:cs="Arial"/>
          <w:color w:val="0000FF"/>
          <w:u w:val="single"/>
        </w:rPr>
        <w:t xml:space="preserve">.    </w:t>
      </w:r>
    </w:p>
    <w:p w14:paraId="3D6718FD" w14:textId="77777777" w:rsidR="00B311F7" w:rsidRPr="002E10AE" w:rsidRDefault="00B311F7" w:rsidP="00B311F7">
      <w:pPr>
        <w:pStyle w:val="Lega"/>
        <w:rPr>
          <w:rFonts w:cs="Arial"/>
          <w:color w:val="0000FF"/>
          <w:u w:val="single"/>
        </w:rPr>
      </w:pPr>
      <w:r w:rsidRPr="002E10AE">
        <w:rPr>
          <w:rFonts w:cs="Arial"/>
          <w:color w:val="0000FF"/>
        </w:rPr>
        <w:tab/>
        <w:t>(</w:t>
      </w:r>
      <w:r w:rsidRPr="002E10AE">
        <w:rPr>
          <w:rFonts w:cs="Arial"/>
          <w:color w:val="0000FF"/>
          <w:u w:val="single"/>
        </w:rPr>
        <w:t>c) Each designated Office shall notify the International Bureau of any prescribed requirements referred to in paragraph (b).  The International Bureau shall publish any notification in the Gazette.  Any requirements shall take effect no earlier than two months from their date of publication in the Gazette.</w:t>
      </w:r>
    </w:p>
    <w:p w14:paraId="37367D66" w14:textId="77777777" w:rsidR="00B311F7" w:rsidRPr="002E10AE" w:rsidRDefault="00B311F7" w:rsidP="00105987">
      <w:pPr>
        <w:pStyle w:val="LegSubRule"/>
        <w:keepNext w:val="0"/>
        <w:keepLines w:val="0"/>
        <w:outlineLvl w:val="0"/>
        <w:rPr>
          <w:rFonts w:cs="Arial"/>
          <w:i/>
          <w:iCs/>
        </w:rPr>
      </w:pPr>
      <w:bookmarkStart w:id="4" w:name="_Toc188454090"/>
      <w:r w:rsidRPr="002E10AE">
        <w:rPr>
          <w:rFonts w:cs="Arial"/>
        </w:rPr>
        <w:t xml:space="preserve">49.5 and 49.6 </w:t>
      </w:r>
      <w:r w:rsidRPr="002E10AE">
        <w:rPr>
          <w:rFonts w:cs="Arial"/>
          <w:i/>
          <w:iCs/>
        </w:rPr>
        <w:t xml:space="preserve"> [No change]</w:t>
      </w:r>
      <w:bookmarkEnd w:id="4"/>
    </w:p>
    <w:p w14:paraId="3C0930C5" w14:textId="77777777" w:rsidR="002E10AE" w:rsidRPr="006F39AF" w:rsidRDefault="002E10AE" w:rsidP="00B311F7">
      <w:pPr>
        <w:pStyle w:val="LegSubRule"/>
        <w:outlineLvl w:val="0"/>
        <w:rPr>
          <w:i/>
          <w:iCs/>
        </w:rPr>
      </w:pPr>
    </w:p>
    <w:p w14:paraId="77459037" w14:textId="538A5501" w:rsidR="00B311F7" w:rsidRPr="002E10AE" w:rsidRDefault="00B311F7" w:rsidP="002E10AE">
      <w:pPr>
        <w:pStyle w:val="LegTitle"/>
        <w:rPr>
          <w:rFonts w:cs="Arial"/>
          <w:color w:val="0000FF"/>
          <w:szCs w:val="22"/>
          <w:u w:val="single"/>
        </w:rPr>
      </w:pPr>
      <w:bookmarkStart w:id="5" w:name="_Toc188454091"/>
      <w:r w:rsidRPr="002E10AE">
        <w:rPr>
          <w:rFonts w:cs="Arial"/>
          <w:szCs w:val="22"/>
        </w:rPr>
        <w:t xml:space="preserve">Rule 82 </w:t>
      </w:r>
      <w:r w:rsidRPr="002E10AE">
        <w:rPr>
          <w:rFonts w:cs="Arial"/>
          <w:vanish/>
          <w:szCs w:val="22"/>
          <w:lang w:val="en-GB"/>
        </w:rPr>
        <w:t>-</w:t>
      </w:r>
      <w:r w:rsidRPr="002E10AE">
        <w:rPr>
          <w:rFonts w:cs="Arial"/>
          <w:szCs w:val="22"/>
          <w:lang w:val="en-GB"/>
        </w:rPr>
        <w:t xml:space="preserve"> </w:t>
      </w:r>
      <w:r w:rsidRPr="002E10AE">
        <w:rPr>
          <w:rFonts w:cs="Arial"/>
          <w:szCs w:val="22"/>
        </w:rPr>
        <w:br/>
      </w:r>
      <w:bookmarkStart w:id="6" w:name="_Hlk182558908"/>
      <w:r w:rsidRPr="002E10AE">
        <w:rPr>
          <w:rFonts w:cs="Arial"/>
          <w:szCs w:val="22"/>
        </w:rPr>
        <w:t xml:space="preserve">Irregularities in the Mail Service </w:t>
      </w:r>
      <w:r w:rsidRPr="002E10AE">
        <w:rPr>
          <w:rFonts w:cs="Arial"/>
          <w:color w:val="0000FF"/>
          <w:szCs w:val="22"/>
          <w:u w:val="single"/>
        </w:rPr>
        <w:t>or Electronic Means</w:t>
      </w:r>
      <w:bookmarkEnd w:id="6"/>
      <w:r w:rsidRPr="002E10AE">
        <w:rPr>
          <w:rFonts w:cs="Arial"/>
          <w:color w:val="0000FF"/>
          <w:szCs w:val="22"/>
          <w:u w:val="single"/>
        </w:rPr>
        <w:t xml:space="preserve"> of Transmittal</w:t>
      </w:r>
      <w:bookmarkEnd w:id="5"/>
    </w:p>
    <w:p w14:paraId="42BA8AD0" w14:textId="77777777" w:rsidR="00B311F7" w:rsidRPr="002E10AE" w:rsidRDefault="00B311F7" w:rsidP="00B311F7">
      <w:pPr>
        <w:pStyle w:val="LegSubRule"/>
        <w:rPr>
          <w:rFonts w:cs="Arial"/>
          <w:szCs w:val="22"/>
        </w:rPr>
      </w:pPr>
      <w:bookmarkStart w:id="7" w:name="_Toc188454092"/>
      <w:r w:rsidRPr="002E10AE">
        <w:rPr>
          <w:rFonts w:cs="Arial"/>
          <w:szCs w:val="22"/>
        </w:rPr>
        <w:t>82.1   </w:t>
      </w:r>
      <w:r w:rsidRPr="002E10AE">
        <w:rPr>
          <w:rFonts w:cs="Arial"/>
          <w:i/>
          <w:iCs/>
          <w:szCs w:val="22"/>
        </w:rPr>
        <w:t>[No change]</w:t>
      </w:r>
      <w:bookmarkEnd w:id="7"/>
    </w:p>
    <w:p w14:paraId="096C18B8" w14:textId="77777777" w:rsidR="00B311F7" w:rsidRPr="002E10AE" w:rsidRDefault="00B311F7" w:rsidP="00B311F7">
      <w:pPr>
        <w:pStyle w:val="LegSubRule"/>
        <w:rPr>
          <w:rFonts w:cs="Arial"/>
          <w:szCs w:val="22"/>
        </w:rPr>
      </w:pPr>
      <w:bookmarkStart w:id="8" w:name="_Toc188454093"/>
      <w:bookmarkStart w:id="9" w:name="_Hlk188002407"/>
      <w:r w:rsidRPr="002E10AE">
        <w:rPr>
          <w:rFonts w:cs="Arial"/>
          <w:color w:val="0000FF"/>
          <w:szCs w:val="22"/>
          <w:u w:val="single"/>
        </w:rPr>
        <w:t>82.2</w:t>
      </w:r>
      <w:r w:rsidRPr="002E10AE">
        <w:rPr>
          <w:rFonts w:cs="Arial"/>
          <w:color w:val="0000FF"/>
          <w:szCs w:val="22"/>
        </w:rPr>
        <w:t>   </w:t>
      </w:r>
      <w:r w:rsidRPr="002E10AE">
        <w:rPr>
          <w:rFonts w:cs="Arial"/>
          <w:i/>
          <w:iCs/>
          <w:color w:val="0000FF"/>
          <w:szCs w:val="22"/>
          <w:u w:val="single"/>
        </w:rPr>
        <w:t>Unavailability of Electronic Means of Transmittal</w:t>
      </w:r>
      <w:bookmarkEnd w:id="8"/>
    </w:p>
    <w:p w14:paraId="12FD0571" w14:textId="4E1227B8" w:rsidR="00B311F7" w:rsidRPr="002E10AE" w:rsidRDefault="00B311F7" w:rsidP="00B311F7">
      <w:pPr>
        <w:pStyle w:val="Lega"/>
        <w:rPr>
          <w:rFonts w:cs="Arial"/>
          <w:szCs w:val="22"/>
        </w:rPr>
      </w:pPr>
      <w:r w:rsidRPr="002E10AE">
        <w:rPr>
          <w:rFonts w:cs="Arial"/>
          <w:color w:val="0000FF"/>
          <w:szCs w:val="22"/>
        </w:rPr>
        <w:tab/>
      </w:r>
      <w:r w:rsidRPr="002E10AE">
        <w:rPr>
          <w:rFonts w:cs="Arial"/>
          <w:color w:val="0000FF"/>
          <w:szCs w:val="22"/>
          <w:u w:val="single"/>
        </w:rPr>
        <w:t>(a)  Any interested party may offer evidence that he has tried to furnish a document</w:t>
      </w:r>
      <w:r w:rsidR="00F60960" w:rsidRPr="002E10AE">
        <w:rPr>
          <w:rFonts w:cs="Arial"/>
          <w:color w:val="0000FF"/>
          <w:szCs w:val="22"/>
          <w:u w:val="single"/>
        </w:rPr>
        <w:t xml:space="preserve"> </w:t>
      </w:r>
      <w:r w:rsidR="00F60960" w:rsidRPr="002E10AE">
        <w:rPr>
          <w:rFonts w:cs="Arial"/>
          <w:color w:val="0000FF"/>
          <w:szCs w:val="22"/>
          <w:highlight w:val="yellow"/>
          <w:u w:val="single"/>
        </w:rPr>
        <w:t>[and/or pay a fee</w:t>
      </w:r>
      <w:r w:rsidR="00F750DC" w:rsidRPr="002E10AE">
        <w:rPr>
          <w:rFonts w:cs="Arial"/>
          <w:color w:val="0000FF"/>
          <w:szCs w:val="22"/>
          <w:highlight w:val="yellow"/>
          <w:u w:val="single"/>
        </w:rPr>
        <w:t>]</w:t>
      </w:r>
      <w:r w:rsidRPr="002E10AE">
        <w:rPr>
          <w:rFonts w:cs="Arial"/>
          <w:color w:val="0000FF"/>
          <w:szCs w:val="22"/>
          <w:u w:val="single"/>
        </w:rPr>
        <w:t xml:space="preserve"> in order to meet the time limit of Article 22 or 39(1) by an electronic means of transmittal prescribed under Rule 49.4(b) but that the transmittal was unsuccessful due to the unavailability of that means for </w:t>
      </w:r>
      <w:r w:rsidR="00F60960" w:rsidRPr="002E10AE">
        <w:rPr>
          <w:rFonts w:cs="Arial"/>
          <w:color w:val="0000FF"/>
          <w:szCs w:val="22"/>
          <w:highlight w:val="yellow"/>
          <w:u w:val="single"/>
        </w:rPr>
        <w:t>[</w:t>
      </w:r>
      <w:r w:rsidRPr="002E10AE">
        <w:rPr>
          <w:rFonts w:cs="Arial"/>
          <w:color w:val="0000FF"/>
          <w:szCs w:val="22"/>
          <w:highlight w:val="yellow"/>
          <w:u w:val="single"/>
        </w:rPr>
        <w:t>a significant period of time</w:t>
      </w:r>
      <w:r w:rsidR="00F60960" w:rsidRPr="002E10AE">
        <w:rPr>
          <w:rFonts w:cs="Arial"/>
          <w:color w:val="0000FF"/>
          <w:szCs w:val="22"/>
          <w:highlight w:val="yellow"/>
          <w:u w:val="single"/>
        </w:rPr>
        <w:t>][at least one hour]</w:t>
      </w:r>
      <w:r w:rsidRPr="002E10AE">
        <w:rPr>
          <w:rFonts w:cs="Arial"/>
          <w:color w:val="0000FF"/>
          <w:szCs w:val="22"/>
          <w:u w:val="single"/>
        </w:rPr>
        <w:t xml:space="preserve"> </w:t>
      </w:r>
      <w:r w:rsidRPr="002E10AE">
        <w:rPr>
          <w:rFonts w:cs="Arial"/>
          <w:color w:val="0000FF"/>
          <w:szCs w:val="22"/>
          <w:highlight w:val="yellow"/>
          <w:u w:val="single"/>
        </w:rPr>
        <w:t xml:space="preserve">on the </w:t>
      </w:r>
      <w:r w:rsidRPr="002E10AE">
        <w:rPr>
          <w:rFonts w:cs="Arial"/>
          <w:strike/>
          <w:color w:val="0000FF"/>
          <w:szCs w:val="22"/>
          <w:highlight w:val="yellow"/>
          <w:u w:val="single"/>
        </w:rPr>
        <w:t>last</w:t>
      </w:r>
      <w:r w:rsidRPr="002E10AE">
        <w:rPr>
          <w:rFonts w:cs="Arial"/>
          <w:color w:val="0000FF"/>
          <w:szCs w:val="22"/>
          <w:highlight w:val="yellow"/>
          <w:u w:val="single"/>
        </w:rPr>
        <w:t xml:space="preserve"> day </w:t>
      </w:r>
      <w:r w:rsidRPr="002E10AE">
        <w:rPr>
          <w:rFonts w:cs="Arial"/>
          <w:strike/>
          <w:color w:val="0000FF"/>
          <w:szCs w:val="22"/>
          <w:highlight w:val="yellow"/>
          <w:u w:val="single"/>
        </w:rPr>
        <w:t>prior to the</w:t>
      </w:r>
      <w:r w:rsidR="00F60960" w:rsidRPr="002E10AE">
        <w:rPr>
          <w:rFonts w:cs="Arial"/>
          <w:strike/>
          <w:color w:val="0000FF"/>
          <w:szCs w:val="22"/>
          <w:highlight w:val="yellow"/>
          <w:u w:val="single"/>
        </w:rPr>
        <w:t xml:space="preserve"> </w:t>
      </w:r>
      <w:r w:rsidR="00F60960" w:rsidRPr="002E10AE">
        <w:rPr>
          <w:rFonts w:cs="Arial"/>
          <w:color w:val="0000FF"/>
          <w:szCs w:val="22"/>
          <w:highlight w:val="yellow"/>
          <w:u w:val="single"/>
        </w:rPr>
        <w:t>of</w:t>
      </w:r>
      <w:r w:rsidRPr="002E10AE">
        <w:rPr>
          <w:rFonts w:cs="Arial"/>
          <w:color w:val="0000FF"/>
          <w:szCs w:val="22"/>
          <w:highlight w:val="yellow"/>
          <w:u w:val="single"/>
        </w:rPr>
        <w:t xml:space="preserve"> </w:t>
      </w:r>
      <w:r w:rsidR="00F60960" w:rsidRPr="002E10AE">
        <w:rPr>
          <w:rFonts w:cs="Arial"/>
          <w:color w:val="0000FF"/>
          <w:szCs w:val="22"/>
          <w:highlight w:val="yellow"/>
          <w:u w:val="single"/>
        </w:rPr>
        <w:t xml:space="preserve">the </w:t>
      </w:r>
      <w:r w:rsidRPr="002E10AE">
        <w:rPr>
          <w:rFonts w:cs="Arial"/>
          <w:color w:val="0000FF"/>
          <w:szCs w:val="22"/>
          <w:highlight w:val="yellow"/>
          <w:u w:val="single"/>
        </w:rPr>
        <w:t>expiration</w:t>
      </w:r>
      <w:r w:rsidRPr="002E10AE">
        <w:rPr>
          <w:rFonts w:cs="Arial"/>
          <w:color w:val="0000FF"/>
          <w:szCs w:val="22"/>
          <w:u w:val="single"/>
        </w:rPr>
        <w:t xml:space="preserve"> of the time limit under Article 22 or 39(1) and no other </w:t>
      </w:r>
      <w:r w:rsidR="00F60960" w:rsidRPr="002E10AE">
        <w:rPr>
          <w:rFonts w:cs="Arial"/>
          <w:color w:val="0000FF"/>
          <w:szCs w:val="22"/>
          <w:highlight w:val="yellow"/>
          <w:u w:val="single"/>
        </w:rPr>
        <w:t>[electronic]</w:t>
      </w:r>
      <w:r w:rsidR="00F60960" w:rsidRPr="002E10AE">
        <w:rPr>
          <w:rFonts w:cs="Arial"/>
          <w:color w:val="0000FF"/>
          <w:szCs w:val="22"/>
          <w:u w:val="single"/>
        </w:rPr>
        <w:t xml:space="preserve"> </w:t>
      </w:r>
      <w:r w:rsidRPr="002E10AE">
        <w:rPr>
          <w:rFonts w:cs="Arial"/>
          <w:color w:val="0000FF"/>
          <w:szCs w:val="22"/>
          <w:u w:val="single"/>
        </w:rPr>
        <w:t xml:space="preserve">means prescribed by the designated Office was available </w:t>
      </w:r>
      <w:r w:rsidRPr="002E10AE">
        <w:rPr>
          <w:rFonts w:cs="Arial"/>
          <w:strike/>
          <w:color w:val="0000FF"/>
          <w:szCs w:val="22"/>
          <w:highlight w:val="yellow"/>
          <w:u w:val="single"/>
        </w:rPr>
        <w:t>during the relevant period of</w:t>
      </w:r>
      <w:r w:rsidRPr="002E10AE">
        <w:rPr>
          <w:rFonts w:cs="Arial"/>
          <w:color w:val="0000FF"/>
          <w:szCs w:val="22"/>
          <w:highlight w:val="yellow"/>
          <w:u w:val="single"/>
        </w:rPr>
        <w:t xml:space="preserve"> </w:t>
      </w:r>
      <w:r w:rsidR="00F60960" w:rsidRPr="002E10AE">
        <w:rPr>
          <w:rFonts w:cs="Arial"/>
          <w:color w:val="0000FF"/>
          <w:szCs w:val="22"/>
          <w:highlight w:val="yellow"/>
          <w:u w:val="single"/>
        </w:rPr>
        <w:t xml:space="preserve">at that </w:t>
      </w:r>
      <w:r w:rsidRPr="002E10AE">
        <w:rPr>
          <w:rFonts w:cs="Arial"/>
          <w:color w:val="0000FF"/>
          <w:szCs w:val="22"/>
          <w:highlight w:val="yellow"/>
          <w:u w:val="single"/>
        </w:rPr>
        <w:t>time</w:t>
      </w:r>
      <w:r w:rsidR="00F60960" w:rsidRPr="002E10AE">
        <w:rPr>
          <w:rFonts w:cs="Arial"/>
          <w:color w:val="0000FF"/>
          <w:szCs w:val="22"/>
          <w:highlight w:val="yellow"/>
          <w:u w:val="single"/>
        </w:rPr>
        <w:t xml:space="preserve"> period</w:t>
      </w:r>
      <w:r w:rsidRPr="002E10AE">
        <w:rPr>
          <w:rFonts w:cs="Arial"/>
          <w:szCs w:val="22"/>
        </w:rPr>
        <w:t>.</w:t>
      </w:r>
    </w:p>
    <w:bookmarkEnd w:id="9"/>
    <w:p w14:paraId="0FC6752E" w14:textId="78CC9842" w:rsidR="00B311F7" w:rsidRPr="002E10AE" w:rsidRDefault="00B311F7" w:rsidP="00B311F7">
      <w:pPr>
        <w:pStyle w:val="Lega"/>
        <w:rPr>
          <w:rFonts w:cs="Arial"/>
          <w:szCs w:val="22"/>
          <w:u w:val="single"/>
        </w:rPr>
      </w:pPr>
      <w:r w:rsidRPr="002E10AE">
        <w:rPr>
          <w:rFonts w:cs="Arial"/>
          <w:szCs w:val="22"/>
        </w:rPr>
        <w:tab/>
      </w:r>
      <w:r w:rsidRPr="002E10AE">
        <w:rPr>
          <w:rFonts w:cs="Arial"/>
          <w:color w:val="0000FF"/>
          <w:szCs w:val="22"/>
          <w:u w:val="single"/>
        </w:rPr>
        <w:t xml:space="preserve">(b)  If the attempted furnishing of a document </w:t>
      </w:r>
      <w:r w:rsidR="00F750DC" w:rsidRPr="002E10AE">
        <w:rPr>
          <w:rFonts w:cs="Arial"/>
          <w:color w:val="0000FF"/>
          <w:szCs w:val="22"/>
          <w:highlight w:val="yellow"/>
          <w:u w:val="single"/>
        </w:rPr>
        <w:t>[and/or the payment of a fee]</w:t>
      </w:r>
      <w:r w:rsidR="00F750DC" w:rsidRPr="002E10AE">
        <w:rPr>
          <w:rFonts w:cs="Arial"/>
          <w:color w:val="0000FF"/>
          <w:szCs w:val="22"/>
          <w:u w:val="single"/>
        </w:rPr>
        <w:t xml:space="preserve"> </w:t>
      </w:r>
      <w:r w:rsidRPr="002E10AE">
        <w:rPr>
          <w:rFonts w:cs="Arial"/>
          <w:color w:val="0000FF"/>
          <w:szCs w:val="22"/>
          <w:u w:val="single"/>
        </w:rPr>
        <w:t xml:space="preserve">in accordance with paragraph (a) is proven to the satisfaction of the national Office or intergovernmental organization, the time limit under Article 22 or 39(1) shall be deemed to have been met, provided that the document </w:t>
      </w:r>
      <w:r w:rsidR="00F750DC" w:rsidRPr="002E10AE">
        <w:rPr>
          <w:rFonts w:cs="Arial"/>
          <w:color w:val="0000FF"/>
          <w:szCs w:val="22"/>
          <w:highlight w:val="yellow"/>
          <w:u w:val="single"/>
        </w:rPr>
        <w:t>[and/or the fee]</w:t>
      </w:r>
      <w:r w:rsidR="00F750DC" w:rsidRPr="002E10AE">
        <w:rPr>
          <w:rFonts w:cs="Arial"/>
          <w:color w:val="0000FF"/>
          <w:szCs w:val="22"/>
          <w:u w:val="single"/>
        </w:rPr>
        <w:t xml:space="preserve"> </w:t>
      </w:r>
      <w:r w:rsidRPr="002E10AE">
        <w:rPr>
          <w:rFonts w:cs="Arial"/>
          <w:color w:val="0000FF"/>
          <w:szCs w:val="22"/>
          <w:u w:val="single"/>
        </w:rPr>
        <w:t xml:space="preserve">was furnished </w:t>
      </w:r>
      <w:r w:rsidR="00F750DC" w:rsidRPr="002E10AE">
        <w:rPr>
          <w:rFonts w:cs="Arial"/>
          <w:color w:val="0000FF"/>
          <w:szCs w:val="22"/>
          <w:highlight w:val="yellow"/>
          <w:u w:val="single"/>
        </w:rPr>
        <w:t>[or paid]</w:t>
      </w:r>
      <w:r w:rsidR="00F750DC" w:rsidRPr="002E10AE">
        <w:rPr>
          <w:rFonts w:cs="Arial"/>
          <w:color w:val="0000FF"/>
          <w:szCs w:val="22"/>
          <w:u w:val="single"/>
        </w:rPr>
        <w:t xml:space="preserve"> </w:t>
      </w:r>
      <w:r w:rsidRPr="002E10AE">
        <w:rPr>
          <w:rFonts w:cs="Arial"/>
          <w:color w:val="0000FF"/>
          <w:szCs w:val="22"/>
          <w:u w:val="single"/>
        </w:rPr>
        <w:t xml:space="preserve">on the next working day on which the said electronic means of transmittal was available.  No submission of proof is </w:t>
      </w:r>
      <w:r w:rsidR="00CC4DA8" w:rsidRPr="002E10AE">
        <w:rPr>
          <w:rFonts w:cs="Arial"/>
          <w:color w:val="0000FF"/>
          <w:szCs w:val="22"/>
          <w:u w:val="single"/>
        </w:rPr>
        <w:t>[</w:t>
      </w:r>
      <w:r w:rsidR="00CC4DA8" w:rsidRPr="002E10AE">
        <w:rPr>
          <w:rFonts w:cs="Arial"/>
          <w:color w:val="0000FF"/>
          <w:szCs w:val="22"/>
          <w:highlight w:val="yellow"/>
          <w:u w:val="single"/>
        </w:rPr>
        <w:t>generally</w:t>
      </w:r>
      <w:r w:rsidR="00CC4DA8" w:rsidRPr="002E10AE">
        <w:rPr>
          <w:rFonts w:cs="Arial"/>
          <w:color w:val="0000FF"/>
          <w:szCs w:val="22"/>
          <w:u w:val="single"/>
        </w:rPr>
        <w:t xml:space="preserve">] </w:t>
      </w:r>
      <w:r w:rsidRPr="002E10AE">
        <w:rPr>
          <w:rFonts w:cs="Arial"/>
          <w:color w:val="0000FF"/>
          <w:szCs w:val="22"/>
          <w:u w:val="single"/>
        </w:rPr>
        <w:t xml:space="preserve">required if the unavailability of the electronic means of transmittal was </w:t>
      </w:r>
      <w:r w:rsidR="00F750DC" w:rsidRPr="002E10AE">
        <w:rPr>
          <w:rFonts w:cs="Arial"/>
          <w:color w:val="0000FF"/>
          <w:szCs w:val="22"/>
          <w:highlight w:val="yellow"/>
          <w:u w:val="single"/>
        </w:rPr>
        <w:t>[</w:t>
      </w:r>
      <w:r w:rsidRPr="002E10AE">
        <w:rPr>
          <w:rFonts w:cs="Arial"/>
          <w:strike/>
          <w:color w:val="0000FF"/>
          <w:szCs w:val="22"/>
          <w:highlight w:val="yellow"/>
          <w:u w:val="single"/>
        </w:rPr>
        <w:t>or should have been</w:t>
      </w:r>
      <w:r w:rsidR="00F750DC" w:rsidRPr="002E10AE">
        <w:rPr>
          <w:rFonts w:cs="Arial"/>
          <w:color w:val="0000FF"/>
          <w:szCs w:val="22"/>
          <w:highlight w:val="yellow"/>
          <w:u w:val="single"/>
        </w:rPr>
        <w:t>]</w:t>
      </w:r>
      <w:r w:rsidRPr="002E10AE">
        <w:rPr>
          <w:rFonts w:cs="Arial"/>
          <w:color w:val="0000FF"/>
          <w:szCs w:val="22"/>
          <w:u w:val="single"/>
        </w:rPr>
        <w:t xml:space="preserve"> known to the national Office or intergovernmental organization.</w:t>
      </w:r>
    </w:p>
    <w:p w14:paraId="4011D25E" w14:textId="77777777" w:rsidR="000F5E56" w:rsidRDefault="000F5E56" w:rsidP="00804DB7"/>
    <w:p w14:paraId="6DD93A3B" w14:textId="18B52257" w:rsidR="002E10AE" w:rsidRDefault="002E10AE" w:rsidP="002E10AE">
      <w:pPr>
        <w:ind w:left="6663"/>
      </w:pPr>
      <w:r>
        <w:t>[End]</w:t>
      </w:r>
    </w:p>
    <w:sectPr w:rsidR="002E10AE" w:rsidSect="00804DB7">
      <w:headerReference w:type="default" r:id="rId8"/>
      <w:footerReference w:type="even" r:id="rId9"/>
      <w:footerReference w:type="default" r:id="rId10"/>
      <w:headerReference w:type="first" r:id="rId11"/>
      <w:foot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87AD" w14:textId="77777777" w:rsidR="00B37034" w:rsidRDefault="00B37034" w:rsidP="00B311F7">
      <w:r>
        <w:separator/>
      </w:r>
    </w:p>
  </w:endnote>
  <w:endnote w:type="continuationSeparator" w:id="0">
    <w:p w14:paraId="6DBCBD2F" w14:textId="77777777" w:rsidR="00B37034" w:rsidRDefault="00B37034" w:rsidP="00B3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04CF" w14:textId="38B976FC" w:rsidR="00B311F7" w:rsidRDefault="00B3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E930" w14:textId="0E99AE1E" w:rsidR="00B311F7" w:rsidRDefault="00B31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3E4F" w14:textId="2E5BB0C8" w:rsidR="00B311F7" w:rsidRDefault="00B3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0B1F" w14:textId="77777777" w:rsidR="00B37034" w:rsidRDefault="00B37034" w:rsidP="00B311F7">
      <w:r>
        <w:separator/>
      </w:r>
    </w:p>
  </w:footnote>
  <w:footnote w:type="continuationSeparator" w:id="0">
    <w:p w14:paraId="746B50A0" w14:textId="77777777" w:rsidR="00B37034" w:rsidRDefault="00B37034" w:rsidP="00B3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1B48" w14:textId="77777777" w:rsidR="00105987" w:rsidRDefault="00105987" w:rsidP="00105987">
    <w:pPr>
      <w:pStyle w:val="Header"/>
      <w:jc w:val="right"/>
    </w:pPr>
    <w:r>
      <w:t>PCT/WG/18</w:t>
    </w:r>
  </w:p>
  <w:p w14:paraId="3186484A" w14:textId="084AE091" w:rsidR="00105987" w:rsidRDefault="00105987" w:rsidP="00105987">
    <w:pPr>
      <w:pStyle w:val="Header"/>
      <w:jc w:val="right"/>
    </w:pPr>
    <w:r>
      <w:t xml:space="preserve">Paper No. 2, page </w:t>
    </w:r>
    <w:r>
      <w:fldChar w:fldCharType="begin"/>
    </w:r>
    <w:r>
      <w:instrText xml:space="preserve"> PAGE   \* MERGEFORMAT </w:instrText>
    </w:r>
    <w:r>
      <w:fldChar w:fldCharType="separate"/>
    </w:r>
    <w:r>
      <w:rPr>
        <w:noProof/>
      </w:rPr>
      <w:t>1</w:t>
    </w:r>
    <w:r>
      <w:rPr>
        <w:noProof/>
      </w:rPr>
      <w:fldChar w:fldCharType="end"/>
    </w:r>
  </w:p>
  <w:p w14:paraId="6C9662A2" w14:textId="77777777" w:rsidR="00105987" w:rsidRDefault="00105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73B0" w14:textId="4780397E" w:rsidR="002E10AE" w:rsidRDefault="002E10AE" w:rsidP="002E10AE">
    <w:pPr>
      <w:pStyle w:val="Header"/>
      <w:jc w:val="right"/>
    </w:pPr>
    <w:r>
      <w:t>PCT/WG/18</w:t>
    </w:r>
  </w:p>
  <w:p w14:paraId="7F43534F" w14:textId="5EC11792" w:rsidR="002E10AE" w:rsidRDefault="002E10AE" w:rsidP="002E10AE">
    <w:pPr>
      <w:pStyle w:val="Header"/>
      <w:jc w:val="right"/>
    </w:pPr>
    <w:r>
      <w:t>Paper No. 2</w:t>
    </w:r>
  </w:p>
  <w:p w14:paraId="400E9016" w14:textId="3BF48B49" w:rsidR="002E10AE" w:rsidRDefault="002E10AE" w:rsidP="002E10AE">
    <w:pPr>
      <w:pStyle w:val="Header"/>
      <w:jc w:val="right"/>
    </w:pPr>
    <w:r>
      <w:t>February</w:t>
    </w:r>
    <w:r w:rsidR="00F14D69">
      <w:t xml:space="preserve"> </w:t>
    </w:r>
    <w:r>
      <w:t>18, 2025</w:t>
    </w:r>
  </w:p>
  <w:p w14:paraId="4EA3BC71" w14:textId="77777777" w:rsidR="002E10AE" w:rsidRDefault="002E10AE" w:rsidP="002E1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993876602">
    <w:abstractNumId w:val="1"/>
  </w:num>
  <w:num w:numId="2" w16cid:durableId="50471161">
    <w:abstractNumId w:val="2"/>
  </w:num>
  <w:num w:numId="3" w16cid:durableId="571815923">
    <w:abstractNumId w:val="5"/>
  </w:num>
  <w:num w:numId="4" w16cid:durableId="69929487">
    <w:abstractNumId w:val="4"/>
  </w:num>
  <w:num w:numId="5" w16cid:durableId="1645084852">
    <w:abstractNumId w:val="0"/>
  </w:num>
  <w:num w:numId="6" w16cid:durableId="198635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F7"/>
    <w:rsid w:val="000F5E56"/>
    <w:rsid w:val="00105987"/>
    <w:rsid w:val="002E10AE"/>
    <w:rsid w:val="003E6531"/>
    <w:rsid w:val="00426CC9"/>
    <w:rsid w:val="00431118"/>
    <w:rsid w:val="00647600"/>
    <w:rsid w:val="00701C90"/>
    <w:rsid w:val="007B240C"/>
    <w:rsid w:val="007D53C7"/>
    <w:rsid w:val="00804DB7"/>
    <w:rsid w:val="00880544"/>
    <w:rsid w:val="009172EC"/>
    <w:rsid w:val="00976311"/>
    <w:rsid w:val="00B311F7"/>
    <w:rsid w:val="00B37034"/>
    <w:rsid w:val="00C554EC"/>
    <w:rsid w:val="00CC4DA8"/>
    <w:rsid w:val="00EC28B3"/>
    <w:rsid w:val="00F14D69"/>
    <w:rsid w:val="00F60960"/>
    <w:rsid w:val="00F7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86101"/>
  <w15:chartTrackingRefBased/>
  <w15:docId w15:val="{F1127493-AF12-4AE8-B492-C7D49861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B311F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B311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B311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B311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B311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B311F7"/>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B311F7"/>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B311F7"/>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B311F7"/>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B311F7"/>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B31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3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311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B311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1F7"/>
    <w:rPr>
      <w:rFonts w:ascii="Arial" w:hAnsi="Arial" w:cs="Arial"/>
      <w:i/>
      <w:iCs/>
      <w:color w:val="404040" w:themeColor="text1" w:themeTint="BF"/>
      <w:sz w:val="22"/>
    </w:rPr>
  </w:style>
  <w:style w:type="paragraph" w:styleId="ListParagraph">
    <w:name w:val="List Paragraph"/>
    <w:basedOn w:val="Normal"/>
    <w:uiPriority w:val="34"/>
    <w:qFormat/>
    <w:rsid w:val="00B311F7"/>
    <w:pPr>
      <w:ind w:left="720"/>
      <w:contextualSpacing/>
    </w:pPr>
  </w:style>
  <w:style w:type="character" w:styleId="IntenseEmphasis">
    <w:name w:val="Intense Emphasis"/>
    <w:basedOn w:val="DefaultParagraphFont"/>
    <w:uiPriority w:val="21"/>
    <w:qFormat/>
    <w:rsid w:val="00B311F7"/>
    <w:rPr>
      <w:i/>
      <w:iCs/>
      <w:color w:val="365F91" w:themeColor="accent1" w:themeShade="BF"/>
    </w:rPr>
  </w:style>
  <w:style w:type="paragraph" w:styleId="IntenseQuote">
    <w:name w:val="Intense Quote"/>
    <w:basedOn w:val="Normal"/>
    <w:next w:val="Normal"/>
    <w:link w:val="IntenseQuoteChar"/>
    <w:uiPriority w:val="30"/>
    <w:qFormat/>
    <w:rsid w:val="00B311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311F7"/>
    <w:rPr>
      <w:rFonts w:ascii="Arial" w:hAnsi="Arial" w:cs="Arial"/>
      <w:i/>
      <w:iCs/>
      <w:color w:val="365F91" w:themeColor="accent1" w:themeShade="BF"/>
      <w:sz w:val="22"/>
    </w:rPr>
  </w:style>
  <w:style w:type="character" w:styleId="IntenseReference">
    <w:name w:val="Intense Reference"/>
    <w:basedOn w:val="DefaultParagraphFont"/>
    <w:uiPriority w:val="32"/>
    <w:qFormat/>
    <w:rsid w:val="00B311F7"/>
    <w:rPr>
      <w:b/>
      <w:bCs/>
      <w:smallCaps/>
      <w:color w:val="365F91" w:themeColor="accent1" w:themeShade="BF"/>
      <w:spacing w:val="5"/>
    </w:rPr>
  </w:style>
  <w:style w:type="paragraph" w:customStyle="1" w:styleId="LegTitle">
    <w:name w:val="Leg # Title"/>
    <w:basedOn w:val="Normal"/>
    <w:next w:val="Normal"/>
    <w:rsid w:val="00B311F7"/>
    <w:pPr>
      <w:keepNext/>
      <w:keepLines/>
      <w:spacing w:before="240" w:after="240" w:line="360" w:lineRule="auto"/>
      <w:jc w:val="center"/>
    </w:pPr>
    <w:rPr>
      <w:rFonts w:cs="Times New Roman"/>
      <w:b/>
      <w:noProof/>
      <w:snapToGrid w:val="0"/>
    </w:rPr>
  </w:style>
  <w:style w:type="paragraph" w:customStyle="1" w:styleId="LegSubRule">
    <w:name w:val="Leg SubRule #"/>
    <w:basedOn w:val="Normal"/>
    <w:rsid w:val="00B311F7"/>
    <w:pPr>
      <w:keepNext/>
      <w:keepLines/>
      <w:tabs>
        <w:tab w:val="left" w:pos="510"/>
      </w:tabs>
      <w:spacing w:before="119" w:after="240" w:line="360" w:lineRule="auto"/>
      <w:ind w:left="533" w:hanging="533"/>
    </w:pPr>
    <w:rPr>
      <w:rFonts w:cs="Times New Roman"/>
      <w:noProof/>
      <w:snapToGrid w:val="0"/>
    </w:rPr>
  </w:style>
  <w:style w:type="paragraph" w:customStyle="1" w:styleId="Lega">
    <w:name w:val="Leg (a)"/>
    <w:basedOn w:val="Normal"/>
    <w:link w:val="LegaChar"/>
    <w:rsid w:val="00B311F7"/>
    <w:pPr>
      <w:tabs>
        <w:tab w:val="left" w:pos="454"/>
      </w:tabs>
      <w:spacing w:before="119" w:after="240" w:line="360" w:lineRule="auto"/>
    </w:pPr>
    <w:rPr>
      <w:rFonts w:cs="Times New Roman"/>
      <w:noProof/>
      <w:snapToGrid w:val="0"/>
    </w:rPr>
  </w:style>
  <w:style w:type="character" w:customStyle="1" w:styleId="LegaChar">
    <w:name w:val="Leg (a) Char"/>
    <w:link w:val="Lega"/>
    <w:rsid w:val="00B311F7"/>
    <w:rPr>
      <w:rFonts w:ascii="Arial" w:hAnsi="Arial"/>
      <w:noProof/>
      <w:snapToGrid w:val="0"/>
      <w:sz w:val="22"/>
    </w:rPr>
  </w:style>
  <w:style w:type="character" w:styleId="CommentReference">
    <w:name w:val="annotation reference"/>
    <w:basedOn w:val="DefaultParagraphFont"/>
    <w:semiHidden/>
    <w:unhideWhenUsed/>
    <w:rsid w:val="00B311F7"/>
    <w:rPr>
      <w:sz w:val="16"/>
      <w:szCs w:val="16"/>
    </w:rPr>
  </w:style>
  <w:style w:type="paragraph" w:styleId="CommentSubject">
    <w:name w:val="annotation subject"/>
    <w:basedOn w:val="CommentText"/>
    <w:next w:val="CommentText"/>
    <w:link w:val="CommentSubjectChar"/>
    <w:semiHidden/>
    <w:unhideWhenUsed/>
    <w:rsid w:val="00B311F7"/>
    <w:rPr>
      <w:b/>
      <w:bCs/>
      <w:sz w:val="20"/>
    </w:rPr>
  </w:style>
  <w:style w:type="character" w:customStyle="1" w:styleId="CommentTextChar">
    <w:name w:val="Comment Text Char"/>
    <w:basedOn w:val="DefaultParagraphFont"/>
    <w:link w:val="CommentText"/>
    <w:semiHidden/>
    <w:rsid w:val="00B311F7"/>
    <w:rPr>
      <w:rFonts w:ascii="Arial" w:hAnsi="Arial" w:cs="Arial"/>
      <w:sz w:val="18"/>
    </w:rPr>
  </w:style>
  <w:style w:type="character" w:customStyle="1" w:styleId="CommentSubjectChar">
    <w:name w:val="Comment Subject Char"/>
    <w:basedOn w:val="CommentTextChar"/>
    <w:link w:val="CommentSubject"/>
    <w:semiHidden/>
    <w:rsid w:val="00B311F7"/>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5FDB-DF3A-4B44-85A8-996535C7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REISCHLE-PARK Matthias</dc:creator>
  <cp:keywords/>
  <dc:description/>
  <cp:lastModifiedBy>MARLOW Thomas</cp:lastModifiedBy>
  <cp:revision>5</cp:revision>
  <cp:lastPrinted>2025-02-18T23:11:00Z</cp:lastPrinted>
  <dcterms:created xsi:type="dcterms:W3CDTF">2025-02-18T19:24:00Z</dcterms:created>
  <dcterms:modified xsi:type="dcterms:W3CDTF">2025-02-18T23:11:00Z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2025-02-18T23:11:28Z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61413f82-e21b-42b2-a940-81609e46a764</vt:lpwstr>
  </property>
  <property fmtid="{D5CDD505-2E9C-101B-9397-08002B2CF9AE}" pid="8" name="MSIP_Label_20773ee6-353b-4fb9-a59d-0b94c8c67bea_ContentBits">
    <vt:lpwstr>0</vt:lpwstr>
  </property>
</Properties>
</file>