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7B0D74" w14:textId="77777777" w:rsidR="008B2CC1" w:rsidRPr="00833104" w:rsidRDefault="008B14EA" w:rsidP="008B14EA">
      <w:pPr>
        <w:spacing w:after="120"/>
        <w:jc w:val="right"/>
        <w:rPr>
          <w:lang w:val="es-ES_tradnl"/>
        </w:rPr>
      </w:pPr>
      <w:r w:rsidRPr="00833104">
        <w:rPr>
          <w:noProof/>
          <w:lang w:val="es-ES_tradnl" w:eastAsia="en-US"/>
        </w:rPr>
        <w:drawing>
          <wp:inline distT="0" distB="0" distL="0" distR="0" wp14:anchorId="2BF4B7F1" wp14:editId="66415D8F">
            <wp:extent cx="3014550" cy="1332000"/>
            <wp:effectExtent l="0" t="0" r="0" b="1905"/>
            <wp:docPr id="2" name="Picture 2"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rotWithShape="1">
                    <a:blip r:embed="rId7">
                      <a:extLst>
                        <a:ext uri="{28A0092B-C50C-407E-A947-70E740481C1C}">
                          <a14:useLocalDpi xmlns:a14="http://schemas.microsoft.com/office/drawing/2010/main" val="0"/>
                        </a:ext>
                      </a:extLst>
                    </a:blip>
                    <a:srcRect b="5603"/>
                    <a:stretch/>
                  </pic:blipFill>
                  <pic:spPr bwMode="auto">
                    <a:xfrm>
                      <a:off x="0" y="0"/>
                      <a:ext cx="3014550" cy="1332000"/>
                    </a:xfrm>
                    <a:prstGeom prst="rect">
                      <a:avLst/>
                    </a:prstGeom>
                    <a:ln>
                      <a:noFill/>
                    </a:ln>
                    <a:extLst>
                      <a:ext uri="{53640926-AAD7-44D8-BBD7-CCE9431645EC}">
                        <a14:shadowObscured xmlns:a14="http://schemas.microsoft.com/office/drawing/2010/main"/>
                      </a:ext>
                    </a:extLst>
                  </pic:spPr>
                </pic:pic>
              </a:graphicData>
            </a:graphic>
          </wp:inline>
        </w:drawing>
      </w:r>
      <w:r w:rsidR="00307787" w:rsidRPr="00833104">
        <w:rPr>
          <w:rFonts w:ascii="Arial Black" w:hAnsi="Arial Black"/>
          <w:caps/>
          <w:noProof/>
          <w:sz w:val="15"/>
          <w:szCs w:val="15"/>
          <w:lang w:val="es-ES_tradnl" w:eastAsia="en-US"/>
        </w:rPr>
        <mc:AlternateContent>
          <mc:Choice Requires="wps">
            <w:drawing>
              <wp:inline distT="0" distB="0" distL="0" distR="0" wp14:anchorId="74AF1BF3" wp14:editId="7CD033C8">
                <wp:extent cx="5935980" cy="0"/>
                <wp:effectExtent l="0" t="0" r="26670" b="19050"/>
                <wp:docPr id="3" name="Straight Connector 3"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0C0F8F6C" id="Straight Connector 3"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" strokecolor="black [3040]">
                <w10:anchorlock/>
              </v:line>
            </w:pict>
          </mc:Fallback>
        </mc:AlternateContent>
      </w:r>
    </w:p>
    <w:p w14:paraId="4DBFF6DA" w14:textId="08AC3228" w:rsidR="008B2CC1" w:rsidRPr="00833104" w:rsidRDefault="005472C7" w:rsidP="008B14EA">
      <w:pPr>
        <w:jc w:val="right"/>
        <w:rPr>
          <w:rFonts w:ascii="Arial Black" w:hAnsi="Arial Black"/>
          <w:caps/>
          <w:sz w:val="15"/>
          <w:lang w:val="es-ES_tradnl"/>
        </w:rPr>
      </w:pPr>
      <w:r w:rsidRPr="00833104">
        <w:rPr>
          <w:rFonts w:ascii="Arial Black" w:hAnsi="Arial Black"/>
          <w:caps/>
          <w:sz w:val="15"/>
          <w:szCs w:val="15"/>
          <w:lang w:val="es-ES_tradnl"/>
        </w:rPr>
        <w:t>PCT/WG/1</w:t>
      </w:r>
      <w:r w:rsidR="00E51F34" w:rsidRPr="00833104">
        <w:rPr>
          <w:rFonts w:ascii="Arial Black" w:hAnsi="Arial Black"/>
          <w:caps/>
          <w:sz w:val="15"/>
          <w:szCs w:val="15"/>
          <w:lang w:val="es-ES_tradnl"/>
        </w:rPr>
        <w:t>8</w:t>
      </w:r>
      <w:r w:rsidR="00186911" w:rsidRPr="00833104">
        <w:rPr>
          <w:rFonts w:ascii="Arial Black" w:hAnsi="Arial Black"/>
          <w:caps/>
          <w:sz w:val="15"/>
          <w:szCs w:val="15"/>
          <w:lang w:val="es-ES_tradnl"/>
        </w:rPr>
        <w:t>/</w:t>
      </w:r>
      <w:bookmarkStart w:id="0" w:name="Code"/>
      <w:bookmarkEnd w:id="0"/>
      <w:r w:rsidR="00422E28" w:rsidRPr="00833104">
        <w:rPr>
          <w:rFonts w:ascii="Arial Black" w:hAnsi="Arial Black"/>
          <w:caps/>
          <w:sz w:val="15"/>
          <w:szCs w:val="15"/>
          <w:lang w:val="es-ES_tradnl"/>
        </w:rPr>
        <w:t>14</w:t>
      </w:r>
    </w:p>
    <w:p w14:paraId="586DEF9F" w14:textId="6EE5595B" w:rsidR="008B2CC1" w:rsidRPr="00833104" w:rsidRDefault="008B14EA" w:rsidP="008B14EA">
      <w:pPr>
        <w:jc w:val="right"/>
        <w:rPr>
          <w:rFonts w:ascii="Arial Black" w:hAnsi="Arial Black"/>
          <w:caps/>
          <w:sz w:val="15"/>
          <w:lang w:val="es-ES_tradnl"/>
        </w:rPr>
      </w:pPr>
      <w:r w:rsidRPr="00833104">
        <w:rPr>
          <w:rFonts w:ascii="Arial Black" w:hAnsi="Arial Black"/>
          <w:caps/>
          <w:sz w:val="15"/>
          <w:lang w:val="es-ES_tradnl"/>
        </w:rPr>
        <w:t xml:space="preserve">ORIGINAL: </w:t>
      </w:r>
      <w:bookmarkStart w:id="1" w:name="Original"/>
      <w:r w:rsidR="00422E28" w:rsidRPr="00833104">
        <w:rPr>
          <w:rFonts w:ascii="Arial Black" w:hAnsi="Arial Black"/>
          <w:caps/>
          <w:sz w:val="15"/>
          <w:lang w:val="es-ES_tradnl"/>
        </w:rPr>
        <w:t>INGLÉS</w:t>
      </w:r>
    </w:p>
    <w:bookmarkEnd w:id="1"/>
    <w:p w14:paraId="0C8E8C38" w14:textId="6FA1DE8F" w:rsidR="008B2CC1" w:rsidRPr="00833104" w:rsidRDefault="008B14EA" w:rsidP="008B14EA">
      <w:pPr>
        <w:spacing w:after="1200"/>
        <w:jc w:val="right"/>
        <w:rPr>
          <w:rFonts w:ascii="Arial Black" w:hAnsi="Arial Black"/>
          <w:caps/>
          <w:sz w:val="15"/>
          <w:lang w:val="es-ES_tradnl"/>
        </w:rPr>
      </w:pPr>
      <w:r w:rsidRPr="00833104">
        <w:rPr>
          <w:rFonts w:ascii="Arial Black" w:hAnsi="Arial Black"/>
          <w:caps/>
          <w:sz w:val="15"/>
          <w:lang w:val="es-ES_tradnl"/>
        </w:rPr>
        <w:t xml:space="preserve">FECHA: </w:t>
      </w:r>
      <w:bookmarkStart w:id="2" w:name="Date"/>
      <w:r w:rsidR="00422E28" w:rsidRPr="00833104">
        <w:rPr>
          <w:rFonts w:ascii="Arial Black" w:hAnsi="Arial Black"/>
          <w:caps/>
          <w:sz w:val="15"/>
          <w:lang w:val="es-ES_tradnl"/>
        </w:rPr>
        <w:t>17 DE ENERO DE 2025</w:t>
      </w:r>
    </w:p>
    <w:bookmarkEnd w:id="2"/>
    <w:p w14:paraId="53A5F192" w14:textId="77777777" w:rsidR="008B2CC1" w:rsidRPr="00833104" w:rsidRDefault="005472C7" w:rsidP="008B14EA">
      <w:pPr>
        <w:spacing w:after="600"/>
        <w:rPr>
          <w:b/>
          <w:sz w:val="28"/>
          <w:szCs w:val="28"/>
          <w:lang w:val="es-ES_tradnl"/>
        </w:rPr>
      </w:pPr>
      <w:r w:rsidRPr="00833104">
        <w:rPr>
          <w:b/>
          <w:sz w:val="28"/>
          <w:szCs w:val="28"/>
          <w:lang w:val="es-ES_tradnl"/>
        </w:rPr>
        <w:t>Grupo de Trabajo del Tratado de Cooperación en materia de Patentes (PCT)</w:t>
      </w:r>
    </w:p>
    <w:p w14:paraId="203154D8" w14:textId="77777777" w:rsidR="00323EB5" w:rsidRPr="00833104" w:rsidRDefault="00011CFD" w:rsidP="00323EB5">
      <w:pPr>
        <w:rPr>
          <w:b/>
          <w:sz w:val="24"/>
          <w:szCs w:val="24"/>
          <w:lang w:val="es-ES_tradnl"/>
        </w:rPr>
      </w:pPr>
      <w:r w:rsidRPr="00833104">
        <w:rPr>
          <w:b/>
          <w:sz w:val="24"/>
          <w:szCs w:val="24"/>
          <w:lang w:val="es-ES_tradnl"/>
        </w:rPr>
        <w:t xml:space="preserve">Decimoctava </w:t>
      </w:r>
      <w:r w:rsidR="005472C7" w:rsidRPr="00833104">
        <w:rPr>
          <w:b/>
          <w:sz w:val="24"/>
          <w:szCs w:val="24"/>
          <w:lang w:val="es-ES_tradnl"/>
        </w:rPr>
        <w:t>reunión</w:t>
      </w:r>
    </w:p>
    <w:p w14:paraId="1F909E0A" w14:textId="77777777" w:rsidR="008B2CC1" w:rsidRPr="00833104" w:rsidRDefault="005472C7" w:rsidP="008B14EA">
      <w:pPr>
        <w:spacing w:after="720"/>
        <w:rPr>
          <w:b/>
          <w:sz w:val="24"/>
          <w:szCs w:val="24"/>
          <w:lang w:val="es-ES_tradnl"/>
        </w:rPr>
      </w:pPr>
      <w:r w:rsidRPr="00833104">
        <w:rPr>
          <w:b/>
          <w:sz w:val="24"/>
          <w:szCs w:val="24"/>
          <w:lang w:val="es-ES_tradnl"/>
        </w:rPr>
        <w:t xml:space="preserve">Ginebra, </w:t>
      </w:r>
      <w:r w:rsidR="00D21340" w:rsidRPr="00833104">
        <w:rPr>
          <w:b/>
          <w:sz w:val="24"/>
          <w:szCs w:val="24"/>
          <w:lang w:val="es-ES_tradnl"/>
        </w:rPr>
        <w:t>1</w:t>
      </w:r>
      <w:r w:rsidR="00E51F34" w:rsidRPr="00833104">
        <w:rPr>
          <w:b/>
          <w:sz w:val="24"/>
          <w:szCs w:val="24"/>
          <w:lang w:val="es-ES_tradnl"/>
        </w:rPr>
        <w:t>8</w:t>
      </w:r>
      <w:r w:rsidR="00D21340" w:rsidRPr="00833104">
        <w:rPr>
          <w:b/>
          <w:sz w:val="24"/>
          <w:szCs w:val="24"/>
          <w:lang w:val="es-ES_tradnl"/>
        </w:rPr>
        <w:t xml:space="preserve"> a 2</w:t>
      </w:r>
      <w:r w:rsidR="00E51F34" w:rsidRPr="00833104">
        <w:rPr>
          <w:b/>
          <w:sz w:val="24"/>
          <w:szCs w:val="24"/>
          <w:lang w:val="es-ES_tradnl"/>
        </w:rPr>
        <w:t>0</w:t>
      </w:r>
      <w:r w:rsidR="00D21340" w:rsidRPr="00833104">
        <w:rPr>
          <w:b/>
          <w:sz w:val="24"/>
          <w:szCs w:val="24"/>
          <w:lang w:val="es-ES_tradnl"/>
        </w:rPr>
        <w:t xml:space="preserve"> de febrero de 202</w:t>
      </w:r>
      <w:r w:rsidR="00E51F34" w:rsidRPr="00833104">
        <w:rPr>
          <w:b/>
          <w:sz w:val="24"/>
          <w:szCs w:val="24"/>
          <w:lang w:val="es-ES_tradnl"/>
        </w:rPr>
        <w:t>5</w:t>
      </w:r>
    </w:p>
    <w:p w14:paraId="0A0BA89F" w14:textId="7BEFA90F" w:rsidR="008B2CC1" w:rsidRPr="00833104" w:rsidRDefault="00422E28" w:rsidP="008B14EA">
      <w:pPr>
        <w:spacing w:after="360"/>
        <w:rPr>
          <w:caps/>
          <w:sz w:val="24"/>
          <w:lang w:val="es-ES_tradnl"/>
        </w:rPr>
      </w:pPr>
      <w:bookmarkStart w:id="3" w:name="TitleOfDoc"/>
      <w:r w:rsidRPr="00833104">
        <w:rPr>
          <w:caps/>
          <w:sz w:val="24"/>
          <w:lang w:val="es-ES_tradnl"/>
        </w:rPr>
        <w:t>Tratamiento de listas de secuencias</w:t>
      </w:r>
    </w:p>
    <w:p w14:paraId="7C509E12" w14:textId="4A97DF0A" w:rsidR="008B2CC1" w:rsidRPr="00833104" w:rsidRDefault="00422E28" w:rsidP="008B14EA">
      <w:pPr>
        <w:spacing w:after="960"/>
        <w:rPr>
          <w:i/>
          <w:lang w:val="es-ES_tradnl"/>
        </w:rPr>
      </w:pPr>
      <w:bookmarkStart w:id="4" w:name="Prepared"/>
      <w:bookmarkEnd w:id="3"/>
      <w:r w:rsidRPr="00833104">
        <w:rPr>
          <w:i/>
          <w:lang w:val="es-ES_tradnl"/>
        </w:rPr>
        <w:t>Documento preparado por la Oficina Internacional</w:t>
      </w:r>
    </w:p>
    <w:bookmarkEnd w:id="4"/>
    <w:p w14:paraId="6D1DBFBC" w14:textId="77777777" w:rsidR="00422E28" w:rsidRPr="00833104" w:rsidRDefault="00422E28" w:rsidP="00422E28">
      <w:pPr>
        <w:pStyle w:val="Heading1"/>
        <w:rPr>
          <w:lang w:val="es-ES_tradnl"/>
        </w:rPr>
      </w:pPr>
      <w:r w:rsidRPr="00833104">
        <w:rPr>
          <w:lang w:val="es-ES_tradnl"/>
        </w:rPr>
        <w:t>Resumen</w:t>
      </w:r>
    </w:p>
    <w:p w14:paraId="29518456" w14:textId="77777777" w:rsidR="00422E28" w:rsidRPr="00833104" w:rsidRDefault="00422E28" w:rsidP="00422E28">
      <w:pPr>
        <w:pStyle w:val="ONUMFS"/>
        <w:rPr>
          <w:lang w:val="es-ES_tradnl"/>
        </w:rPr>
      </w:pPr>
      <w:r w:rsidRPr="00833104">
        <w:rPr>
          <w:lang w:val="es-ES_tradnl"/>
        </w:rPr>
        <w:t xml:space="preserve">La Norma ST.26 de la OMPI es el formato requerido para las listas de secuencias de nucleótidos y aminoácidos en las solicitudes internacionales presentadas a partir del 1 de julio de 2022. Tras una implantación y una transición satisfactorias, el sistema funciona en gran medida de manera eficiente y según lo previsto, y se sigue trabajando en el desarrollo y la mejora de las herramientas y los procedimientos para el tratamiento de las listas de secuencias en este formato. </w:t>
      </w:r>
    </w:p>
    <w:p w14:paraId="374EA698" w14:textId="77777777" w:rsidR="00422E28" w:rsidRPr="00833104" w:rsidRDefault="00422E28" w:rsidP="00422E28">
      <w:pPr>
        <w:pStyle w:val="ONUMFS"/>
        <w:spacing w:after="480"/>
        <w:rPr>
          <w:lang w:val="es-ES_tradnl"/>
        </w:rPr>
      </w:pPr>
      <w:r w:rsidRPr="00833104">
        <w:rPr>
          <w:lang w:val="es-ES_tradnl"/>
        </w:rPr>
        <w:t>No obstante, la Oficina Internacional desea simplificar la tramitación y velar por que los resultados sean de alta calidad, respondan a las necesidades de los solicitantes de patentes y puedan ser utilizados por las Administraciones internacionales, las Oficinas designadas y los proveedores de bases de datos. Por ejemplo, podría reducirse el número de tipos de documentos. Continúa el análisis de las opciones para mejorar los mecanismos de validación y determinar si se satisfacen los requisitos lingüísticos. El Equipo Técnico sobre Listas de Secuencias del Comité de Normas Técnicas de la OMPI (CWS) está estudiando la posibilidad de introducir cambios sustanciales en la norma para ampliar los requisitos de divulgación e incluir secuencias cortas.</w:t>
      </w:r>
    </w:p>
    <w:p w14:paraId="5F59D668" w14:textId="77777777" w:rsidR="00422E28" w:rsidRPr="00833104" w:rsidRDefault="00422E28" w:rsidP="00422E28">
      <w:pPr>
        <w:pStyle w:val="Heading1"/>
        <w:spacing w:before="0" w:after="120"/>
        <w:rPr>
          <w:lang w:val="es-ES_tradnl"/>
        </w:rPr>
      </w:pPr>
      <w:r w:rsidRPr="00833104">
        <w:rPr>
          <w:lang w:val="es-ES_tradnl"/>
        </w:rPr>
        <w:t>Contexto</w:t>
      </w:r>
    </w:p>
    <w:p w14:paraId="14832EAC" w14:textId="32158C8C" w:rsidR="00422E28" w:rsidRPr="00833104" w:rsidRDefault="00422E28" w:rsidP="00422E28">
      <w:pPr>
        <w:pStyle w:val="ONUMFS"/>
        <w:spacing w:after="480"/>
        <w:rPr>
          <w:lang w:val="es-ES_tradnl"/>
        </w:rPr>
      </w:pPr>
      <w:bookmarkStart w:id="5" w:name="_Ref153980082"/>
      <w:r w:rsidRPr="00833104">
        <w:rPr>
          <w:lang w:val="es-ES_tradnl"/>
        </w:rPr>
        <w:t xml:space="preserve">La Norma ST.26 de la OMPI, que entró en vigor el 1 de julio de 2022, recomienda un formato XML para la presentación de secuencias de nucleótidos y aminoácidos en las solicitudes de patente. También entraron en vigor al mismo tiempo las modificaciones del Reglamento del PCT y de las Instrucciones Administrativas, incluidos los formularios </w:t>
      </w:r>
      <w:r w:rsidRPr="00833104">
        <w:rPr>
          <w:lang w:val="es-ES_tradnl"/>
        </w:rPr>
        <w:lastRenderedPageBreak/>
        <w:t>pertinentes, que exigen que las secuencias se presenten en conformidad con la Norma ST.26 de la OMPI en cualquier solicitud internacional presentada a partir de esa fecha.</w:t>
      </w:r>
      <w:bookmarkEnd w:id="5"/>
      <w:r w:rsidRPr="00833104">
        <w:rPr>
          <w:lang w:val="es-ES_tradnl"/>
        </w:rPr>
        <w:t xml:space="preserve"> Este documento proporciona información actualizada sobre los últimos avances y presenta determinados retos y posibles formas de mejorar las prácticas actuales de tratamiento de las listas de secuencias.</w:t>
      </w:r>
    </w:p>
    <w:p w14:paraId="07A23CA0" w14:textId="3417C309" w:rsidR="00422E28" w:rsidRPr="00833104" w:rsidRDefault="00422E28" w:rsidP="00422E28">
      <w:pPr>
        <w:pStyle w:val="Heading1"/>
        <w:tabs>
          <w:tab w:val="center" w:pos="4677"/>
        </w:tabs>
        <w:spacing w:before="0" w:after="120"/>
        <w:rPr>
          <w:lang w:val="es-ES_tradnl"/>
        </w:rPr>
      </w:pPr>
      <w:r w:rsidRPr="00833104">
        <w:rPr>
          <w:lang w:val="es-ES_tradnl"/>
        </w:rPr>
        <w:t>Paquete informático WIPO Sequence</w:t>
      </w:r>
    </w:p>
    <w:p w14:paraId="75FC8C2E" w14:textId="77777777" w:rsidR="00422E28" w:rsidRPr="00833104" w:rsidRDefault="00422E28" w:rsidP="00422E28">
      <w:pPr>
        <w:pStyle w:val="ONUMFS"/>
        <w:spacing w:after="120"/>
        <w:rPr>
          <w:lang w:val="es-ES_tradnl"/>
        </w:rPr>
      </w:pPr>
      <w:r w:rsidRPr="00833104">
        <w:rPr>
          <w:lang w:val="es-ES_tradnl"/>
        </w:rPr>
        <w:t>La Oficina Internacional ha desarrollado un paquete informático que consta de dos componentes:</w:t>
      </w:r>
    </w:p>
    <w:p w14:paraId="749ABA8B" w14:textId="77777777" w:rsidR="00422E28" w:rsidRPr="00833104" w:rsidRDefault="00422E28" w:rsidP="00422E28">
      <w:pPr>
        <w:pStyle w:val="ONUMFS"/>
        <w:numPr>
          <w:ilvl w:val="1"/>
          <w:numId w:val="6"/>
        </w:numPr>
        <w:rPr>
          <w:lang w:val="es-ES_tradnl"/>
        </w:rPr>
      </w:pPr>
      <w:r w:rsidRPr="00833104">
        <w:rPr>
          <w:lang w:val="es-ES_tradnl"/>
        </w:rPr>
        <w:t>WIPO Sequence: aplicación de escritorio independiente disponible para Windows, Linux y MacOS que ayuda a crear y validar las listas de secuencias de conformidad con la Norma ST.26 de la OMPI; y</w:t>
      </w:r>
    </w:p>
    <w:p w14:paraId="6EF34DD2" w14:textId="77777777" w:rsidR="00422E28" w:rsidRPr="00833104" w:rsidRDefault="00422E28" w:rsidP="00422E28">
      <w:pPr>
        <w:pStyle w:val="ONUMFS"/>
        <w:numPr>
          <w:ilvl w:val="1"/>
          <w:numId w:val="6"/>
        </w:numPr>
        <w:rPr>
          <w:lang w:val="es-ES_tradnl"/>
        </w:rPr>
      </w:pPr>
      <w:r w:rsidRPr="00833104">
        <w:rPr>
          <w:lang w:val="es-ES_tradnl"/>
        </w:rPr>
        <w:t>WIPO Sequence Validator: servicio web que se ejecuta en las Oficinas de patentes para comprobar que las listas de secuencias cumplan la Norma ST.26 de la OMPI.</w:t>
      </w:r>
    </w:p>
    <w:p w14:paraId="06FD5DB7" w14:textId="77777777" w:rsidR="00422E28" w:rsidRPr="00833104" w:rsidRDefault="00422E28" w:rsidP="00422E28">
      <w:pPr>
        <w:pStyle w:val="ONUMFS"/>
        <w:rPr>
          <w:lang w:val="es-ES_tradnl"/>
        </w:rPr>
      </w:pPr>
      <w:r w:rsidRPr="00833104">
        <w:rPr>
          <w:lang w:val="es-ES_tradnl"/>
        </w:rPr>
        <w:t xml:space="preserve">El desarrollo y las pruebas del paquete WIPO Sequence tienen prioridad y se llevan a cabo en coordinación con el Equipo Técnico sobre Listas de Secuencias. </w:t>
      </w:r>
    </w:p>
    <w:p w14:paraId="4100E2AA" w14:textId="77777777" w:rsidR="00422E28" w:rsidRPr="00833104" w:rsidRDefault="00422E28" w:rsidP="00422E28">
      <w:pPr>
        <w:pStyle w:val="ONUMFS"/>
        <w:rPr>
          <w:lang w:val="es-ES_tradnl"/>
        </w:rPr>
      </w:pPr>
      <w:r w:rsidRPr="00833104">
        <w:rPr>
          <w:lang w:val="es-ES_tradnl"/>
        </w:rPr>
        <w:t xml:space="preserve">La última versión (3.0.0) de WIPO Sequence Validator se publicó en octubre de 2024 y ofrece un rendimiento considerablemente superior al de las versiones anteriores, además de eliminar dependencias obsoletas. El manual de uso también está disponible en formato HTML en 10 idiomas, lo que supone un recurso más accesible y ágil para las Oficinas, que pueden descargar segmentos de código para empezar a trabajar de manera rápida y fiable. Desde su publicación, las Oficinas han informado de algunos errores, que se están solucionando. Está previsto que en febrero de 2025 se publique una versión revisada, la 3.0.1. </w:t>
      </w:r>
    </w:p>
    <w:p w14:paraId="5A045B8A" w14:textId="77777777" w:rsidR="00422E28" w:rsidRPr="00833104" w:rsidRDefault="00422E28" w:rsidP="00422E28">
      <w:pPr>
        <w:pStyle w:val="ONUMFS"/>
        <w:rPr>
          <w:lang w:val="es-ES_tradnl"/>
        </w:rPr>
      </w:pPr>
      <w:r w:rsidRPr="00833104">
        <w:rPr>
          <w:lang w:val="es-ES_tradnl"/>
        </w:rPr>
        <w:t>La versión 3.0.0 de WIPO Sequence aún está en fase de pruebas. Del mismo modo, se han actualizado los componentes obsoletos y se ha incorporado WIPO Sequence Validator, que garantiza la plena coherencia en la validación para solicitantes y representantes.</w:t>
      </w:r>
    </w:p>
    <w:p w14:paraId="7438976B" w14:textId="77777777" w:rsidR="00422E28" w:rsidRPr="00833104" w:rsidRDefault="00422E28" w:rsidP="00422E28">
      <w:pPr>
        <w:pStyle w:val="Heading1"/>
        <w:rPr>
          <w:lang w:val="es-ES_tradnl"/>
        </w:rPr>
      </w:pPr>
      <w:r w:rsidRPr="00833104">
        <w:rPr>
          <w:lang w:val="es-ES_tradnl"/>
        </w:rPr>
        <w:t>Desarrollo de la Norma ST.26 de la OMPI</w:t>
      </w:r>
    </w:p>
    <w:p w14:paraId="3A15DF5B" w14:textId="77777777" w:rsidR="00422E28" w:rsidRPr="00833104" w:rsidRDefault="00422E28" w:rsidP="00422E28">
      <w:pPr>
        <w:pStyle w:val="ONUMFS"/>
        <w:rPr>
          <w:lang w:val="es-ES_tradnl"/>
        </w:rPr>
      </w:pPr>
      <w:r w:rsidRPr="00833104">
        <w:rPr>
          <w:lang w:val="es-ES_tradnl"/>
        </w:rPr>
        <w:t>La última versión de la Norma ST.26 de la OMPI, la versión 1.7, entró en vigor el 1 de julio de 2024 y debe utilizarse para todas las solicitudes internacionales, nacionales y regionales presentadas a partir de esa fecha. Los cambios con respecto a la versión 1.6 son esencialmente aclaraciones y la adición de varios ejemplos en el documento de orientación. El Equipo Técnico sobre Listas de Secuencias está estudiando dos revisiones sustantivas para que el CWS las examine en su decimotercera sesión, que se celebrará en noviembre de 2025. La primera, propuesta por la Oficina Europea de Patentes, consistiría en suprimir el requisito de longitud mínima, que no permite incluir secuencias cortas en las listas. La otra, propuesta por la Oficina de Patentes y Marcas de los Estados Unidos, exigiría que determinados análogos de péptidos y nucleótidos se incluyeran en una lista de secuencias. Si se aprueban esos cambios sustanciales, la nueva versión de la Norma ST.26 de la OMPI será la 2.0. El primero de esos cambios también requerirá una actualización importante del paquete WIPO Sequence antes de la fecha de entrada en vigor de la nueva versión de la norma.</w:t>
      </w:r>
    </w:p>
    <w:p w14:paraId="742666B8" w14:textId="77777777" w:rsidR="00422E28" w:rsidRPr="00833104" w:rsidRDefault="00422E28" w:rsidP="00422E28">
      <w:pPr>
        <w:pStyle w:val="Heading1"/>
        <w:tabs>
          <w:tab w:val="center" w:pos="4677"/>
        </w:tabs>
        <w:rPr>
          <w:lang w:val="es-ES_tradnl"/>
        </w:rPr>
      </w:pPr>
      <w:r w:rsidRPr="00833104">
        <w:rPr>
          <w:lang w:val="es-ES_tradnl"/>
        </w:rPr>
        <w:t>FORMATO DEL PAQUETE DE DATOS PARA EL INTERCAMBIO ELECTRÓNICO DE DOCUMENTOS DE PRIORIDAD</w:t>
      </w:r>
    </w:p>
    <w:p w14:paraId="003F97AF" w14:textId="77777777" w:rsidR="00422E28" w:rsidRPr="00833104" w:rsidRDefault="00422E28" w:rsidP="00422E28">
      <w:pPr>
        <w:pStyle w:val="ONUMFS"/>
        <w:rPr>
          <w:lang w:val="es-ES_tradnl"/>
        </w:rPr>
      </w:pPr>
      <w:r w:rsidRPr="00833104">
        <w:rPr>
          <w:lang w:val="es-ES_tradnl"/>
        </w:rPr>
        <w:t xml:space="preserve">En su duodécima sesión, celebrada del 16 al 19 de septiembre de 2024, el CWS adoptó la nueva Norma ST.92 de la OMPI sobre el formato del paquete de datos para el intercambio electrónico de documentos de prioridad. Esta norma tiene por objeto mejorar la tramitación de los documentos de prioridad mediante el intercambio electrónico de formatos de texto estructurados y, en particular, de listas de secuencias en el formato XML de la Norma ST.26 de </w:t>
      </w:r>
      <w:r w:rsidRPr="00833104">
        <w:rPr>
          <w:lang w:val="es-ES_tradnl"/>
        </w:rPr>
        <w:lastRenderedPageBreak/>
        <w:t xml:space="preserve">la OMPI, en lugar de únicamente ficheros PDF. Se acordó provisionalmente aplicar la nueva norma no más tarde del 1 de julio de 2027. Para ello, la Oficina Internacional deberá poner a punto los sistemas del PCT y el servicio de acceso digital a los documentos de prioridad (DAS); las Oficinas nacionales también deberán adaptar sus sistemas. </w:t>
      </w:r>
    </w:p>
    <w:p w14:paraId="22AACB59" w14:textId="77777777" w:rsidR="00422E28" w:rsidRPr="00833104" w:rsidRDefault="00422E28" w:rsidP="00422E28">
      <w:pPr>
        <w:pStyle w:val="Heading1"/>
        <w:tabs>
          <w:tab w:val="center" w:pos="4677"/>
        </w:tabs>
        <w:rPr>
          <w:lang w:val="es-ES_tradnl"/>
        </w:rPr>
      </w:pPr>
      <w:r w:rsidRPr="00833104">
        <w:rPr>
          <w:lang w:val="es-ES_tradnl"/>
        </w:rPr>
        <w:t>Tramitación de listas de secuencias en virtud del PCT</w:t>
      </w:r>
    </w:p>
    <w:p w14:paraId="0D47E6B6" w14:textId="77777777" w:rsidR="00422E28" w:rsidRPr="00833104" w:rsidRDefault="00422E28" w:rsidP="00422E28">
      <w:pPr>
        <w:pStyle w:val="ONUMFS"/>
        <w:rPr>
          <w:lang w:val="es-ES_tradnl"/>
        </w:rPr>
      </w:pPr>
      <w:r w:rsidRPr="00833104">
        <w:rPr>
          <w:lang w:val="es-ES_tradnl"/>
        </w:rPr>
        <w:t>Desde julio de 2022, la Oficina Internacional ha recibido aproximadamente 32 000 solicitudes internacionales con una lista de secuencias. En la mayoría de los casos, la tramitación fue sencilla y conforme a lo previsto, pero en un número considerable se plantearon problemas que requerían una mayor intervención del personal.</w:t>
      </w:r>
    </w:p>
    <w:p w14:paraId="1A6A79A9" w14:textId="77777777" w:rsidR="00422E28" w:rsidRPr="00833104" w:rsidRDefault="00422E28" w:rsidP="00833104">
      <w:pPr>
        <w:pStyle w:val="Heading3"/>
        <w:spacing w:before="0" w:after="120"/>
        <w:rPr>
          <w:lang w:val="es-ES_tradnl"/>
        </w:rPr>
      </w:pPr>
      <w:r w:rsidRPr="00833104">
        <w:rPr>
          <w:lang w:val="es-ES_tradnl"/>
        </w:rPr>
        <w:t>Validación de listas de secuencias</w:t>
      </w:r>
    </w:p>
    <w:p w14:paraId="01C9FBF3" w14:textId="77777777" w:rsidR="00422E28" w:rsidRPr="00833104" w:rsidRDefault="00422E28" w:rsidP="00422E28">
      <w:pPr>
        <w:pStyle w:val="ONUMFS"/>
        <w:rPr>
          <w:lang w:val="es-ES_tradnl"/>
        </w:rPr>
      </w:pPr>
      <w:r w:rsidRPr="00833104">
        <w:rPr>
          <w:lang w:val="es-ES_tradnl"/>
        </w:rPr>
        <w:t>WIPO Sequence Validator ofrece dos tipos de validación: “formal” y “completa”.</w:t>
      </w:r>
      <w:r w:rsidRPr="00833104">
        <w:rPr>
          <w:i/>
          <w:lang w:val="es-ES_tradnl"/>
        </w:rPr>
        <w:t xml:space="preserve"> </w:t>
      </w:r>
      <w:r w:rsidRPr="00833104">
        <w:rPr>
          <w:lang w:val="es-ES_tradnl"/>
        </w:rPr>
        <w:t>La validación de la formalidad comprueba que el formato del archivo sea XML y que cumpla la Norma ST.26 sobre definición de tipos de documentos (DTD). La validación completa comienza con la comprobación de validación de la formalidad y, a continuación, se verifican diversas reglas derivadas del cuerpo de la Norma ST.26. A pesar del mayor rendimiento que ofrece la nueva versión, el manual de uso de WIPO Sequence Validator recomienda utilizar la validación completa solo como parte de un proceso por lotes, ya que requiere mucho más tiempo que la validación de formalidad.</w:t>
      </w:r>
    </w:p>
    <w:p w14:paraId="3CD34B8E" w14:textId="77777777" w:rsidR="00422E28" w:rsidRPr="00833104" w:rsidRDefault="00422E28" w:rsidP="00422E28">
      <w:pPr>
        <w:pStyle w:val="ONUMFS"/>
        <w:rPr>
          <w:lang w:val="es-ES_tradnl"/>
        </w:rPr>
      </w:pPr>
      <w:r w:rsidRPr="00833104">
        <w:rPr>
          <w:lang w:val="es-ES_tradnl"/>
        </w:rPr>
        <w:t>Las listas de secuencias preparadas mediante WIPO Sequence no deben contener errores que puedan detectarse con WIPO Sequence Validator (aunque puede haber avisos), ya que se utilizan las mismas reglas de validación cuando el solicitante genera la lista de secuencias. No obstante, se ha recibido un número considerable de listas de secuencias en las que, aunque se indica que han sido creadas por WIPO Sequence, se ha realizado un tratamiento posterior mediante un editor de texto sin que el resultado haya sido validado por WIPO Sequence, a fin de que se ajusten a la Norma ST.26 de la OMPI.</w:t>
      </w:r>
    </w:p>
    <w:p w14:paraId="11065BDC" w14:textId="77777777" w:rsidR="00422E28" w:rsidRPr="00833104" w:rsidRDefault="00422E28" w:rsidP="00422E28">
      <w:pPr>
        <w:pStyle w:val="ONUMFS"/>
        <w:rPr>
          <w:lang w:val="es-ES_tradnl"/>
        </w:rPr>
      </w:pPr>
      <w:r w:rsidRPr="00833104">
        <w:rPr>
          <w:lang w:val="es-ES_tradnl"/>
        </w:rPr>
        <w:t xml:space="preserve">En la actualidad, los sistemas de la Oficina Internacional no realizan la validación completa en WIPO Sequence Validator, ni cuando las listas de secuencias se cargan en el ePCT ni cuando se reciben de las Oficinas receptoras y de las Administraciones internacionales a través de PCT-EDI u otras formas de transmisión; esa validación debe ser realizada por las Oficinas nacionales cuando sea necesario. Además, las actuales directrices e instrucciones administrativas de la Oficina receptora del PCT (Anexo C) no exigen que la Oficina receptora o la Oficina Internacional validen las listas de secuencias. No obstante, la Oficina Internacional está evaluando la versión 3.0.0 de WIPO Sequence Validator para determinar si la validación completa puede efectuarse por medio de ePCT y PATENTSCOPE, ya sea como resultado de una acción rutinaria realizada al recibir una lista de secuencias, o bien a demanda. </w:t>
      </w:r>
    </w:p>
    <w:p w14:paraId="3BFEC629" w14:textId="77777777" w:rsidR="00422E28" w:rsidRPr="00833104" w:rsidRDefault="00422E28" w:rsidP="00422E28">
      <w:pPr>
        <w:pStyle w:val="Heading3"/>
        <w:rPr>
          <w:lang w:val="es-ES_tradnl"/>
        </w:rPr>
      </w:pPr>
      <w:r w:rsidRPr="00833104">
        <w:rPr>
          <w:lang w:val="es-ES_tradnl"/>
        </w:rPr>
        <w:t>Listas de secuencias conforme a la Regla 13</w:t>
      </w:r>
      <w:r w:rsidRPr="00833104">
        <w:rPr>
          <w:i/>
          <w:iCs/>
          <w:lang w:val="es-ES_tradnl"/>
        </w:rPr>
        <w:t>ter</w:t>
      </w:r>
    </w:p>
    <w:p w14:paraId="3804F86C" w14:textId="77777777" w:rsidR="00422E28" w:rsidRPr="00833104" w:rsidRDefault="00422E28" w:rsidP="00833104">
      <w:pPr>
        <w:pStyle w:val="ONUMFS"/>
        <w:spacing w:after="120"/>
        <w:rPr>
          <w:lang w:val="es-ES_tradnl"/>
        </w:rPr>
      </w:pPr>
      <w:r w:rsidRPr="00833104">
        <w:rPr>
          <w:lang w:val="es-ES_tradnl"/>
        </w:rPr>
        <w:t>El uso de la Regla 13</w:t>
      </w:r>
      <w:r w:rsidRPr="00833104">
        <w:rPr>
          <w:i/>
          <w:iCs/>
          <w:lang w:val="es-ES_tradnl"/>
        </w:rPr>
        <w:t>ter</w:t>
      </w:r>
      <w:r w:rsidRPr="00833104">
        <w:rPr>
          <w:lang w:val="es-ES_tradnl"/>
        </w:rPr>
        <w:t xml:space="preserve"> para solicitar listas de secuencias a efectos de búsqueda internacional ha disminuido tras la introducción de la Norma ST.26, pero no tanto como se había previsto. Se esperaba que las solicitudes internacionales que divulgaran listas de secuencias lo hicieran conforme a la norma, validadas antes de ser presentadas y consideradas aptas para la búsqueda internacional. No obstante, alrededor del 14 % de las solicitudes internacionales que incluyen una lista de secuencias conllevan una comunicación en virtud de la Regla 13</w:t>
      </w:r>
      <w:r w:rsidRPr="00833104">
        <w:rPr>
          <w:i/>
          <w:iCs/>
          <w:lang w:val="es-ES_tradnl"/>
        </w:rPr>
        <w:t>ter</w:t>
      </w:r>
      <w:r w:rsidRPr="00833104">
        <w:rPr>
          <w:lang w:val="es-ES_tradnl"/>
        </w:rPr>
        <w:t>. Ello incluye:</w:t>
      </w:r>
    </w:p>
    <w:p w14:paraId="31BB25CC" w14:textId="77777777" w:rsidR="00422E28" w:rsidRPr="00833104" w:rsidRDefault="00422E28" w:rsidP="00833104">
      <w:pPr>
        <w:pStyle w:val="ONUMFS"/>
        <w:numPr>
          <w:ilvl w:val="1"/>
          <w:numId w:val="6"/>
        </w:numPr>
        <w:spacing w:after="120"/>
        <w:rPr>
          <w:lang w:val="es-ES_tradnl"/>
        </w:rPr>
      </w:pPr>
      <w:r w:rsidRPr="00833104">
        <w:rPr>
          <w:lang w:val="es-ES_tradnl"/>
        </w:rPr>
        <w:t>casos en los que la lista de secuencias incluida en la solicitud internacional se consideró defectuosa, lo que exigió una lista conforme a la norma para la búsqueda; y</w:t>
      </w:r>
    </w:p>
    <w:p w14:paraId="73A5BF6C" w14:textId="77777777" w:rsidR="00422E28" w:rsidRPr="00833104" w:rsidRDefault="00422E28" w:rsidP="00422E28">
      <w:pPr>
        <w:pStyle w:val="ONUMFS"/>
        <w:numPr>
          <w:ilvl w:val="1"/>
          <w:numId w:val="6"/>
        </w:numPr>
        <w:rPr>
          <w:lang w:val="es-ES_tradnl"/>
        </w:rPr>
      </w:pPr>
      <w:r w:rsidRPr="00833104">
        <w:rPr>
          <w:lang w:val="es-ES_tradnl"/>
        </w:rPr>
        <w:t xml:space="preserve">casos en los que en un principio no se presentó ninguna lista, pero la solicitud internacional reveló secuencias que deberían haberse incluido en una lista. </w:t>
      </w:r>
    </w:p>
    <w:p w14:paraId="38AD9AE8" w14:textId="77777777" w:rsidR="00422E28" w:rsidRPr="00833104" w:rsidRDefault="00422E28" w:rsidP="00833104">
      <w:pPr>
        <w:pStyle w:val="ONUMFS"/>
        <w:spacing w:after="120"/>
        <w:rPr>
          <w:lang w:val="es-ES_tradnl"/>
        </w:rPr>
      </w:pPr>
      <w:r w:rsidRPr="00833104">
        <w:rPr>
          <w:lang w:val="es-ES_tradnl"/>
        </w:rPr>
        <w:lastRenderedPageBreak/>
        <w:t>En el cuadro 1 figura una instantánea tomada a finales de diciembre de 2024 del número de solicitudes internacionales presentadas a partir del 1 de julio de 2022 respecto de las cuales la Oficina Internacional había recibido algún tipo de lista de secuencias, desglosada por Oficina receptora. Las columnas segunda a cuarta muestran:</w:t>
      </w:r>
    </w:p>
    <w:p w14:paraId="771C75BE" w14:textId="77777777" w:rsidR="00422E28" w:rsidRPr="00833104" w:rsidRDefault="00422E28" w:rsidP="00833104">
      <w:pPr>
        <w:pStyle w:val="ONUMFS"/>
        <w:numPr>
          <w:ilvl w:val="1"/>
          <w:numId w:val="6"/>
        </w:numPr>
        <w:spacing w:after="120"/>
        <w:rPr>
          <w:lang w:val="es-ES_tradnl"/>
        </w:rPr>
      </w:pPr>
      <w:r w:rsidRPr="00833104">
        <w:rPr>
          <w:lang w:val="es-ES_tradnl"/>
        </w:rPr>
        <w:t>el número de solicitudes internacionales con cualquier tipo de lista de secuencias;</w:t>
      </w:r>
    </w:p>
    <w:p w14:paraId="19DDF475" w14:textId="77777777" w:rsidR="00422E28" w:rsidRPr="00833104" w:rsidRDefault="00422E28" w:rsidP="00833104">
      <w:pPr>
        <w:pStyle w:val="ONUMFS"/>
        <w:numPr>
          <w:ilvl w:val="1"/>
          <w:numId w:val="6"/>
        </w:numPr>
        <w:spacing w:after="120"/>
        <w:rPr>
          <w:lang w:val="es-ES_tradnl"/>
        </w:rPr>
      </w:pPr>
      <w:r w:rsidRPr="00833104">
        <w:rPr>
          <w:lang w:val="es-ES_tradnl"/>
        </w:rPr>
        <w:t>el número de solicitudes internacionales con una lista de secuencias en virtud de la Regla 13</w:t>
      </w:r>
      <w:r w:rsidRPr="00833104">
        <w:rPr>
          <w:i/>
          <w:iCs/>
          <w:lang w:val="es-ES_tradnl"/>
        </w:rPr>
        <w:t>ter</w:t>
      </w:r>
      <w:r w:rsidRPr="00833104">
        <w:rPr>
          <w:lang w:val="es-ES_tradnl"/>
        </w:rPr>
        <w:t>, además de la lista que figuraba en la solicitud internacional; y</w:t>
      </w:r>
    </w:p>
    <w:p w14:paraId="72F7FED9" w14:textId="77777777" w:rsidR="00422E28" w:rsidRPr="00833104" w:rsidRDefault="00422E28" w:rsidP="00422E28">
      <w:pPr>
        <w:pStyle w:val="ONUMFS"/>
        <w:numPr>
          <w:ilvl w:val="1"/>
          <w:numId w:val="6"/>
        </w:numPr>
        <w:spacing w:after="240"/>
        <w:rPr>
          <w:lang w:val="es-ES_tradnl"/>
        </w:rPr>
      </w:pPr>
      <w:r w:rsidRPr="00833104">
        <w:rPr>
          <w:lang w:val="es-ES_tradnl"/>
        </w:rPr>
        <w:t>el número de solicitudes internacionales con una lista de secuencias en virtud de la Regla 13</w:t>
      </w:r>
      <w:r w:rsidRPr="00833104">
        <w:rPr>
          <w:i/>
          <w:iCs/>
          <w:lang w:val="es-ES_tradnl"/>
        </w:rPr>
        <w:t>ter</w:t>
      </w:r>
      <w:r w:rsidRPr="00833104">
        <w:rPr>
          <w:lang w:val="es-ES_tradnl"/>
        </w:rPr>
        <w:t xml:space="preserve"> en las que la solicitud internacional no contenía ninguna lista de secuencias.</w:t>
      </w:r>
    </w:p>
    <w:p w14:paraId="2EF8BC93" w14:textId="77777777" w:rsidR="00422E28" w:rsidRPr="00833104" w:rsidRDefault="00422E28" w:rsidP="00422E28">
      <w:pPr>
        <w:spacing w:after="120"/>
        <w:rPr>
          <w:i/>
          <w:iCs/>
          <w:lang w:val="es-ES_tradnl"/>
        </w:rPr>
      </w:pPr>
      <w:r w:rsidRPr="00833104">
        <w:rPr>
          <w:i/>
          <w:lang w:val="es-ES_tradnl"/>
        </w:rPr>
        <w:t>Cuadro 1: Número de solicitudes internacionales con listas de secuencias por Oficina receptora</w:t>
      </w:r>
    </w:p>
    <w:tbl>
      <w:tblPr>
        <w:tblStyle w:val="TableGrid"/>
        <w:tblW w:w="0" w:type="auto"/>
        <w:tblLook w:val="04A0" w:firstRow="1" w:lastRow="0" w:firstColumn="1" w:lastColumn="0" w:noHBand="0" w:noVBand="1"/>
      </w:tblPr>
      <w:tblGrid>
        <w:gridCol w:w="1256"/>
        <w:gridCol w:w="1291"/>
        <w:gridCol w:w="2835"/>
        <w:gridCol w:w="2977"/>
      </w:tblGrid>
      <w:tr w:rsidR="00422E28" w:rsidRPr="00833104" w14:paraId="54EAD420" w14:textId="77777777" w:rsidTr="00DE3D73">
        <w:trPr>
          <w:trHeight w:val="288"/>
          <w:tblHeader/>
        </w:trPr>
        <w:tc>
          <w:tcPr>
            <w:tcW w:w="1256" w:type="dxa"/>
            <w:noWrap/>
          </w:tcPr>
          <w:p w14:paraId="1767230E" w14:textId="77777777" w:rsidR="00422E28" w:rsidRPr="00833104" w:rsidRDefault="00422E28" w:rsidP="00DE3D73">
            <w:pPr>
              <w:jc w:val="center"/>
              <w:rPr>
                <w:b/>
                <w:bCs/>
                <w:color w:val="000000"/>
                <w:szCs w:val="22"/>
                <w:lang w:val="es-ES_tradnl"/>
              </w:rPr>
            </w:pPr>
            <w:r w:rsidRPr="00833104">
              <w:rPr>
                <w:b/>
                <w:color w:val="000000"/>
                <w:lang w:val="es-ES_tradnl"/>
              </w:rPr>
              <w:t>Oficina receptora</w:t>
            </w:r>
          </w:p>
        </w:tc>
        <w:tc>
          <w:tcPr>
            <w:tcW w:w="1291" w:type="dxa"/>
            <w:noWrap/>
          </w:tcPr>
          <w:p w14:paraId="6AB886C8" w14:textId="77777777" w:rsidR="00422E28" w:rsidRPr="00833104" w:rsidRDefault="00422E28" w:rsidP="00DE3D73">
            <w:pPr>
              <w:jc w:val="center"/>
              <w:rPr>
                <w:b/>
                <w:bCs/>
                <w:color w:val="000000"/>
                <w:szCs w:val="22"/>
                <w:lang w:val="es-ES_tradnl"/>
              </w:rPr>
            </w:pPr>
            <w:r w:rsidRPr="00833104">
              <w:rPr>
                <w:b/>
                <w:color w:val="000000"/>
                <w:lang w:val="es-ES_tradnl"/>
              </w:rPr>
              <w:t>Total con listas</w:t>
            </w:r>
          </w:p>
        </w:tc>
        <w:tc>
          <w:tcPr>
            <w:tcW w:w="2835" w:type="dxa"/>
            <w:noWrap/>
          </w:tcPr>
          <w:p w14:paraId="4417976C" w14:textId="77777777" w:rsidR="00422E28" w:rsidRPr="00833104" w:rsidRDefault="00422E28" w:rsidP="00DE3D73">
            <w:pPr>
              <w:jc w:val="center"/>
              <w:rPr>
                <w:b/>
                <w:bCs/>
                <w:color w:val="000000"/>
                <w:szCs w:val="22"/>
                <w:lang w:val="es-ES_tradnl"/>
              </w:rPr>
            </w:pPr>
            <w:r w:rsidRPr="00833104">
              <w:rPr>
                <w:b/>
                <w:color w:val="000000"/>
                <w:lang w:val="es-ES_tradnl"/>
              </w:rPr>
              <w:t>Regla 13</w:t>
            </w:r>
            <w:r w:rsidRPr="00833104">
              <w:rPr>
                <w:b/>
                <w:i/>
                <w:iCs/>
                <w:color w:val="000000"/>
                <w:lang w:val="es-ES_tradnl"/>
              </w:rPr>
              <w:t>ter</w:t>
            </w:r>
            <w:r w:rsidRPr="00833104">
              <w:rPr>
                <w:b/>
                <w:color w:val="000000"/>
                <w:lang w:val="es-ES_tradnl"/>
              </w:rPr>
              <w:t xml:space="preserve"> además de la lista presentada en la solicitud internacional</w:t>
            </w:r>
          </w:p>
        </w:tc>
        <w:tc>
          <w:tcPr>
            <w:tcW w:w="2977" w:type="dxa"/>
            <w:noWrap/>
          </w:tcPr>
          <w:p w14:paraId="5818F23C" w14:textId="77777777" w:rsidR="00422E28" w:rsidRPr="00833104" w:rsidRDefault="00422E28" w:rsidP="00DE3D73">
            <w:pPr>
              <w:jc w:val="center"/>
              <w:rPr>
                <w:b/>
                <w:bCs/>
                <w:color w:val="000000"/>
                <w:szCs w:val="22"/>
                <w:lang w:val="es-ES_tradnl"/>
              </w:rPr>
            </w:pPr>
            <w:r w:rsidRPr="00833104">
              <w:rPr>
                <w:b/>
                <w:color w:val="000000"/>
                <w:lang w:val="es-ES_tradnl"/>
              </w:rPr>
              <w:t>Regla 13</w:t>
            </w:r>
            <w:r w:rsidRPr="00833104">
              <w:rPr>
                <w:b/>
                <w:i/>
                <w:iCs/>
                <w:color w:val="000000"/>
                <w:lang w:val="es-ES_tradnl"/>
              </w:rPr>
              <w:t>ter</w:t>
            </w:r>
            <w:r w:rsidRPr="00833104">
              <w:rPr>
                <w:b/>
                <w:color w:val="000000"/>
                <w:lang w:val="es-ES_tradnl"/>
              </w:rPr>
              <w:t xml:space="preserve"> presentada </w:t>
            </w:r>
          </w:p>
          <w:p w14:paraId="5011C622" w14:textId="77777777" w:rsidR="00422E28" w:rsidRPr="00833104" w:rsidRDefault="00422E28" w:rsidP="00DE3D73">
            <w:pPr>
              <w:jc w:val="center"/>
              <w:rPr>
                <w:b/>
                <w:bCs/>
                <w:color w:val="000000"/>
                <w:szCs w:val="22"/>
                <w:lang w:val="es-ES_tradnl"/>
              </w:rPr>
            </w:pPr>
            <w:r w:rsidRPr="00833104">
              <w:rPr>
                <w:b/>
                <w:color w:val="000000"/>
                <w:lang w:val="es-ES_tradnl"/>
              </w:rPr>
              <w:t>posteriormente</w:t>
            </w:r>
          </w:p>
        </w:tc>
      </w:tr>
      <w:tr w:rsidR="00422E28" w:rsidRPr="00833104" w14:paraId="416F6A95" w14:textId="77777777" w:rsidTr="00DE3D73">
        <w:trPr>
          <w:trHeight w:val="288"/>
        </w:trPr>
        <w:tc>
          <w:tcPr>
            <w:tcW w:w="1256" w:type="dxa"/>
            <w:noWrap/>
            <w:hideMark/>
          </w:tcPr>
          <w:p w14:paraId="4FD8BE4B" w14:textId="77777777" w:rsidR="00422E28" w:rsidRPr="00833104" w:rsidRDefault="00422E28" w:rsidP="00DE3D73">
            <w:pPr>
              <w:jc w:val="center"/>
              <w:rPr>
                <w:color w:val="000000"/>
                <w:szCs w:val="22"/>
                <w:lang w:val="es-ES_tradnl"/>
              </w:rPr>
            </w:pPr>
            <w:r w:rsidRPr="00833104">
              <w:rPr>
                <w:color w:val="000000"/>
                <w:lang w:val="es-ES_tradnl"/>
              </w:rPr>
              <w:t>AU</w:t>
            </w:r>
          </w:p>
        </w:tc>
        <w:tc>
          <w:tcPr>
            <w:tcW w:w="1291" w:type="dxa"/>
            <w:noWrap/>
            <w:hideMark/>
          </w:tcPr>
          <w:p w14:paraId="490927F3" w14:textId="77777777" w:rsidR="00422E28" w:rsidRPr="00833104" w:rsidRDefault="00422E28" w:rsidP="00DE3D73">
            <w:pPr>
              <w:jc w:val="right"/>
              <w:rPr>
                <w:color w:val="000000"/>
                <w:szCs w:val="22"/>
                <w:lang w:val="es-ES_tradnl"/>
              </w:rPr>
            </w:pPr>
            <w:r w:rsidRPr="00833104">
              <w:rPr>
                <w:color w:val="000000"/>
                <w:lang w:val="es-ES_tradnl"/>
              </w:rPr>
              <w:t>289</w:t>
            </w:r>
          </w:p>
        </w:tc>
        <w:tc>
          <w:tcPr>
            <w:tcW w:w="2835" w:type="dxa"/>
            <w:noWrap/>
            <w:hideMark/>
          </w:tcPr>
          <w:p w14:paraId="7F4E73E9" w14:textId="77777777" w:rsidR="00422E28" w:rsidRPr="00833104" w:rsidRDefault="00422E28" w:rsidP="00DE3D73">
            <w:pPr>
              <w:jc w:val="right"/>
              <w:rPr>
                <w:color w:val="000000"/>
                <w:szCs w:val="22"/>
                <w:lang w:val="es-ES_tradnl"/>
              </w:rPr>
            </w:pPr>
          </w:p>
        </w:tc>
        <w:tc>
          <w:tcPr>
            <w:tcW w:w="2977" w:type="dxa"/>
            <w:noWrap/>
            <w:hideMark/>
          </w:tcPr>
          <w:p w14:paraId="7FC19B4A" w14:textId="77777777" w:rsidR="00422E28" w:rsidRPr="00833104" w:rsidRDefault="00422E28" w:rsidP="00DE3D73">
            <w:pPr>
              <w:jc w:val="right"/>
              <w:rPr>
                <w:color w:val="000000"/>
                <w:szCs w:val="22"/>
                <w:lang w:val="es-ES_tradnl"/>
              </w:rPr>
            </w:pPr>
            <w:r w:rsidRPr="00833104">
              <w:rPr>
                <w:color w:val="000000"/>
                <w:lang w:val="es-ES_tradnl"/>
              </w:rPr>
              <w:t>13</w:t>
            </w:r>
          </w:p>
        </w:tc>
      </w:tr>
      <w:tr w:rsidR="00422E28" w:rsidRPr="00833104" w14:paraId="38022521" w14:textId="77777777" w:rsidTr="00DE3D73">
        <w:trPr>
          <w:trHeight w:val="288"/>
        </w:trPr>
        <w:tc>
          <w:tcPr>
            <w:tcW w:w="1256" w:type="dxa"/>
            <w:noWrap/>
            <w:hideMark/>
          </w:tcPr>
          <w:p w14:paraId="6A58A3FA" w14:textId="77777777" w:rsidR="00422E28" w:rsidRPr="00833104" w:rsidRDefault="00422E28" w:rsidP="00DE3D73">
            <w:pPr>
              <w:jc w:val="center"/>
              <w:rPr>
                <w:color w:val="000000"/>
                <w:szCs w:val="22"/>
                <w:lang w:val="es-ES_tradnl"/>
              </w:rPr>
            </w:pPr>
            <w:r w:rsidRPr="00833104">
              <w:rPr>
                <w:color w:val="000000"/>
                <w:lang w:val="es-ES_tradnl"/>
              </w:rPr>
              <w:t>BR</w:t>
            </w:r>
          </w:p>
        </w:tc>
        <w:tc>
          <w:tcPr>
            <w:tcW w:w="1291" w:type="dxa"/>
            <w:noWrap/>
            <w:hideMark/>
          </w:tcPr>
          <w:p w14:paraId="6597A375" w14:textId="77777777" w:rsidR="00422E28" w:rsidRPr="00833104" w:rsidRDefault="00422E28" w:rsidP="00DE3D73">
            <w:pPr>
              <w:jc w:val="right"/>
              <w:rPr>
                <w:color w:val="000000"/>
                <w:szCs w:val="22"/>
                <w:lang w:val="es-ES_tradnl"/>
              </w:rPr>
            </w:pPr>
            <w:r w:rsidRPr="00833104">
              <w:rPr>
                <w:color w:val="000000"/>
                <w:lang w:val="es-ES_tradnl"/>
              </w:rPr>
              <w:t>46</w:t>
            </w:r>
          </w:p>
        </w:tc>
        <w:tc>
          <w:tcPr>
            <w:tcW w:w="2835" w:type="dxa"/>
            <w:noWrap/>
            <w:hideMark/>
          </w:tcPr>
          <w:p w14:paraId="0566A017" w14:textId="77777777" w:rsidR="00422E28" w:rsidRPr="00833104" w:rsidRDefault="00422E28" w:rsidP="00DE3D73">
            <w:pPr>
              <w:jc w:val="right"/>
              <w:rPr>
                <w:color w:val="000000"/>
                <w:szCs w:val="22"/>
                <w:lang w:val="es-ES_tradnl"/>
              </w:rPr>
            </w:pPr>
          </w:p>
        </w:tc>
        <w:tc>
          <w:tcPr>
            <w:tcW w:w="2977" w:type="dxa"/>
            <w:noWrap/>
            <w:hideMark/>
          </w:tcPr>
          <w:p w14:paraId="4D184B00" w14:textId="77777777" w:rsidR="00422E28" w:rsidRPr="00833104" w:rsidRDefault="00422E28" w:rsidP="00DE3D73">
            <w:pPr>
              <w:jc w:val="right"/>
              <w:rPr>
                <w:color w:val="000000"/>
                <w:szCs w:val="22"/>
                <w:lang w:val="es-ES_tradnl"/>
              </w:rPr>
            </w:pPr>
            <w:r w:rsidRPr="00833104">
              <w:rPr>
                <w:color w:val="000000"/>
                <w:lang w:val="es-ES_tradnl"/>
              </w:rPr>
              <w:t>1</w:t>
            </w:r>
          </w:p>
        </w:tc>
      </w:tr>
      <w:tr w:rsidR="00422E28" w:rsidRPr="00833104" w14:paraId="1C2FB4B5" w14:textId="77777777" w:rsidTr="00DE3D73">
        <w:trPr>
          <w:trHeight w:val="288"/>
        </w:trPr>
        <w:tc>
          <w:tcPr>
            <w:tcW w:w="1256" w:type="dxa"/>
            <w:noWrap/>
            <w:hideMark/>
          </w:tcPr>
          <w:p w14:paraId="45572C91" w14:textId="77777777" w:rsidR="00422E28" w:rsidRPr="00833104" w:rsidRDefault="00422E28" w:rsidP="00DE3D73">
            <w:pPr>
              <w:jc w:val="center"/>
              <w:rPr>
                <w:color w:val="000000"/>
                <w:szCs w:val="22"/>
                <w:lang w:val="es-ES_tradnl"/>
              </w:rPr>
            </w:pPr>
            <w:r w:rsidRPr="00833104">
              <w:rPr>
                <w:color w:val="000000"/>
                <w:lang w:val="es-ES_tradnl"/>
              </w:rPr>
              <w:t>CA</w:t>
            </w:r>
          </w:p>
        </w:tc>
        <w:tc>
          <w:tcPr>
            <w:tcW w:w="1291" w:type="dxa"/>
            <w:noWrap/>
            <w:hideMark/>
          </w:tcPr>
          <w:p w14:paraId="3C559EC0" w14:textId="77777777" w:rsidR="00422E28" w:rsidRPr="00833104" w:rsidRDefault="00422E28" w:rsidP="00DE3D73">
            <w:pPr>
              <w:jc w:val="right"/>
              <w:rPr>
                <w:color w:val="000000"/>
                <w:szCs w:val="22"/>
                <w:lang w:val="es-ES_tradnl"/>
              </w:rPr>
            </w:pPr>
            <w:r w:rsidRPr="00833104">
              <w:rPr>
                <w:color w:val="000000"/>
                <w:lang w:val="es-ES_tradnl"/>
              </w:rPr>
              <w:t>281</w:t>
            </w:r>
          </w:p>
        </w:tc>
        <w:tc>
          <w:tcPr>
            <w:tcW w:w="2835" w:type="dxa"/>
            <w:noWrap/>
            <w:hideMark/>
          </w:tcPr>
          <w:p w14:paraId="3BB8110E" w14:textId="77777777" w:rsidR="00422E28" w:rsidRPr="00833104" w:rsidRDefault="00422E28" w:rsidP="00DE3D73">
            <w:pPr>
              <w:jc w:val="right"/>
              <w:rPr>
                <w:color w:val="000000"/>
                <w:szCs w:val="22"/>
                <w:lang w:val="es-ES_tradnl"/>
              </w:rPr>
            </w:pPr>
            <w:r w:rsidRPr="00833104">
              <w:rPr>
                <w:color w:val="000000"/>
                <w:lang w:val="es-ES_tradnl"/>
              </w:rPr>
              <w:t>5</w:t>
            </w:r>
          </w:p>
        </w:tc>
        <w:tc>
          <w:tcPr>
            <w:tcW w:w="2977" w:type="dxa"/>
            <w:noWrap/>
            <w:hideMark/>
          </w:tcPr>
          <w:p w14:paraId="1F730FBE" w14:textId="77777777" w:rsidR="00422E28" w:rsidRPr="00833104" w:rsidRDefault="00422E28" w:rsidP="00DE3D73">
            <w:pPr>
              <w:jc w:val="right"/>
              <w:rPr>
                <w:color w:val="000000"/>
                <w:szCs w:val="22"/>
                <w:lang w:val="es-ES_tradnl"/>
              </w:rPr>
            </w:pPr>
            <w:r w:rsidRPr="00833104">
              <w:rPr>
                <w:color w:val="000000"/>
                <w:lang w:val="es-ES_tradnl"/>
              </w:rPr>
              <w:t>33</w:t>
            </w:r>
          </w:p>
        </w:tc>
      </w:tr>
      <w:tr w:rsidR="00422E28" w:rsidRPr="00833104" w14:paraId="60A09507" w14:textId="77777777" w:rsidTr="00DE3D73">
        <w:trPr>
          <w:trHeight w:val="288"/>
        </w:trPr>
        <w:tc>
          <w:tcPr>
            <w:tcW w:w="1256" w:type="dxa"/>
            <w:noWrap/>
            <w:hideMark/>
          </w:tcPr>
          <w:p w14:paraId="6D343E92" w14:textId="77777777" w:rsidR="00422E28" w:rsidRPr="00833104" w:rsidRDefault="00422E28" w:rsidP="00DE3D73">
            <w:pPr>
              <w:jc w:val="center"/>
              <w:rPr>
                <w:color w:val="000000"/>
                <w:szCs w:val="22"/>
                <w:lang w:val="es-ES_tradnl"/>
              </w:rPr>
            </w:pPr>
            <w:r w:rsidRPr="00833104">
              <w:rPr>
                <w:color w:val="000000"/>
                <w:lang w:val="es-ES_tradnl"/>
              </w:rPr>
              <w:t>CL</w:t>
            </w:r>
          </w:p>
        </w:tc>
        <w:tc>
          <w:tcPr>
            <w:tcW w:w="1291" w:type="dxa"/>
            <w:noWrap/>
            <w:hideMark/>
          </w:tcPr>
          <w:p w14:paraId="0851576F" w14:textId="77777777" w:rsidR="00422E28" w:rsidRPr="00833104" w:rsidRDefault="00422E28" w:rsidP="00DE3D73">
            <w:pPr>
              <w:jc w:val="right"/>
              <w:rPr>
                <w:color w:val="000000"/>
                <w:szCs w:val="22"/>
                <w:lang w:val="es-ES_tradnl"/>
              </w:rPr>
            </w:pPr>
            <w:r w:rsidRPr="00833104">
              <w:rPr>
                <w:color w:val="000000"/>
                <w:lang w:val="es-ES_tradnl"/>
              </w:rPr>
              <w:t>6</w:t>
            </w:r>
          </w:p>
        </w:tc>
        <w:tc>
          <w:tcPr>
            <w:tcW w:w="2835" w:type="dxa"/>
            <w:noWrap/>
            <w:hideMark/>
          </w:tcPr>
          <w:p w14:paraId="3394027C" w14:textId="77777777" w:rsidR="00422E28" w:rsidRPr="00833104" w:rsidRDefault="00422E28" w:rsidP="00DE3D73">
            <w:pPr>
              <w:jc w:val="right"/>
              <w:rPr>
                <w:color w:val="000000"/>
                <w:szCs w:val="22"/>
                <w:lang w:val="es-ES_tradnl"/>
              </w:rPr>
            </w:pPr>
          </w:p>
        </w:tc>
        <w:tc>
          <w:tcPr>
            <w:tcW w:w="2977" w:type="dxa"/>
            <w:noWrap/>
            <w:hideMark/>
          </w:tcPr>
          <w:p w14:paraId="50301B9F" w14:textId="77777777" w:rsidR="00422E28" w:rsidRPr="00833104" w:rsidRDefault="00422E28" w:rsidP="00DE3D73">
            <w:pPr>
              <w:jc w:val="right"/>
              <w:rPr>
                <w:color w:val="000000"/>
                <w:szCs w:val="22"/>
                <w:lang w:val="es-ES_tradnl"/>
              </w:rPr>
            </w:pPr>
          </w:p>
        </w:tc>
      </w:tr>
      <w:tr w:rsidR="00422E28" w:rsidRPr="00833104" w14:paraId="2A559B14" w14:textId="77777777" w:rsidTr="00DE3D73">
        <w:trPr>
          <w:trHeight w:val="288"/>
        </w:trPr>
        <w:tc>
          <w:tcPr>
            <w:tcW w:w="1256" w:type="dxa"/>
            <w:noWrap/>
            <w:hideMark/>
          </w:tcPr>
          <w:p w14:paraId="0B820776" w14:textId="77777777" w:rsidR="00422E28" w:rsidRPr="00833104" w:rsidRDefault="00422E28" w:rsidP="00DE3D73">
            <w:pPr>
              <w:jc w:val="center"/>
              <w:rPr>
                <w:color w:val="000000"/>
                <w:szCs w:val="22"/>
                <w:lang w:val="es-ES_tradnl"/>
              </w:rPr>
            </w:pPr>
            <w:r w:rsidRPr="00833104">
              <w:rPr>
                <w:color w:val="000000"/>
                <w:lang w:val="es-ES_tradnl"/>
              </w:rPr>
              <w:t>CN</w:t>
            </w:r>
          </w:p>
        </w:tc>
        <w:tc>
          <w:tcPr>
            <w:tcW w:w="1291" w:type="dxa"/>
            <w:noWrap/>
            <w:hideMark/>
          </w:tcPr>
          <w:p w14:paraId="1664EC26" w14:textId="77777777" w:rsidR="00422E28" w:rsidRPr="00833104" w:rsidRDefault="00422E28" w:rsidP="00DE3D73">
            <w:pPr>
              <w:jc w:val="right"/>
              <w:rPr>
                <w:color w:val="000000"/>
                <w:szCs w:val="22"/>
                <w:lang w:val="es-ES_tradnl"/>
              </w:rPr>
            </w:pPr>
            <w:r w:rsidRPr="00833104">
              <w:rPr>
                <w:color w:val="000000"/>
                <w:lang w:val="es-ES_tradnl"/>
              </w:rPr>
              <w:t>6 795</w:t>
            </w:r>
          </w:p>
        </w:tc>
        <w:tc>
          <w:tcPr>
            <w:tcW w:w="2835" w:type="dxa"/>
            <w:noWrap/>
            <w:hideMark/>
          </w:tcPr>
          <w:p w14:paraId="38C41CB6" w14:textId="77777777" w:rsidR="00422E28" w:rsidRPr="00833104" w:rsidRDefault="00422E28" w:rsidP="00DE3D73">
            <w:pPr>
              <w:jc w:val="right"/>
              <w:rPr>
                <w:color w:val="000000"/>
                <w:szCs w:val="22"/>
                <w:lang w:val="es-ES_tradnl"/>
              </w:rPr>
            </w:pPr>
            <w:r w:rsidRPr="00833104">
              <w:rPr>
                <w:color w:val="000000"/>
                <w:lang w:val="es-ES_tradnl"/>
              </w:rPr>
              <w:t>7</w:t>
            </w:r>
          </w:p>
        </w:tc>
        <w:tc>
          <w:tcPr>
            <w:tcW w:w="2977" w:type="dxa"/>
            <w:noWrap/>
            <w:hideMark/>
          </w:tcPr>
          <w:p w14:paraId="568E40B7" w14:textId="77777777" w:rsidR="00422E28" w:rsidRPr="00833104" w:rsidRDefault="00422E28" w:rsidP="00DE3D73">
            <w:pPr>
              <w:jc w:val="right"/>
              <w:rPr>
                <w:color w:val="000000"/>
                <w:szCs w:val="22"/>
                <w:lang w:val="es-ES_tradnl"/>
              </w:rPr>
            </w:pPr>
            <w:r w:rsidRPr="00833104">
              <w:rPr>
                <w:color w:val="000000"/>
                <w:lang w:val="es-ES_tradnl"/>
              </w:rPr>
              <w:t>83</w:t>
            </w:r>
          </w:p>
        </w:tc>
      </w:tr>
      <w:tr w:rsidR="00422E28" w:rsidRPr="00833104" w14:paraId="518FEC01" w14:textId="77777777" w:rsidTr="00DE3D73">
        <w:trPr>
          <w:trHeight w:val="288"/>
        </w:trPr>
        <w:tc>
          <w:tcPr>
            <w:tcW w:w="1256" w:type="dxa"/>
            <w:noWrap/>
            <w:hideMark/>
          </w:tcPr>
          <w:p w14:paraId="312B05A4" w14:textId="77777777" w:rsidR="00422E28" w:rsidRPr="00833104" w:rsidRDefault="00422E28" w:rsidP="00DE3D73">
            <w:pPr>
              <w:jc w:val="center"/>
              <w:rPr>
                <w:color w:val="000000"/>
                <w:szCs w:val="22"/>
                <w:lang w:val="es-ES_tradnl"/>
              </w:rPr>
            </w:pPr>
            <w:r w:rsidRPr="00833104">
              <w:rPr>
                <w:color w:val="000000"/>
                <w:lang w:val="es-ES_tradnl"/>
              </w:rPr>
              <w:t>CU</w:t>
            </w:r>
          </w:p>
        </w:tc>
        <w:tc>
          <w:tcPr>
            <w:tcW w:w="1291" w:type="dxa"/>
            <w:noWrap/>
            <w:hideMark/>
          </w:tcPr>
          <w:p w14:paraId="5A8420F8" w14:textId="77777777" w:rsidR="00422E28" w:rsidRPr="00833104" w:rsidRDefault="00422E28" w:rsidP="00DE3D73">
            <w:pPr>
              <w:jc w:val="right"/>
              <w:rPr>
                <w:color w:val="000000"/>
                <w:szCs w:val="22"/>
                <w:lang w:val="es-ES_tradnl"/>
              </w:rPr>
            </w:pPr>
            <w:r w:rsidRPr="00833104">
              <w:rPr>
                <w:color w:val="000000"/>
                <w:lang w:val="es-ES_tradnl"/>
              </w:rPr>
              <w:t>12</w:t>
            </w:r>
          </w:p>
        </w:tc>
        <w:tc>
          <w:tcPr>
            <w:tcW w:w="2835" w:type="dxa"/>
            <w:noWrap/>
            <w:hideMark/>
          </w:tcPr>
          <w:p w14:paraId="19F1B35F" w14:textId="77777777" w:rsidR="00422E28" w:rsidRPr="00833104" w:rsidRDefault="00422E28" w:rsidP="00DE3D73">
            <w:pPr>
              <w:jc w:val="right"/>
              <w:rPr>
                <w:color w:val="000000"/>
                <w:szCs w:val="22"/>
                <w:lang w:val="es-ES_tradnl"/>
              </w:rPr>
            </w:pPr>
            <w:r w:rsidRPr="00833104">
              <w:rPr>
                <w:color w:val="000000"/>
                <w:lang w:val="es-ES_tradnl"/>
              </w:rPr>
              <w:t>9</w:t>
            </w:r>
          </w:p>
        </w:tc>
        <w:tc>
          <w:tcPr>
            <w:tcW w:w="2977" w:type="dxa"/>
            <w:noWrap/>
            <w:hideMark/>
          </w:tcPr>
          <w:p w14:paraId="687AFEDA" w14:textId="77777777" w:rsidR="00422E28" w:rsidRPr="00833104" w:rsidRDefault="00422E28" w:rsidP="00DE3D73">
            <w:pPr>
              <w:jc w:val="right"/>
              <w:rPr>
                <w:color w:val="000000"/>
                <w:szCs w:val="22"/>
                <w:lang w:val="es-ES_tradnl"/>
              </w:rPr>
            </w:pPr>
          </w:p>
        </w:tc>
      </w:tr>
      <w:tr w:rsidR="00422E28" w:rsidRPr="00833104" w14:paraId="3176872C" w14:textId="77777777" w:rsidTr="00DE3D73">
        <w:trPr>
          <w:trHeight w:val="288"/>
        </w:trPr>
        <w:tc>
          <w:tcPr>
            <w:tcW w:w="1256" w:type="dxa"/>
            <w:noWrap/>
            <w:hideMark/>
          </w:tcPr>
          <w:p w14:paraId="195DB10A" w14:textId="77777777" w:rsidR="00422E28" w:rsidRPr="00833104" w:rsidRDefault="00422E28" w:rsidP="00DE3D73">
            <w:pPr>
              <w:jc w:val="center"/>
              <w:rPr>
                <w:color w:val="000000"/>
                <w:szCs w:val="22"/>
                <w:lang w:val="es-ES_tradnl"/>
              </w:rPr>
            </w:pPr>
            <w:r w:rsidRPr="00833104">
              <w:rPr>
                <w:color w:val="000000"/>
                <w:lang w:val="es-ES_tradnl"/>
              </w:rPr>
              <w:t>CZ</w:t>
            </w:r>
          </w:p>
        </w:tc>
        <w:tc>
          <w:tcPr>
            <w:tcW w:w="1291" w:type="dxa"/>
            <w:noWrap/>
            <w:hideMark/>
          </w:tcPr>
          <w:p w14:paraId="3A5D9BD5" w14:textId="77777777" w:rsidR="00422E28" w:rsidRPr="00833104" w:rsidRDefault="00422E28" w:rsidP="00DE3D73">
            <w:pPr>
              <w:jc w:val="right"/>
              <w:rPr>
                <w:color w:val="000000"/>
                <w:szCs w:val="22"/>
                <w:lang w:val="es-ES_tradnl"/>
              </w:rPr>
            </w:pPr>
            <w:r w:rsidRPr="00833104">
              <w:rPr>
                <w:color w:val="000000"/>
                <w:lang w:val="es-ES_tradnl"/>
              </w:rPr>
              <w:t>28</w:t>
            </w:r>
          </w:p>
        </w:tc>
        <w:tc>
          <w:tcPr>
            <w:tcW w:w="2835" w:type="dxa"/>
            <w:noWrap/>
            <w:hideMark/>
          </w:tcPr>
          <w:p w14:paraId="343013FF" w14:textId="77777777" w:rsidR="00422E28" w:rsidRPr="00833104" w:rsidRDefault="00422E28" w:rsidP="00DE3D73">
            <w:pPr>
              <w:jc w:val="right"/>
              <w:rPr>
                <w:color w:val="000000"/>
                <w:szCs w:val="22"/>
                <w:lang w:val="es-ES_tradnl"/>
              </w:rPr>
            </w:pPr>
          </w:p>
        </w:tc>
        <w:tc>
          <w:tcPr>
            <w:tcW w:w="2977" w:type="dxa"/>
            <w:noWrap/>
            <w:hideMark/>
          </w:tcPr>
          <w:p w14:paraId="337BDA68" w14:textId="77777777" w:rsidR="00422E28" w:rsidRPr="00833104" w:rsidRDefault="00422E28" w:rsidP="00DE3D73">
            <w:pPr>
              <w:jc w:val="right"/>
              <w:rPr>
                <w:color w:val="000000"/>
                <w:szCs w:val="22"/>
                <w:lang w:val="es-ES_tradnl"/>
              </w:rPr>
            </w:pPr>
            <w:r w:rsidRPr="00833104">
              <w:rPr>
                <w:color w:val="000000"/>
                <w:lang w:val="es-ES_tradnl"/>
              </w:rPr>
              <w:t>4</w:t>
            </w:r>
          </w:p>
        </w:tc>
      </w:tr>
      <w:tr w:rsidR="00422E28" w:rsidRPr="00833104" w14:paraId="2AF0173B" w14:textId="77777777" w:rsidTr="00DE3D73">
        <w:trPr>
          <w:trHeight w:val="288"/>
        </w:trPr>
        <w:tc>
          <w:tcPr>
            <w:tcW w:w="1256" w:type="dxa"/>
            <w:noWrap/>
            <w:hideMark/>
          </w:tcPr>
          <w:p w14:paraId="2B2C7016" w14:textId="77777777" w:rsidR="00422E28" w:rsidRPr="00833104" w:rsidRDefault="00422E28" w:rsidP="00DE3D73">
            <w:pPr>
              <w:jc w:val="center"/>
              <w:rPr>
                <w:color w:val="000000"/>
                <w:szCs w:val="22"/>
                <w:lang w:val="es-ES_tradnl"/>
              </w:rPr>
            </w:pPr>
            <w:r w:rsidRPr="00833104">
              <w:rPr>
                <w:color w:val="000000"/>
                <w:lang w:val="es-ES_tradnl"/>
              </w:rPr>
              <w:t>DE</w:t>
            </w:r>
          </w:p>
        </w:tc>
        <w:tc>
          <w:tcPr>
            <w:tcW w:w="1291" w:type="dxa"/>
            <w:noWrap/>
            <w:hideMark/>
          </w:tcPr>
          <w:p w14:paraId="62D4D24F" w14:textId="77777777" w:rsidR="00422E28" w:rsidRPr="00833104" w:rsidRDefault="00422E28" w:rsidP="00DE3D73">
            <w:pPr>
              <w:jc w:val="right"/>
              <w:rPr>
                <w:color w:val="000000"/>
                <w:szCs w:val="22"/>
                <w:lang w:val="es-ES_tradnl"/>
              </w:rPr>
            </w:pPr>
            <w:r w:rsidRPr="00833104">
              <w:rPr>
                <w:color w:val="000000"/>
                <w:lang w:val="es-ES_tradnl"/>
              </w:rPr>
              <w:t>10</w:t>
            </w:r>
          </w:p>
        </w:tc>
        <w:tc>
          <w:tcPr>
            <w:tcW w:w="2835" w:type="dxa"/>
            <w:noWrap/>
            <w:hideMark/>
          </w:tcPr>
          <w:p w14:paraId="19950422" w14:textId="77777777" w:rsidR="00422E28" w:rsidRPr="00833104" w:rsidRDefault="00422E28" w:rsidP="00DE3D73">
            <w:pPr>
              <w:jc w:val="right"/>
              <w:rPr>
                <w:color w:val="000000"/>
                <w:szCs w:val="22"/>
                <w:lang w:val="es-ES_tradnl"/>
              </w:rPr>
            </w:pPr>
          </w:p>
        </w:tc>
        <w:tc>
          <w:tcPr>
            <w:tcW w:w="2977" w:type="dxa"/>
            <w:noWrap/>
            <w:hideMark/>
          </w:tcPr>
          <w:p w14:paraId="04CC4141" w14:textId="77777777" w:rsidR="00422E28" w:rsidRPr="00833104" w:rsidRDefault="00422E28" w:rsidP="00DE3D73">
            <w:pPr>
              <w:jc w:val="right"/>
              <w:rPr>
                <w:color w:val="000000"/>
                <w:szCs w:val="22"/>
                <w:lang w:val="es-ES_tradnl"/>
              </w:rPr>
            </w:pPr>
          </w:p>
        </w:tc>
      </w:tr>
      <w:tr w:rsidR="00422E28" w:rsidRPr="00833104" w14:paraId="534FC6F5" w14:textId="77777777" w:rsidTr="00DE3D73">
        <w:trPr>
          <w:trHeight w:val="288"/>
        </w:trPr>
        <w:tc>
          <w:tcPr>
            <w:tcW w:w="1256" w:type="dxa"/>
            <w:noWrap/>
            <w:hideMark/>
          </w:tcPr>
          <w:p w14:paraId="57B80A40" w14:textId="77777777" w:rsidR="00422E28" w:rsidRPr="00833104" w:rsidRDefault="00422E28" w:rsidP="00DE3D73">
            <w:pPr>
              <w:jc w:val="center"/>
              <w:rPr>
                <w:color w:val="000000"/>
                <w:szCs w:val="22"/>
                <w:lang w:val="es-ES_tradnl"/>
              </w:rPr>
            </w:pPr>
            <w:r w:rsidRPr="00833104">
              <w:rPr>
                <w:color w:val="000000"/>
                <w:lang w:val="es-ES_tradnl"/>
              </w:rPr>
              <w:t>DK</w:t>
            </w:r>
          </w:p>
        </w:tc>
        <w:tc>
          <w:tcPr>
            <w:tcW w:w="1291" w:type="dxa"/>
            <w:noWrap/>
            <w:hideMark/>
          </w:tcPr>
          <w:p w14:paraId="4A6E0E98" w14:textId="77777777" w:rsidR="00422E28" w:rsidRPr="00833104" w:rsidRDefault="00422E28" w:rsidP="00DE3D73">
            <w:pPr>
              <w:jc w:val="right"/>
              <w:rPr>
                <w:color w:val="000000"/>
                <w:szCs w:val="22"/>
                <w:lang w:val="es-ES_tradnl"/>
              </w:rPr>
            </w:pPr>
            <w:r w:rsidRPr="00833104">
              <w:rPr>
                <w:color w:val="000000"/>
                <w:lang w:val="es-ES_tradnl"/>
              </w:rPr>
              <w:t>7</w:t>
            </w:r>
          </w:p>
        </w:tc>
        <w:tc>
          <w:tcPr>
            <w:tcW w:w="2835" w:type="dxa"/>
            <w:noWrap/>
            <w:hideMark/>
          </w:tcPr>
          <w:p w14:paraId="7B32B2C9" w14:textId="77777777" w:rsidR="00422E28" w:rsidRPr="00833104" w:rsidRDefault="00422E28" w:rsidP="00DE3D73">
            <w:pPr>
              <w:jc w:val="right"/>
              <w:rPr>
                <w:color w:val="000000"/>
                <w:szCs w:val="22"/>
                <w:lang w:val="es-ES_tradnl"/>
              </w:rPr>
            </w:pPr>
          </w:p>
        </w:tc>
        <w:tc>
          <w:tcPr>
            <w:tcW w:w="2977" w:type="dxa"/>
            <w:noWrap/>
            <w:hideMark/>
          </w:tcPr>
          <w:p w14:paraId="6301B37E" w14:textId="77777777" w:rsidR="00422E28" w:rsidRPr="00833104" w:rsidRDefault="00422E28" w:rsidP="00DE3D73">
            <w:pPr>
              <w:jc w:val="right"/>
              <w:rPr>
                <w:color w:val="000000"/>
                <w:szCs w:val="22"/>
                <w:lang w:val="es-ES_tradnl"/>
              </w:rPr>
            </w:pPr>
            <w:r w:rsidRPr="00833104">
              <w:rPr>
                <w:color w:val="000000"/>
                <w:lang w:val="es-ES_tradnl"/>
              </w:rPr>
              <w:t>1</w:t>
            </w:r>
          </w:p>
        </w:tc>
      </w:tr>
      <w:tr w:rsidR="00422E28" w:rsidRPr="00833104" w14:paraId="1BFF94EE" w14:textId="77777777" w:rsidTr="00DE3D73">
        <w:trPr>
          <w:trHeight w:val="288"/>
        </w:trPr>
        <w:tc>
          <w:tcPr>
            <w:tcW w:w="1256" w:type="dxa"/>
            <w:noWrap/>
            <w:hideMark/>
          </w:tcPr>
          <w:p w14:paraId="36908B35" w14:textId="77777777" w:rsidR="00422E28" w:rsidRPr="00833104" w:rsidRDefault="00422E28" w:rsidP="00DE3D73">
            <w:pPr>
              <w:jc w:val="center"/>
              <w:rPr>
                <w:color w:val="000000"/>
                <w:szCs w:val="22"/>
                <w:lang w:val="es-ES_tradnl"/>
              </w:rPr>
            </w:pPr>
            <w:r w:rsidRPr="00833104">
              <w:rPr>
                <w:color w:val="000000"/>
                <w:lang w:val="es-ES_tradnl"/>
              </w:rPr>
              <w:t>EP</w:t>
            </w:r>
          </w:p>
        </w:tc>
        <w:tc>
          <w:tcPr>
            <w:tcW w:w="1291" w:type="dxa"/>
            <w:noWrap/>
            <w:hideMark/>
          </w:tcPr>
          <w:p w14:paraId="623940CD" w14:textId="77777777" w:rsidR="00422E28" w:rsidRPr="00833104" w:rsidRDefault="00422E28" w:rsidP="00DE3D73">
            <w:pPr>
              <w:jc w:val="right"/>
              <w:rPr>
                <w:color w:val="000000"/>
                <w:szCs w:val="22"/>
                <w:lang w:val="es-ES_tradnl"/>
              </w:rPr>
            </w:pPr>
            <w:r w:rsidRPr="00833104">
              <w:rPr>
                <w:color w:val="000000"/>
                <w:lang w:val="es-ES_tradnl"/>
              </w:rPr>
              <w:t>4 722</w:t>
            </w:r>
          </w:p>
        </w:tc>
        <w:tc>
          <w:tcPr>
            <w:tcW w:w="2835" w:type="dxa"/>
            <w:noWrap/>
            <w:hideMark/>
          </w:tcPr>
          <w:p w14:paraId="4977DC6D" w14:textId="77777777" w:rsidR="00422E28" w:rsidRPr="00833104" w:rsidRDefault="00422E28" w:rsidP="00DE3D73">
            <w:pPr>
              <w:jc w:val="right"/>
              <w:rPr>
                <w:color w:val="000000"/>
                <w:szCs w:val="22"/>
                <w:lang w:val="es-ES_tradnl"/>
              </w:rPr>
            </w:pPr>
            <w:r w:rsidRPr="00833104">
              <w:rPr>
                <w:color w:val="000000"/>
                <w:lang w:val="es-ES_tradnl"/>
              </w:rPr>
              <w:t>94</w:t>
            </w:r>
          </w:p>
        </w:tc>
        <w:tc>
          <w:tcPr>
            <w:tcW w:w="2977" w:type="dxa"/>
            <w:noWrap/>
            <w:hideMark/>
          </w:tcPr>
          <w:p w14:paraId="16502747" w14:textId="77777777" w:rsidR="00422E28" w:rsidRPr="00833104" w:rsidRDefault="00422E28" w:rsidP="00DE3D73">
            <w:pPr>
              <w:jc w:val="right"/>
              <w:rPr>
                <w:color w:val="000000"/>
                <w:szCs w:val="22"/>
                <w:lang w:val="es-ES_tradnl"/>
              </w:rPr>
            </w:pPr>
            <w:r w:rsidRPr="00833104">
              <w:rPr>
                <w:color w:val="000000"/>
                <w:lang w:val="es-ES_tradnl"/>
              </w:rPr>
              <w:t>289</w:t>
            </w:r>
          </w:p>
        </w:tc>
      </w:tr>
      <w:tr w:rsidR="00422E28" w:rsidRPr="00833104" w14:paraId="67EF4E96" w14:textId="77777777" w:rsidTr="00DE3D73">
        <w:trPr>
          <w:trHeight w:val="288"/>
        </w:trPr>
        <w:tc>
          <w:tcPr>
            <w:tcW w:w="1256" w:type="dxa"/>
            <w:noWrap/>
            <w:hideMark/>
          </w:tcPr>
          <w:p w14:paraId="37012289" w14:textId="77777777" w:rsidR="00422E28" w:rsidRPr="00833104" w:rsidRDefault="00422E28" w:rsidP="00DE3D73">
            <w:pPr>
              <w:jc w:val="center"/>
              <w:rPr>
                <w:color w:val="000000"/>
                <w:szCs w:val="22"/>
                <w:lang w:val="es-ES_tradnl"/>
              </w:rPr>
            </w:pPr>
            <w:r w:rsidRPr="00833104">
              <w:rPr>
                <w:color w:val="000000"/>
                <w:lang w:val="es-ES_tradnl"/>
              </w:rPr>
              <w:t>ES</w:t>
            </w:r>
          </w:p>
        </w:tc>
        <w:tc>
          <w:tcPr>
            <w:tcW w:w="1291" w:type="dxa"/>
            <w:noWrap/>
            <w:hideMark/>
          </w:tcPr>
          <w:p w14:paraId="4196C4D3" w14:textId="77777777" w:rsidR="00422E28" w:rsidRPr="00833104" w:rsidRDefault="00422E28" w:rsidP="00DE3D73">
            <w:pPr>
              <w:jc w:val="right"/>
              <w:rPr>
                <w:color w:val="000000"/>
                <w:szCs w:val="22"/>
                <w:lang w:val="es-ES_tradnl"/>
              </w:rPr>
            </w:pPr>
            <w:r w:rsidRPr="00833104">
              <w:rPr>
                <w:color w:val="000000"/>
                <w:lang w:val="es-ES_tradnl"/>
              </w:rPr>
              <w:t>60</w:t>
            </w:r>
          </w:p>
        </w:tc>
        <w:tc>
          <w:tcPr>
            <w:tcW w:w="2835" w:type="dxa"/>
            <w:noWrap/>
            <w:hideMark/>
          </w:tcPr>
          <w:p w14:paraId="5009B170" w14:textId="77777777" w:rsidR="00422E28" w:rsidRPr="00833104" w:rsidRDefault="00422E28" w:rsidP="00DE3D73">
            <w:pPr>
              <w:jc w:val="right"/>
              <w:rPr>
                <w:color w:val="000000"/>
                <w:szCs w:val="22"/>
                <w:lang w:val="es-ES_tradnl"/>
              </w:rPr>
            </w:pPr>
          </w:p>
        </w:tc>
        <w:tc>
          <w:tcPr>
            <w:tcW w:w="2977" w:type="dxa"/>
            <w:noWrap/>
            <w:hideMark/>
          </w:tcPr>
          <w:p w14:paraId="1EE8E6EA" w14:textId="77777777" w:rsidR="00422E28" w:rsidRPr="00833104" w:rsidRDefault="00422E28" w:rsidP="00DE3D73">
            <w:pPr>
              <w:jc w:val="right"/>
              <w:rPr>
                <w:color w:val="000000"/>
                <w:szCs w:val="22"/>
                <w:lang w:val="es-ES_tradnl"/>
              </w:rPr>
            </w:pPr>
            <w:r w:rsidRPr="00833104">
              <w:rPr>
                <w:color w:val="000000"/>
                <w:lang w:val="es-ES_tradnl"/>
              </w:rPr>
              <w:t>3</w:t>
            </w:r>
          </w:p>
        </w:tc>
      </w:tr>
      <w:tr w:rsidR="00422E28" w:rsidRPr="00833104" w14:paraId="2E00CABE" w14:textId="77777777" w:rsidTr="00DE3D73">
        <w:trPr>
          <w:trHeight w:val="288"/>
        </w:trPr>
        <w:tc>
          <w:tcPr>
            <w:tcW w:w="1256" w:type="dxa"/>
            <w:noWrap/>
            <w:hideMark/>
          </w:tcPr>
          <w:p w14:paraId="62A6B771" w14:textId="77777777" w:rsidR="00422E28" w:rsidRPr="00833104" w:rsidRDefault="00422E28" w:rsidP="00DE3D73">
            <w:pPr>
              <w:jc w:val="center"/>
              <w:rPr>
                <w:color w:val="000000"/>
                <w:szCs w:val="22"/>
                <w:lang w:val="es-ES_tradnl"/>
              </w:rPr>
            </w:pPr>
            <w:r w:rsidRPr="00833104">
              <w:rPr>
                <w:color w:val="000000"/>
                <w:lang w:val="es-ES_tradnl"/>
              </w:rPr>
              <w:t>FI</w:t>
            </w:r>
          </w:p>
        </w:tc>
        <w:tc>
          <w:tcPr>
            <w:tcW w:w="1291" w:type="dxa"/>
            <w:noWrap/>
            <w:hideMark/>
          </w:tcPr>
          <w:p w14:paraId="30D859EC" w14:textId="77777777" w:rsidR="00422E28" w:rsidRPr="00833104" w:rsidRDefault="00422E28" w:rsidP="00DE3D73">
            <w:pPr>
              <w:jc w:val="right"/>
              <w:rPr>
                <w:color w:val="000000"/>
                <w:szCs w:val="22"/>
                <w:lang w:val="es-ES_tradnl"/>
              </w:rPr>
            </w:pPr>
            <w:r w:rsidRPr="00833104">
              <w:rPr>
                <w:color w:val="000000"/>
                <w:lang w:val="es-ES_tradnl"/>
              </w:rPr>
              <w:t>30</w:t>
            </w:r>
          </w:p>
        </w:tc>
        <w:tc>
          <w:tcPr>
            <w:tcW w:w="2835" w:type="dxa"/>
            <w:noWrap/>
            <w:hideMark/>
          </w:tcPr>
          <w:p w14:paraId="76FE6D7A" w14:textId="77777777" w:rsidR="00422E28" w:rsidRPr="00833104" w:rsidRDefault="00422E28" w:rsidP="00DE3D73">
            <w:pPr>
              <w:jc w:val="right"/>
              <w:rPr>
                <w:color w:val="000000"/>
                <w:szCs w:val="22"/>
                <w:lang w:val="es-ES_tradnl"/>
              </w:rPr>
            </w:pPr>
            <w:r w:rsidRPr="00833104">
              <w:rPr>
                <w:color w:val="000000"/>
                <w:lang w:val="es-ES_tradnl"/>
              </w:rPr>
              <w:t>1</w:t>
            </w:r>
          </w:p>
        </w:tc>
        <w:tc>
          <w:tcPr>
            <w:tcW w:w="2977" w:type="dxa"/>
            <w:noWrap/>
            <w:hideMark/>
          </w:tcPr>
          <w:p w14:paraId="19BACABF" w14:textId="77777777" w:rsidR="00422E28" w:rsidRPr="00833104" w:rsidRDefault="00422E28" w:rsidP="00DE3D73">
            <w:pPr>
              <w:jc w:val="right"/>
              <w:rPr>
                <w:color w:val="000000"/>
                <w:szCs w:val="22"/>
                <w:lang w:val="es-ES_tradnl"/>
              </w:rPr>
            </w:pPr>
          </w:p>
        </w:tc>
      </w:tr>
      <w:tr w:rsidR="00422E28" w:rsidRPr="00833104" w14:paraId="06F66C2D" w14:textId="77777777" w:rsidTr="00DE3D73">
        <w:trPr>
          <w:trHeight w:val="288"/>
        </w:trPr>
        <w:tc>
          <w:tcPr>
            <w:tcW w:w="1256" w:type="dxa"/>
            <w:noWrap/>
            <w:hideMark/>
          </w:tcPr>
          <w:p w14:paraId="6F6EAE31" w14:textId="77777777" w:rsidR="00422E28" w:rsidRPr="00833104" w:rsidRDefault="00422E28" w:rsidP="00DE3D73">
            <w:pPr>
              <w:jc w:val="center"/>
              <w:rPr>
                <w:color w:val="000000"/>
                <w:szCs w:val="22"/>
                <w:lang w:val="es-ES_tradnl"/>
              </w:rPr>
            </w:pPr>
            <w:r w:rsidRPr="00833104">
              <w:rPr>
                <w:color w:val="000000"/>
                <w:lang w:val="es-ES_tradnl"/>
              </w:rPr>
              <w:t>FR</w:t>
            </w:r>
          </w:p>
        </w:tc>
        <w:tc>
          <w:tcPr>
            <w:tcW w:w="1291" w:type="dxa"/>
            <w:noWrap/>
            <w:hideMark/>
          </w:tcPr>
          <w:p w14:paraId="041D7F79" w14:textId="77777777" w:rsidR="00422E28" w:rsidRPr="00833104" w:rsidRDefault="00422E28" w:rsidP="00DE3D73">
            <w:pPr>
              <w:jc w:val="right"/>
              <w:rPr>
                <w:color w:val="000000"/>
                <w:szCs w:val="22"/>
                <w:lang w:val="es-ES_tradnl"/>
              </w:rPr>
            </w:pPr>
            <w:r w:rsidRPr="00833104">
              <w:rPr>
                <w:color w:val="000000"/>
                <w:lang w:val="es-ES_tradnl"/>
              </w:rPr>
              <w:t>46</w:t>
            </w:r>
          </w:p>
        </w:tc>
        <w:tc>
          <w:tcPr>
            <w:tcW w:w="2835" w:type="dxa"/>
            <w:noWrap/>
            <w:hideMark/>
          </w:tcPr>
          <w:p w14:paraId="7AAFE732" w14:textId="77777777" w:rsidR="00422E28" w:rsidRPr="00833104" w:rsidRDefault="00422E28" w:rsidP="00DE3D73">
            <w:pPr>
              <w:jc w:val="right"/>
              <w:rPr>
                <w:color w:val="000000"/>
                <w:szCs w:val="22"/>
                <w:lang w:val="es-ES_tradnl"/>
              </w:rPr>
            </w:pPr>
            <w:r w:rsidRPr="00833104">
              <w:rPr>
                <w:color w:val="000000"/>
                <w:lang w:val="es-ES_tradnl"/>
              </w:rPr>
              <w:t>2</w:t>
            </w:r>
          </w:p>
        </w:tc>
        <w:tc>
          <w:tcPr>
            <w:tcW w:w="2977" w:type="dxa"/>
            <w:noWrap/>
            <w:hideMark/>
          </w:tcPr>
          <w:p w14:paraId="494569BE" w14:textId="77777777" w:rsidR="00422E28" w:rsidRPr="00833104" w:rsidRDefault="00422E28" w:rsidP="00DE3D73">
            <w:pPr>
              <w:jc w:val="right"/>
              <w:rPr>
                <w:color w:val="000000"/>
                <w:szCs w:val="22"/>
                <w:lang w:val="es-ES_tradnl"/>
              </w:rPr>
            </w:pPr>
            <w:r w:rsidRPr="00833104">
              <w:rPr>
                <w:color w:val="000000"/>
                <w:lang w:val="es-ES_tradnl"/>
              </w:rPr>
              <w:t>1</w:t>
            </w:r>
          </w:p>
        </w:tc>
      </w:tr>
      <w:tr w:rsidR="00422E28" w:rsidRPr="00833104" w14:paraId="46747333" w14:textId="77777777" w:rsidTr="00DE3D73">
        <w:trPr>
          <w:trHeight w:val="288"/>
        </w:trPr>
        <w:tc>
          <w:tcPr>
            <w:tcW w:w="1256" w:type="dxa"/>
            <w:noWrap/>
            <w:hideMark/>
          </w:tcPr>
          <w:p w14:paraId="36A0BF22" w14:textId="77777777" w:rsidR="00422E28" w:rsidRPr="00833104" w:rsidRDefault="00422E28" w:rsidP="00DE3D73">
            <w:pPr>
              <w:jc w:val="center"/>
              <w:rPr>
                <w:color w:val="000000"/>
                <w:szCs w:val="22"/>
                <w:lang w:val="es-ES_tradnl"/>
              </w:rPr>
            </w:pPr>
            <w:r w:rsidRPr="00833104">
              <w:rPr>
                <w:color w:val="000000"/>
                <w:lang w:val="es-ES_tradnl"/>
              </w:rPr>
              <w:t>GB</w:t>
            </w:r>
          </w:p>
        </w:tc>
        <w:tc>
          <w:tcPr>
            <w:tcW w:w="1291" w:type="dxa"/>
            <w:noWrap/>
            <w:hideMark/>
          </w:tcPr>
          <w:p w14:paraId="4FD14B73" w14:textId="77777777" w:rsidR="00422E28" w:rsidRPr="00833104" w:rsidRDefault="00422E28" w:rsidP="00DE3D73">
            <w:pPr>
              <w:jc w:val="right"/>
              <w:rPr>
                <w:color w:val="000000"/>
                <w:szCs w:val="22"/>
                <w:lang w:val="es-ES_tradnl"/>
              </w:rPr>
            </w:pPr>
            <w:r w:rsidRPr="00833104">
              <w:rPr>
                <w:color w:val="000000"/>
                <w:lang w:val="es-ES_tradnl"/>
              </w:rPr>
              <w:t>558</w:t>
            </w:r>
          </w:p>
        </w:tc>
        <w:tc>
          <w:tcPr>
            <w:tcW w:w="2835" w:type="dxa"/>
            <w:noWrap/>
            <w:hideMark/>
          </w:tcPr>
          <w:p w14:paraId="2B485B49" w14:textId="77777777" w:rsidR="00422E28" w:rsidRPr="00833104" w:rsidRDefault="00422E28" w:rsidP="00DE3D73">
            <w:pPr>
              <w:jc w:val="right"/>
              <w:rPr>
                <w:color w:val="000000"/>
                <w:szCs w:val="22"/>
                <w:lang w:val="es-ES_tradnl"/>
              </w:rPr>
            </w:pPr>
            <w:r w:rsidRPr="00833104">
              <w:rPr>
                <w:color w:val="000000"/>
                <w:lang w:val="es-ES_tradnl"/>
              </w:rPr>
              <w:t>18</w:t>
            </w:r>
          </w:p>
        </w:tc>
        <w:tc>
          <w:tcPr>
            <w:tcW w:w="2977" w:type="dxa"/>
            <w:noWrap/>
            <w:hideMark/>
          </w:tcPr>
          <w:p w14:paraId="11E2D790" w14:textId="77777777" w:rsidR="00422E28" w:rsidRPr="00833104" w:rsidRDefault="00422E28" w:rsidP="00DE3D73">
            <w:pPr>
              <w:jc w:val="right"/>
              <w:rPr>
                <w:color w:val="000000"/>
                <w:szCs w:val="22"/>
                <w:lang w:val="es-ES_tradnl"/>
              </w:rPr>
            </w:pPr>
            <w:r w:rsidRPr="00833104">
              <w:rPr>
                <w:color w:val="000000"/>
                <w:lang w:val="es-ES_tradnl"/>
              </w:rPr>
              <w:t>73</w:t>
            </w:r>
          </w:p>
        </w:tc>
      </w:tr>
      <w:tr w:rsidR="00422E28" w:rsidRPr="00833104" w14:paraId="6E6EFE85" w14:textId="77777777" w:rsidTr="00DE3D73">
        <w:trPr>
          <w:trHeight w:val="288"/>
        </w:trPr>
        <w:tc>
          <w:tcPr>
            <w:tcW w:w="1256" w:type="dxa"/>
            <w:noWrap/>
            <w:hideMark/>
          </w:tcPr>
          <w:p w14:paraId="7C7434BB" w14:textId="77777777" w:rsidR="00422E28" w:rsidRPr="00833104" w:rsidRDefault="00422E28" w:rsidP="00DE3D73">
            <w:pPr>
              <w:jc w:val="center"/>
              <w:rPr>
                <w:color w:val="000000"/>
                <w:szCs w:val="22"/>
                <w:lang w:val="es-ES_tradnl"/>
              </w:rPr>
            </w:pPr>
            <w:r w:rsidRPr="00833104">
              <w:rPr>
                <w:color w:val="000000"/>
                <w:lang w:val="es-ES_tradnl"/>
              </w:rPr>
              <w:t>GR</w:t>
            </w:r>
          </w:p>
        </w:tc>
        <w:tc>
          <w:tcPr>
            <w:tcW w:w="1291" w:type="dxa"/>
            <w:noWrap/>
            <w:hideMark/>
          </w:tcPr>
          <w:p w14:paraId="1117D589" w14:textId="77777777" w:rsidR="00422E28" w:rsidRPr="00833104" w:rsidRDefault="00422E28" w:rsidP="00DE3D73">
            <w:pPr>
              <w:jc w:val="right"/>
              <w:rPr>
                <w:color w:val="000000"/>
                <w:szCs w:val="22"/>
                <w:lang w:val="es-ES_tradnl"/>
              </w:rPr>
            </w:pPr>
            <w:r w:rsidRPr="00833104">
              <w:rPr>
                <w:color w:val="000000"/>
                <w:lang w:val="es-ES_tradnl"/>
              </w:rPr>
              <w:t>4</w:t>
            </w:r>
          </w:p>
        </w:tc>
        <w:tc>
          <w:tcPr>
            <w:tcW w:w="2835" w:type="dxa"/>
            <w:noWrap/>
            <w:hideMark/>
          </w:tcPr>
          <w:p w14:paraId="5A6795F3" w14:textId="77777777" w:rsidR="00422E28" w:rsidRPr="00833104" w:rsidRDefault="00422E28" w:rsidP="00DE3D73">
            <w:pPr>
              <w:jc w:val="right"/>
              <w:rPr>
                <w:color w:val="000000"/>
                <w:szCs w:val="22"/>
                <w:lang w:val="es-ES_tradnl"/>
              </w:rPr>
            </w:pPr>
            <w:r w:rsidRPr="00833104">
              <w:rPr>
                <w:color w:val="000000"/>
                <w:lang w:val="es-ES_tradnl"/>
              </w:rPr>
              <w:t>1</w:t>
            </w:r>
          </w:p>
        </w:tc>
        <w:tc>
          <w:tcPr>
            <w:tcW w:w="2977" w:type="dxa"/>
            <w:noWrap/>
            <w:hideMark/>
          </w:tcPr>
          <w:p w14:paraId="52F0796C" w14:textId="77777777" w:rsidR="00422E28" w:rsidRPr="00833104" w:rsidRDefault="00422E28" w:rsidP="00DE3D73">
            <w:pPr>
              <w:jc w:val="right"/>
              <w:rPr>
                <w:color w:val="000000"/>
                <w:szCs w:val="22"/>
                <w:lang w:val="es-ES_tradnl"/>
              </w:rPr>
            </w:pPr>
          </w:p>
        </w:tc>
      </w:tr>
      <w:tr w:rsidR="00422E28" w:rsidRPr="00833104" w14:paraId="5302BD89" w14:textId="77777777" w:rsidTr="00DE3D73">
        <w:trPr>
          <w:trHeight w:val="288"/>
        </w:trPr>
        <w:tc>
          <w:tcPr>
            <w:tcW w:w="1256" w:type="dxa"/>
            <w:noWrap/>
            <w:hideMark/>
          </w:tcPr>
          <w:p w14:paraId="33272FCD" w14:textId="77777777" w:rsidR="00422E28" w:rsidRPr="00833104" w:rsidRDefault="00422E28" w:rsidP="00DE3D73">
            <w:pPr>
              <w:jc w:val="center"/>
              <w:rPr>
                <w:color w:val="000000"/>
                <w:szCs w:val="22"/>
                <w:lang w:val="es-ES_tradnl"/>
              </w:rPr>
            </w:pPr>
            <w:r w:rsidRPr="00833104">
              <w:rPr>
                <w:color w:val="000000"/>
                <w:lang w:val="es-ES_tradnl"/>
              </w:rPr>
              <w:t>HU</w:t>
            </w:r>
          </w:p>
        </w:tc>
        <w:tc>
          <w:tcPr>
            <w:tcW w:w="1291" w:type="dxa"/>
            <w:noWrap/>
            <w:hideMark/>
          </w:tcPr>
          <w:p w14:paraId="01618C24" w14:textId="77777777" w:rsidR="00422E28" w:rsidRPr="00833104" w:rsidRDefault="00422E28" w:rsidP="00DE3D73">
            <w:pPr>
              <w:jc w:val="right"/>
              <w:rPr>
                <w:color w:val="000000"/>
                <w:szCs w:val="22"/>
                <w:lang w:val="es-ES_tradnl"/>
              </w:rPr>
            </w:pPr>
            <w:r w:rsidRPr="00833104">
              <w:rPr>
                <w:color w:val="000000"/>
                <w:lang w:val="es-ES_tradnl"/>
              </w:rPr>
              <w:t>13</w:t>
            </w:r>
          </w:p>
        </w:tc>
        <w:tc>
          <w:tcPr>
            <w:tcW w:w="2835" w:type="dxa"/>
            <w:noWrap/>
            <w:hideMark/>
          </w:tcPr>
          <w:p w14:paraId="1649EB31" w14:textId="77777777" w:rsidR="00422E28" w:rsidRPr="00833104" w:rsidRDefault="00422E28" w:rsidP="00DE3D73">
            <w:pPr>
              <w:jc w:val="right"/>
              <w:rPr>
                <w:color w:val="000000"/>
                <w:szCs w:val="22"/>
                <w:lang w:val="es-ES_tradnl"/>
              </w:rPr>
            </w:pPr>
          </w:p>
        </w:tc>
        <w:tc>
          <w:tcPr>
            <w:tcW w:w="2977" w:type="dxa"/>
            <w:noWrap/>
            <w:hideMark/>
          </w:tcPr>
          <w:p w14:paraId="2CD06D6D" w14:textId="77777777" w:rsidR="00422E28" w:rsidRPr="00833104" w:rsidRDefault="00422E28" w:rsidP="00DE3D73">
            <w:pPr>
              <w:jc w:val="right"/>
              <w:rPr>
                <w:color w:val="000000"/>
                <w:szCs w:val="22"/>
                <w:lang w:val="es-ES_tradnl"/>
              </w:rPr>
            </w:pPr>
            <w:r w:rsidRPr="00833104">
              <w:rPr>
                <w:color w:val="000000"/>
                <w:lang w:val="es-ES_tradnl"/>
              </w:rPr>
              <w:t>2</w:t>
            </w:r>
          </w:p>
        </w:tc>
      </w:tr>
      <w:tr w:rsidR="00422E28" w:rsidRPr="00833104" w14:paraId="09C8E60F" w14:textId="77777777" w:rsidTr="00DE3D73">
        <w:trPr>
          <w:trHeight w:val="288"/>
        </w:trPr>
        <w:tc>
          <w:tcPr>
            <w:tcW w:w="1256" w:type="dxa"/>
            <w:noWrap/>
            <w:hideMark/>
          </w:tcPr>
          <w:p w14:paraId="2B2E052E" w14:textId="77777777" w:rsidR="00422E28" w:rsidRPr="00833104" w:rsidRDefault="00422E28" w:rsidP="00DE3D73">
            <w:pPr>
              <w:jc w:val="center"/>
              <w:rPr>
                <w:color w:val="000000"/>
                <w:szCs w:val="22"/>
                <w:lang w:val="es-ES_tradnl"/>
              </w:rPr>
            </w:pPr>
            <w:r w:rsidRPr="00833104">
              <w:rPr>
                <w:color w:val="000000"/>
                <w:lang w:val="es-ES_tradnl"/>
              </w:rPr>
              <w:t>IB</w:t>
            </w:r>
          </w:p>
        </w:tc>
        <w:tc>
          <w:tcPr>
            <w:tcW w:w="1291" w:type="dxa"/>
            <w:noWrap/>
            <w:hideMark/>
          </w:tcPr>
          <w:p w14:paraId="1F896DC2" w14:textId="77777777" w:rsidR="00422E28" w:rsidRPr="00833104" w:rsidRDefault="00422E28" w:rsidP="00DE3D73">
            <w:pPr>
              <w:jc w:val="right"/>
              <w:rPr>
                <w:color w:val="000000"/>
                <w:szCs w:val="22"/>
                <w:lang w:val="es-ES_tradnl"/>
              </w:rPr>
            </w:pPr>
            <w:r w:rsidRPr="00833104">
              <w:rPr>
                <w:color w:val="000000"/>
                <w:lang w:val="es-ES_tradnl"/>
              </w:rPr>
              <w:t>1 235</w:t>
            </w:r>
          </w:p>
        </w:tc>
        <w:tc>
          <w:tcPr>
            <w:tcW w:w="2835" w:type="dxa"/>
            <w:noWrap/>
            <w:hideMark/>
          </w:tcPr>
          <w:p w14:paraId="76448038" w14:textId="77777777" w:rsidR="00422E28" w:rsidRPr="00833104" w:rsidRDefault="00422E28" w:rsidP="00DE3D73">
            <w:pPr>
              <w:jc w:val="right"/>
              <w:rPr>
                <w:color w:val="000000"/>
                <w:szCs w:val="22"/>
                <w:lang w:val="es-ES_tradnl"/>
              </w:rPr>
            </w:pPr>
            <w:r w:rsidRPr="00833104">
              <w:rPr>
                <w:color w:val="000000"/>
                <w:lang w:val="es-ES_tradnl"/>
              </w:rPr>
              <w:t>66</w:t>
            </w:r>
          </w:p>
        </w:tc>
        <w:tc>
          <w:tcPr>
            <w:tcW w:w="2977" w:type="dxa"/>
            <w:noWrap/>
            <w:hideMark/>
          </w:tcPr>
          <w:p w14:paraId="3CF7CEE4" w14:textId="77777777" w:rsidR="00422E28" w:rsidRPr="00833104" w:rsidRDefault="00422E28" w:rsidP="00DE3D73">
            <w:pPr>
              <w:jc w:val="right"/>
              <w:rPr>
                <w:color w:val="000000"/>
                <w:szCs w:val="22"/>
                <w:lang w:val="es-ES_tradnl"/>
              </w:rPr>
            </w:pPr>
            <w:r w:rsidRPr="00833104">
              <w:rPr>
                <w:color w:val="000000"/>
                <w:lang w:val="es-ES_tradnl"/>
              </w:rPr>
              <w:t>129</w:t>
            </w:r>
          </w:p>
        </w:tc>
      </w:tr>
      <w:tr w:rsidR="00422E28" w:rsidRPr="00833104" w14:paraId="631C1CFB" w14:textId="77777777" w:rsidTr="00DE3D73">
        <w:trPr>
          <w:trHeight w:val="288"/>
        </w:trPr>
        <w:tc>
          <w:tcPr>
            <w:tcW w:w="1256" w:type="dxa"/>
            <w:noWrap/>
            <w:hideMark/>
          </w:tcPr>
          <w:p w14:paraId="7B2E9022" w14:textId="77777777" w:rsidR="00422E28" w:rsidRPr="00833104" w:rsidRDefault="00422E28" w:rsidP="00DE3D73">
            <w:pPr>
              <w:jc w:val="center"/>
              <w:rPr>
                <w:color w:val="000000"/>
                <w:szCs w:val="22"/>
                <w:lang w:val="es-ES_tradnl"/>
              </w:rPr>
            </w:pPr>
            <w:r w:rsidRPr="00833104">
              <w:rPr>
                <w:color w:val="000000"/>
                <w:lang w:val="es-ES_tradnl"/>
              </w:rPr>
              <w:t>ID</w:t>
            </w:r>
          </w:p>
        </w:tc>
        <w:tc>
          <w:tcPr>
            <w:tcW w:w="1291" w:type="dxa"/>
            <w:noWrap/>
            <w:hideMark/>
          </w:tcPr>
          <w:p w14:paraId="445C5B84" w14:textId="77777777" w:rsidR="00422E28" w:rsidRPr="00833104" w:rsidRDefault="00422E28" w:rsidP="00DE3D73">
            <w:pPr>
              <w:jc w:val="right"/>
              <w:rPr>
                <w:color w:val="000000"/>
                <w:szCs w:val="22"/>
                <w:lang w:val="es-ES_tradnl"/>
              </w:rPr>
            </w:pPr>
            <w:r w:rsidRPr="00833104">
              <w:rPr>
                <w:color w:val="000000"/>
                <w:lang w:val="es-ES_tradnl"/>
              </w:rPr>
              <w:t>1</w:t>
            </w:r>
          </w:p>
        </w:tc>
        <w:tc>
          <w:tcPr>
            <w:tcW w:w="2835" w:type="dxa"/>
            <w:noWrap/>
            <w:hideMark/>
          </w:tcPr>
          <w:p w14:paraId="262FB7D6" w14:textId="77777777" w:rsidR="00422E28" w:rsidRPr="00833104" w:rsidRDefault="00422E28" w:rsidP="00DE3D73">
            <w:pPr>
              <w:jc w:val="right"/>
              <w:rPr>
                <w:color w:val="000000"/>
                <w:szCs w:val="22"/>
                <w:lang w:val="es-ES_tradnl"/>
              </w:rPr>
            </w:pPr>
            <w:r w:rsidRPr="00833104">
              <w:rPr>
                <w:color w:val="000000"/>
                <w:lang w:val="es-ES_tradnl"/>
              </w:rPr>
              <w:t>1</w:t>
            </w:r>
          </w:p>
        </w:tc>
        <w:tc>
          <w:tcPr>
            <w:tcW w:w="2977" w:type="dxa"/>
            <w:noWrap/>
            <w:hideMark/>
          </w:tcPr>
          <w:p w14:paraId="0FAC6144" w14:textId="77777777" w:rsidR="00422E28" w:rsidRPr="00833104" w:rsidRDefault="00422E28" w:rsidP="00DE3D73">
            <w:pPr>
              <w:jc w:val="right"/>
              <w:rPr>
                <w:color w:val="000000"/>
                <w:szCs w:val="22"/>
                <w:lang w:val="es-ES_tradnl"/>
              </w:rPr>
            </w:pPr>
          </w:p>
        </w:tc>
      </w:tr>
      <w:tr w:rsidR="00422E28" w:rsidRPr="00833104" w14:paraId="2BA9D1D5" w14:textId="77777777" w:rsidTr="00DE3D73">
        <w:trPr>
          <w:trHeight w:val="288"/>
        </w:trPr>
        <w:tc>
          <w:tcPr>
            <w:tcW w:w="1256" w:type="dxa"/>
            <w:noWrap/>
            <w:hideMark/>
          </w:tcPr>
          <w:p w14:paraId="4890BAA0" w14:textId="77777777" w:rsidR="00422E28" w:rsidRPr="00833104" w:rsidRDefault="00422E28" w:rsidP="00DE3D73">
            <w:pPr>
              <w:jc w:val="center"/>
              <w:rPr>
                <w:color w:val="000000"/>
                <w:szCs w:val="22"/>
                <w:lang w:val="es-ES_tradnl"/>
              </w:rPr>
            </w:pPr>
            <w:r w:rsidRPr="00833104">
              <w:rPr>
                <w:color w:val="000000"/>
                <w:lang w:val="es-ES_tradnl"/>
              </w:rPr>
              <w:t>IL</w:t>
            </w:r>
          </w:p>
        </w:tc>
        <w:tc>
          <w:tcPr>
            <w:tcW w:w="1291" w:type="dxa"/>
            <w:noWrap/>
            <w:hideMark/>
          </w:tcPr>
          <w:p w14:paraId="7354661C" w14:textId="77777777" w:rsidR="00422E28" w:rsidRPr="00833104" w:rsidRDefault="00422E28" w:rsidP="00DE3D73">
            <w:pPr>
              <w:jc w:val="right"/>
              <w:rPr>
                <w:color w:val="000000"/>
                <w:szCs w:val="22"/>
                <w:lang w:val="es-ES_tradnl"/>
              </w:rPr>
            </w:pPr>
            <w:r w:rsidRPr="00833104">
              <w:rPr>
                <w:color w:val="000000"/>
                <w:lang w:val="es-ES_tradnl"/>
              </w:rPr>
              <w:t>313</w:t>
            </w:r>
          </w:p>
        </w:tc>
        <w:tc>
          <w:tcPr>
            <w:tcW w:w="2835" w:type="dxa"/>
            <w:noWrap/>
            <w:hideMark/>
          </w:tcPr>
          <w:p w14:paraId="07DE4626" w14:textId="77777777" w:rsidR="00422E28" w:rsidRPr="00833104" w:rsidRDefault="00422E28" w:rsidP="00DE3D73">
            <w:pPr>
              <w:jc w:val="right"/>
              <w:rPr>
                <w:color w:val="000000"/>
                <w:szCs w:val="22"/>
                <w:lang w:val="es-ES_tradnl"/>
              </w:rPr>
            </w:pPr>
            <w:r w:rsidRPr="00833104">
              <w:rPr>
                <w:color w:val="000000"/>
                <w:lang w:val="es-ES_tradnl"/>
              </w:rPr>
              <w:t>39</w:t>
            </w:r>
          </w:p>
        </w:tc>
        <w:tc>
          <w:tcPr>
            <w:tcW w:w="2977" w:type="dxa"/>
            <w:noWrap/>
            <w:hideMark/>
          </w:tcPr>
          <w:p w14:paraId="7535CA96" w14:textId="77777777" w:rsidR="00422E28" w:rsidRPr="00833104" w:rsidRDefault="00422E28" w:rsidP="00DE3D73">
            <w:pPr>
              <w:jc w:val="right"/>
              <w:rPr>
                <w:color w:val="000000"/>
                <w:szCs w:val="22"/>
                <w:lang w:val="es-ES_tradnl"/>
              </w:rPr>
            </w:pPr>
            <w:r w:rsidRPr="00833104">
              <w:rPr>
                <w:color w:val="000000"/>
                <w:lang w:val="es-ES_tradnl"/>
              </w:rPr>
              <w:t>3</w:t>
            </w:r>
          </w:p>
        </w:tc>
      </w:tr>
      <w:tr w:rsidR="00422E28" w:rsidRPr="00833104" w14:paraId="4601C719" w14:textId="77777777" w:rsidTr="00DE3D73">
        <w:trPr>
          <w:trHeight w:val="288"/>
        </w:trPr>
        <w:tc>
          <w:tcPr>
            <w:tcW w:w="1256" w:type="dxa"/>
            <w:noWrap/>
            <w:hideMark/>
          </w:tcPr>
          <w:p w14:paraId="2CE39D3D" w14:textId="77777777" w:rsidR="00422E28" w:rsidRPr="00833104" w:rsidRDefault="00422E28" w:rsidP="00DE3D73">
            <w:pPr>
              <w:jc w:val="center"/>
              <w:rPr>
                <w:color w:val="000000"/>
                <w:szCs w:val="22"/>
                <w:lang w:val="es-ES_tradnl"/>
              </w:rPr>
            </w:pPr>
            <w:r w:rsidRPr="00833104">
              <w:rPr>
                <w:color w:val="000000"/>
                <w:lang w:val="es-ES_tradnl"/>
              </w:rPr>
              <w:t>IN</w:t>
            </w:r>
          </w:p>
        </w:tc>
        <w:tc>
          <w:tcPr>
            <w:tcW w:w="1291" w:type="dxa"/>
            <w:noWrap/>
            <w:hideMark/>
          </w:tcPr>
          <w:p w14:paraId="3314043A" w14:textId="77777777" w:rsidR="00422E28" w:rsidRPr="00833104" w:rsidRDefault="00422E28" w:rsidP="00DE3D73">
            <w:pPr>
              <w:jc w:val="right"/>
              <w:rPr>
                <w:color w:val="000000"/>
                <w:szCs w:val="22"/>
                <w:lang w:val="es-ES_tradnl"/>
              </w:rPr>
            </w:pPr>
            <w:r w:rsidRPr="00833104">
              <w:rPr>
                <w:color w:val="000000"/>
                <w:lang w:val="es-ES_tradnl"/>
              </w:rPr>
              <w:t>89</w:t>
            </w:r>
          </w:p>
        </w:tc>
        <w:tc>
          <w:tcPr>
            <w:tcW w:w="2835" w:type="dxa"/>
            <w:noWrap/>
            <w:hideMark/>
          </w:tcPr>
          <w:p w14:paraId="21F30176" w14:textId="77777777" w:rsidR="00422E28" w:rsidRPr="00833104" w:rsidRDefault="00422E28" w:rsidP="00DE3D73">
            <w:pPr>
              <w:jc w:val="right"/>
              <w:rPr>
                <w:color w:val="000000"/>
                <w:szCs w:val="22"/>
                <w:lang w:val="es-ES_tradnl"/>
              </w:rPr>
            </w:pPr>
            <w:r w:rsidRPr="00833104">
              <w:rPr>
                <w:color w:val="000000"/>
                <w:lang w:val="es-ES_tradnl"/>
              </w:rPr>
              <w:t>4</w:t>
            </w:r>
          </w:p>
        </w:tc>
        <w:tc>
          <w:tcPr>
            <w:tcW w:w="2977" w:type="dxa"/>
            <w:noWrap/>
            <w:hideMark/>
          </w:tcPr>
          <w:p w14:paraId="028BBDEC" w14:textId="77777777" w:rsidR="00422E28" w:rsidRPr="00833104" w:rsidRDefault="00422E28" w:rsidP="00DE3D73">
            <w:pPr>
              <w:jc w:val="right"/>
              <w:rPr>
                <w:color w:val="000000"/>
                <w:szCs w:val="22"/>
                <w:lang w:val="es-ES_tradnl"/>
              </w:rPr>
            </w:pPr>
            <w:r w:rsidRPr="00833104">
              <w:rPr>
                <w:color w:val="000000"/>
                <w:lang w:val="es-ES_tradnl"/>
              </w:rPr>
              <w:t>10</w:t>
            </w:r>
          </w:p>
        </w:tc>
      </w:tr>
      <w:tr w:rsidR="00422E28" w:rsidRPr="00833104" w14:paraId="51A22327" w14:textId="77777777" w:rsidTr="00DE3D73">
        <w:trPr>
          <w:trHeight w:val="288"/>
        </w:trPr>
        <w:tc>
          <w:tcPr>
            <w:tcW w:w="1256" w:type="dxa"/>
            <w:noWrap/>
            <w:hideMark/>
          </w:tcPr>
          <w:p w14:paraId="4D3FE50C" w14:textId="77777777" w:rsidR="00422E28" w:rsidRPr="00833104" w:rsidRDefault="00422E28" w:rsidP="00DE3D73">
            <w:pPr>
              <w:jc w:val="center"/>
              <w:rPr>
                <w:color w:val="000000"/>
                <w:szCs w:val="22"/>
                <w:lang w:val="es-ES_tradnl"/>
              </w:rPr>
            </w:pPr>
            <w:r w:rsidRPr="00833104">
              <w:rPr>
                <w:color w:val="000000"/>
                <w:lang w:val="es-ES_tradnl"/>
              </w:rPr>
              <w:t>IT</w:t>
            </w:r>
          </w:p>
        </w:tc>
        <w:tc>
          <w:tcPr>
            <w:tcW w:w="1291" w:type="dxa"/>
            <w:noWrap/>
            <w:hideMark/>
          </w:tcPr>
          <w:p w14:paraId="2742DB79" w14:textId="77777777" w:rsidR="00422E28" w:rsidRPr="00833104" w:rsidRDefault="00422E28" w:rsidP="00DE3D73">
            <w:pPr>
              <w:jc w:val="right"/>
              <w:rPr>
                <w:color w:val="000000"/>
                <w:szCs w:val="22"/>
                <w:lang w:val="es-ES_tradnl"/>
              </w:rPr>
            </w:pPr>
            <w:r w:rsidRPr="00833104">
              <w:rPr>
                <w:color w:val="000000"/>
                <w:lang w:val="es-ES_tradnl"/>
              </w:rPr>
              <w:t>18</w:t>
            </w:r>
          </w:p>
        </w:tc>
        <w:tc>
          <w:tcPr>
            <w:tcW w:w="2835" w:type="dxa"/>
            <w:noWrap/>
            <w:hideMark/>
          </w:tcPr>
          <w:p w14:paraId="4AEA69D4" w14:textId="77777777" w:rsidR="00422E28" w:rsidRPr="00833104" w:rsidRDefault="00422E28" w:rsidP="00DE3D73">
            <w:pPr>
              <w:jc w:val="right"/>
              <w:rPr>
                <w:color w:val="000000"/>
                <w:szCs w:val="22"/>
                <w:lang w:val="es-ES_tradnl"/>
              </w:rPr>
            </w:pPr>
            <w:r w:rsidRPr="00833104">
              <w:rPr>
                <w:color w:val="000000"/>
                <w:lang w:val="es-ES_tradnl"/>
              </w:rPr>
              <w:t>1</w:t>
            </w:r>
          </w:p>
        </w:tc>
        <w:tc>
          <w:tcPr>
            <w:tcW w:w="2977" w:type="dxa"/>
            <w:noWrap/>
            <w:hideMark/>
          </w:tcPr>
          <w:p w14:paraId="1DEABEB0" w14:textId="77777777" w:rsidR="00422E28" w:rsidRPr="00833104" w:rsidRDefault="00422E28" w:rsidP="00DE3D73">
            <w:pPr>
              <w:jc w:val="right"/>
              <w:rPr>
                <w:color w:val="000000"/>
                <w:szCs w:val="22"/>
                <w:lang w:val="es-ES_tradnl"/>
              </w:rPr>
            </w:pPr>
            <w:r w:rsidRPr="00833104">
              <w:rPr>
                <w:color w:val="000000"/>
                <w:lang w:val="es-ES_tradnl"/>
              </w:rPr>
              <w:t>3</w:t>
            </w:r>
          </w:p>
        </w:tc>
      </w:tr>
      <w:tr w:rsidR="00422E28" w:rsidRPr="00833104" w14:paraId="6F114DF9" w14:textId="77777777" w:rsidTr="00DE3D73">
        <w:trPr>
          <w:trHeight w:val="288"/>
        </w:trPr>
        <w:tc>
          <w:tcPr>
            <w:tcW w:w="1256" w:type="dxa"/>
            <w:noWrap/>
            <w:hideMark/>
          </w:tcPr>
          <w:p w14:paraId="542B785E" w14:textId="77777777" w:rsidR="00422E28" w:rsidRPr="00833104" w:rsidRDefault="00422E28" w:rsidP="00DE3D73">
            <w:pPr>
              <w:jc w:val="center"/>
              <w:rPr>
                <w:color w:val="000000"/>
                <w:szCs w:val="22"/>
                <w:lang w:val="es-ES_tradnl"/>
              </w:rPr>
            </w:pPr>
            <w:r w:rsidRPr="00833104">
              <w:rPr>
                <w:color w:val="000000"/>
                <w:lang w:val="es-ES_tradnl"/>
              </w:rPr>
              <w:t>JP</w:t>
            </w:r>
          </w:p>
        </w:tc>
        <w:tc>
          <w:tcPr>
            <w:tcW w:w="1291" w:type="dxa"/>
            <w:noWrap/>
            <w:hideMark/>
          </w:tcPr>
          <w:p w14:paraId="22B588E4" w14:textId="77777777" w:rsidR="00422E28" w:rsidRPr="00833104" w:rsidRDefault="00422E28" w:rsidP="00DE3D73">
            <w:pPr>
              <w:jc w:val="right"/>
              <w:rPr>
                <w:color w:val="000000"/>
                <w:szCs w:val="22"/>
                <w:lang w:val="es-ES_tradnl"/>
              </w:rPr>
            </w:pPr>
            <w:r w:rsidRPr="00833104">
              <w:rPr>
                <w:color w:val="000000"/>
                <w:lang w:val="es-ES_tradnl"/>
              </w:rPr>
              <w:t>1 882</w:t>
            </w:r>
          </w:p>
        </w:tc>
        <w:tc>
          <w:tcPr>
            <w:tcW w:w="2835" w:type="dxa"/>
            <w:noWrap/>
            <w:hideMark/>
          </w:tcPr>
          <w:p w14:paraId="29514508" w14:textId="77777777" w:rsidR="00422E28" w:rsidRPr="00833104" w:rsidRDefault="00422E28" w:rsidP="00DE3D73">
            <w:pPr>
              <w:jc w:val="right"/>
              <w:rPr>
                <w:color w:val="000000"/>
                <w:szCs w:val="22"/>
                <w:lang w:val="es-ES_tradnl"/>
              </w:rPr>
            </w:pPr>
            <w:r w:rsidRPr="00833104">
              <w:rPr>
                <w:color w:val="000000"/>
                <w:lang w:val="es-ES_tradnl"/>
              </w:rPr>
              <w:t>1</w:t>
            </w:r>
          </w:p>
        </w:tc>
        <w:tc>
          <w:tcPr>
            <w:tcW w:w="2977" w:type="dxa"/>
            <w:noWrap/>
            <w:hideMark/>
          </w:tcPr>
          <w:p w14:paraId="2DD21235" w14:textId="77777777" w:rsidR="00422E28" w:rsidRPr="00833104" w:rsidRDefault="00422E28" w:rsidP="00DE3D73">
            <w:pPr>
              <w:jc w:val="right"/>
              <w:rPr>
                <w:color w:val="000000"/>
                <w:szCs w:val="22"/>
                <w:lang w:val="es-ES_tradnl"/>
              </w:rPr>
            </w:pPr>
          </w:p>
        </w:tc>
      </w:tr>
      <w:tr w:rsidR="00422E28" w:rsidRPr="00833104" w14:paraId="7E8ED850" w14:textId="77777777" w:rsidTr="00DE3D73">
        <w:trPr>
          <w:trHeight w:val="288"/>
        </w:trPr>
        <w:tc>
          <w:tcPr>
            <w:tcW w:w="1256" w:type="dxa"/>
            <w:noWrap/>
            <w:hideMark/>
          </w:tcPr>
          <w:p w14:paraId="05E937AE" w14:textId="77777777" w:rsidR="00422E28" w:rsidRPr="00833104" w:rsidRDefault="00422E28" w:rsidP="00DE3D73">
            <w:pPr>
              <w:jc w:val="center"/>
              <w:rPr>
                <w:color w:val="000000"/>
                <w:szCs w:val="22"/>
                <w:lang w:val="es-ES_tradnl"/>
              </w:rPr>
            </w:pPr>
            <w:r w:rsidRPr="00833104">
              <w:rPr>
                <w:color w:val="000000"/>
                <w:lang w:val="es-ES_tradnl"/>
              </w:rPr>
              <w:t>KR</w:t>
            </w:r>
          </w:p>
        </w:tc>
        <w:tc>
          <w:tcPr>
            <w:tcW w:w="1291" w:type="dxa"/>
            <w:noWrap/>
            <w:hideMark/>
          </w:tcPr>
          <w:p w14:paraId="5F09C92E" w14:textId="77777777" w:rsidR="00422E28" w:rsidRPr="00833104" w:rsidRDefault="00422E28" w:rsidP="00DE3D73">
            <w:pPr>
              <w:jc w:val="right"/>
              <w:rPr>
                <w:color w:val="000000"/>
                <w:szCs w:val="22"/>
                <w:lang w:val="es-ES_tradnl"/>
              </w:rPr>
            </w:pPr>
            <w:r w:rsidRPr="00833104">
              <w:rPr>
                <w:color w:val="000000"/>
                <w:lang w:val="es-ES_tradnl"/>
              </w:rPr>
              <w:t>2 237</w:t>
            </w:r>
          </w:p>
        </w:tc>
        <w:tc>
          <w:tcPr>
            <w:tcW w:w="2835" w:type="dxa"/>
            <w:noWrap/>
            <w:hideMark/>
          </w:tcPr>
          <w:p w14:paraId="1577C1AE" w14:textId="77777777" w:rsidR="00422E28" w:rsidRPr="00833104" w:rsidRDefault="00422E28" w:rsidP="00DE3D73">
            <w:pPr>
              <w:jc w:val="right"/>
              <w:rPr>
                <w:color w:val="000000"/>
                <w:szCs w:val="22"/>
                <w:lang w:val="es-ES_tradnl"/>
              </w:rPr>
            </w:pPr>
            <w:r w:rsidRPr="00833104">
              <w:rPr>
                <w:color w:val="000000"/>
                <w:lang w:val="es-ES_tradnl"/>
              </w:rPr>
              <w:t>1</w:t>
            </w:r>
          </w:p>
        </w:tc>
        <w:tc>
          <w:tcPr>
            <w:tcW w:w="2977" w:type="dxa"/>
            <w:noWrap/>
            <w:hideMark/>
          </w:tcPr>
          <w:p w14:paraId="2E4DED21" w14:textId="77777777" w:rsidR="00422E28" w:rsidRPr="00833104" w:rsidRDefault="00422E28" w:rsidP="00DE3D73">
            <w:pPr>
              <w:jc w:val="right"/>
              <w:rPr>
                <w:color w:val="000000"/>
                <w:szCs w:val="22"/>
                <w:lang w:val="es-ES_tradnl"/>
              </w:rPr>
            </w:pPr>
          </w:p>
        </w:tc>
      </w:tr>
      <w:tr w:rsidR="00422E28" w:rsidRPr="00833104" w14:paraId="1C60281A" w14:textId="77777777" w:rsidTr="00DE3D73">
        <w:trPr>
          <w:trHeight w:val="288"/>
        </w:trPr>
        <w:tc>
          <w:tcPr>
            <w:tcW w:w="1256" w:type="dxa"/>
            <w:noWrap/>
            <w:hideMark/>
          </w:tcPr>
          <w:p w14:paraId="490D6049" w14:textId="77777777" w:rsidR="00422E28" w:rsidRPr="00833104" w:rsidRDefault="00422E28" w:rsidP="00DE3D73">
            <w:pPr>
              <w:jc w:val="center"/>
              <w:rPr>
                <w:color w:val="000000"/>
                <w:szCs w:val="22"/>
                <w:lang w:val="es-ES_tradnl"/>
              </w:rPr>
            </w:pPr>
            <w:r w:rsidRPr="00833104">
              <w:rPr>
                <w:color w:val="000000"/>
                <w:lang w:val="es-ES_tradnl"/>
              </w:rPr>
              <w:t>MX</w:t>
            </w:r>
          </w:p>
        </w:tc>
        <w:tc>
          <w:tcPr>
            <w:tcW w:w="1291" w:type="dxa"/>
            <w:noWrap/>
            <w:hideMark/>
          </w:tcPr>
          <w:p w14:paraId="2133A7AA" w14:textId="77777777" w:rsidR="00422E28" w:rsidRPr="00833104" w:rsidRDefault="00422E28" w:rsidP="00DE3D73">
            <w:pPr>
              <w:jc w:val="right"/>
              <w:rPr>
                <w:color w:val="000000"/>
                <w:szCs w:val="22"/>
                <w:lang w:val="es-ES_tradnl"/>
              </w:rPr>
            </w:pPr>
            <w:r w:rsidRPr="00833104">
              <w:rPr>
                <w:color w:val="000000"/>
                <w:lang w:val="es-ES_tradnl"/>
              </w:rPr>
              <w:t>3</w:t>
            </w:r>
          </w:p>
        </w:tc>
        <w:tc>
          <w:tcPr>
            <w:tcW w:w="2835" w:type="dxa"/>
            <w:noWrap/>
            <w:hideMark/>
          </w:tcPr>
          <w:p w14:paraId="55B3E1C0" w14:textId="77777777" w:rsidR="00422E28" w:rsidRPr="00833104" w:rsidRDefault="00422E28" w:rsidP="00DE3D73">
            <w:pPr>
              <w:jc w:val="right"/>
              <w:rPr>
                <w:color w:val="000000"/>
                <w:szCs w:val="22"/>
                <w:lang w:val="es-ES_tradnl"/>
              </w:rPr>
            </w:pPr>
            <w:r w:rsidRPr="00833104">
              <w:rPr>
                <w:color w:val="000000"/>
                <w:lang w:val="es-ES_tradnl"/>
              </w:rPr>
              <w:t>1</w:t>
            </w:r>
          </w:p>
        </w:tc>
        <w:tc>
          <w:tcPr>
            <w:tcW w:w="2977" w:type="dxa"/>
            <w:noWrap/>
            <w:hideMark/>
          </w:tcPr>
          <w:p w14:paraId="70E8570B" w14:textId="77777777" w:rsidR="00422E28" w:rsidRPr="00833104" w:rsidRDefault="00422E28" w:rsidP="00DE3D73">
            <w:pPr>
              <w:jc w:val="right"/>
              <w:rPr>
                <w:color w:val="000000"/>
                <w:szCs w:val="22"/>
                <w:lang w:val="es-ES_tradnl"/>
              </w:rPr>
            </w:pPr>
          </w:p>
        </w:tc>
      </w:tr>
      <w:tr w:rsidR="00422E28" w:rsidRPr="00833104" w14:paraId="58323790" w14:textId="77777777" w:rsidTr="00DE3D73">
        <w:trPr>
          <w:trHeight w:val="288"/>
        </w:trPr>
        <w:tc>
          <w:tcPr>
            <w:tcW w:w="1256" w:type="dxa"/>
            <w:noWrap/>
            <w:hideMark/>
          </w:tcPr>
          <w:p w14:paraId="2FEF1E86" w14:textId="77777777" w:rsidR="00422E28" w:rsidRPr="00833104" w:rsidRDefault="00422E28" w:rsidP="00DE3D73">
            <w:pPr>
              <w:jc w:val="center"/>
              <w:rPr>
                <w:color w:val="000000"/>
                <w:szCs w:val="22"/>
                <w:lang w:val="es-ES_tradnl"/>
              </w:rPr>
            </w:pPr>
            <w:r w:rsidRPr="00833104">
              <w:rPr>
                <w:color w:val="000000"/>
                <w:lang w:val="es-ES_tradnl"/>
              </w:rPr>
              <w:t>MY</w:t>
            </w:r>
          </w:p>
        </w:tc>
        <w:tc>
          <w:tcPr>
            <w:tcW w:w="1291" w:type="dxa"/>
            <w:noWrap/>
            <w:hideMark/>
          </w:tcPr>
          <w:p w14:paraId="0372D38C" w14:textId="77777777" w:rsidR="00422E28" w:rsidRPr="00833104" w:rsidRDefault="00422E28" w:rsidP="00DE3D73">
            <w:pPr>
              <w:jc w:val="right"/>
              <w:rPr>
                <w:color w:val="000000"/>
                <w:szCs w:val="22"/>
                <w:lang w:val="es-ES_tradnl"/>
              </w:rPr>
            </w:pPr>
            <w:r w:rsidRPr="00833104">
              <w:rPr>
                <w:color w:val="000000"/>
                <w:lang w:val="es-ES_tradnl"/>
              </w:rPr>
              <w:t>5</w:t>
            </w:r>
          </w:p>
        </w:tc>
        <w:tc>
          <w:tcPr>
            <w:tcW w:w="2835" w:type="dxa"/>
            <w:noWrap/>
            <w:hideMark/>
          </w:tcPr>
          <w:p w14:paraId="672A65AB" w14:textId="77777777" w:rsidR="00422E28" w:rsidRPr="00833104" w:rsidRDefault="00422E28" w:rsidP="00DE3D73">
            <w:pPr>
              <w:jc w:val="right"/>
              <w:rPr>
                <w:color w:val="000000"/>
                <w:szCs w:val="22"/>
                <w:lang w:val="es-ES_tradnl"/>
              </w:rPr>
            </w:pPr>
          </w:p>
        </w:tc>
        <w:tc>
          <w:tcPr>
            <w:tcW w:w="2977" w:type="dxa"/>
            <w:noWrap/>
            <w:hideMark/>
          </w:tcPr>
          <w:p w14:paraId="608B39B8" w14:textId="77777777" w:rsidR="00422E28" w:rsidRPr="00833104" w:rsidRDefault="00422E28" w:rsidP="00DE3D73">
            <w:pPr>
              <w:jc w:val="right"/>
              <w:rPr>
                <w:color w:val="000000"/>
                <w:szCs w:val="22"/>
                <w:lang w:val="es-ES_tradnl"/>
              </w:rPr>
            </w:pPr>
          </w:p>
        </w:tc>
      </w:tr>
      <w:tr w:rsidR="00422E28" w:rsidRPr="00833104" w14:paraId="3D17F8C6" w14:textId="77777777" w:rsidTr="00DE3D73">
        <w:trPr>
          <w:trHeight w:val="288"/>
        </w:trPr>
        <w:tc>
          <w:tcPr>
            <w:tcW w:w="1256" w:type="dxa"/>
            <w:noWrap/>
            <w:hideMark/>
          </w:tcPr>
          <w:p w14:paraId="198A627C" w14:textId="77777777" w:rsidR="00422E28" w:rsidRPr="00833104" w:rsidRDefault="00422E28" w:rsidP="00DE3D73">
            <w:pPr>
              <w:jc w:val="center"/>
              <w:rPr>
                <w:color w:val="000000"/>
                <w:szCs w:val="22"/>
                <w:lang w:val="es-ES_tradnl"/>
              </w:rPr>
            </w:pPr>
            <w:r w:rsidRPr="00833104">
              <w:rPr>
                <w:color w:val="000000"/>
                <w:lang w:val="es-ES_tradnl"/>
              </w:rPr>
              <w:t>NL</w:t>
            </w:r>
          </w:p>
        </w:tc>
        <w:tc>
          <w:tcPr>
            <w:tcW w:w="1291" w:type="dxa"/>
            <w:noWrap/>
            <w:hideMark/>
          </w:tcPr>
          <w:p w14:paraId="6CF0FA59" w14:textId="77777777" w:rsidR="00422E28" w:rsidRPr="00833104" w:rsidRDefault="00422E28" w:rsidP="00DE3D73">
            <w:pPr>
              <w:jc w:val="right"/>
              <w:rPr>
                <w:color w:val="000000"/>
                <w:szCs w:val="22"/>
                <w:lang w:val="es-ES_tradnl"/>
              </w:rPr>
            </w:pPr>
            <w:r w:rsidRPr="00833104">
              <w:rPr>
                <w:color w:val="000000"/>
                <w:lang w:val="es-ES_tradnl"/>
              </w:rPr>
              <w:t>89</w:t>
            </w:r>
          </w:p>
        </w:tc>
        <w:tc>
          <w:tcPr>
            <w:tcW w:w="2835" w:type="dxa"/>
            <w:noWrap/>
            <w:hideMark/>
          </w:tcPr>
          <w:p w14:paraId="73C11739" w14:textId="77777777" w:rsidR="00422E28" w:rsidRPr="00833104" w:rsidRDefault="00422E28" w:rsidP="00DE3D73">
            <w:pPr>
              <w:jc w:val="right"/>
              <w:rPr>
                <w:color w:val="000000"/>
                <w:szCs w:val="22"/>
                <w:lang w:val="es-ES_tradnl"/>
              </w:rPr>
            </w:pPr>
          </w:p>
        </w:tc>
        <w:tc>
          <w:tcPr>
            <w:tcW w:w="2977" w:type="dxa"/>
            <w:noWrap/>
            <w:hideMark/>
          </w:tcPr>
          <w:p w14:paraId="51A4DF51" w14:textId="77777777" w:rsidR="00422E28" w:rsidRPr="00833104" w:rsidRDefault="00422E28" w:rsidP="00DE3D73">
            <w:pPr>
              <w:jc w:val="right"/>
              <w:rPr>
                <w:color w:val="000000"/>
                <w:szCs w:val="22"/>
                <w:lang w:val="es-ES_tradnl"/>
              </w:rPr>
            </w:pPr>
            <w:r w:rsidRPr="00833104">
              <w:rPr>
                <w:color w:val="000000"/>
                <w:lang w:val="es-ES_tradnl"/>
              </w:rPr>
              <w:t>46</w:t>
            </w:r>
          </w:p>
        </w:tc>
      </w:tr>
      <w:tr w:rsidR="00422E28" w:rsidRPr="00833104" w14:paraId="370C0151" w14:textId="77777777" w:rsidTr="00DE3D73">
        <w:trPr>
          <w:trHeight w:val="288"/>
        </w:trPr>
        <w:tc>
          <w:tcPr>
            <w:tcW w:w="1256" w:type="dxa"/>
            <w:noWrap/>
            <w:hideMark/>
          </w:tcPr>
          <w:p w14:paraId="5BAF8F4E" w14:textId="77777777" w:rsidR="00422E28" w:rsidRPr="00833104" w:rsidRDefault="00422E28" w:rsidP="00DE3D73">
            <w:pPr>
              <w:jc w:val="center"/>
              <w:rPr>
                <w:color w:val="000000"/>
                <w:szCs w:val="22"/>
                <w:lang w:val="es-ES_tradnl"/>
              </w:rPr>
            </w:pPr>
            <w:r w:rsidRPr="00833104">
              <w:rPr>
                <w:color w:val="000000"/>
                <w:lang w:val="es-ES_tradnl"/>
              </w:rPr>
              <w:t>NO</w:t>
            </w:r>
          </w:p>
        </w:tc>
        <w:tc>
          <w:tcPr>
            <w:tcW w:w="1291" w:type="dxa"/>
            <w:noWrap/>
            <w:hideMark/>
          </w:tcPr>
          <w:p w14:paraId="79199932" w14:textId="77777777" w:rsidR="00422E28" w:rsidRPr="00833104" w:rsidRDefault="00422E28" w:rsidP="00DE3D73">
            <w:pPr>
              <w:jc w:val="right"/>
              <w:rPr>
                <w:color w:val="000000"/>
                <w:szCs w:val="22"/>
                <w:lang w:val="es-ES_tradnl"/>
              </w:rPr>
            </w:pPr>
            <w:r w:rsidRPr="00833104">
              <w:rPr>
                <w:color w:val="000000"/>
                <w:lang w:val="es-ES_tradnl"/>
              </w:rPr>
              <w:t>3</w:t>
            </w:r>
          </w:p>
        </w:tc>
        <w:tc>
          <w:tcPr>
            <w:tcW w:w="2835" w:type="dxa"/>
            <w:noWrap/>
            <w:hideMark/>
          </w:tcPr>
          <w:p w14:paraId="661708A6" w14:textId="77777777" w:rsidR="00422E28" w:rsidRPr="00833104" w:rsidRDefault="00422E28" w:rsidP="00DE3D73">
            <w:pPr>
              <w:jc w:val="right"/>
              <w:rPr>
                <w:color w:val="000000"/>
                <w:szCs w:val="22"/>
                <w:lang w:val="es-ES_tradnl"/>
              </w:rPr>
            </w:pPr>
          </w:p>
        </w:tc>
        <w:tc>
          <w:tcPr>
            <w:tcW w:w="2977" w:type="dxa"/>
            <w:noWrap/>
            <w:hideMark/>
          </w:tcPr>
          <w:p w14:paraId="1CB3C151" w14:textId="77777777" w:rsidR="00422E28" w:rsidRPr="00833104" w:rsidRDefault="00422E28" w:rsidP="00DE3D73">
            <w:pPr>
              <w:jc w:val="right"/>
              <w:rPr>
                <w:color w:val="000000"/>
                <w:szCs w:val="22"/>
                <w:lang w:val="es-ES_tradnl"/>
              </w:rPr>
            </w:pPr>
            <w:r w:rsidRPr="00833104">
              <w:rPr>
                <w:color w:val="000000"/>
                <w:lang w:val="es-ES_tradnl"/>
              </w:rPr>
              <w:t>1</w:t>
            </w:r>
          </w:p>
        </w:tc>
      </w:tr>
      <w:tr w:rsidR="00422E28" w:rsidRPr="00833104" w14:paraId="28100DFC" w14:textId="77777777" w:rsidTr="00DE3D73">
        <w:trPr>
          <w:trHeight w:val="288"/>
        </w:trPr>
        <w:tc>
          <w:tcPr>
            <w:tcW w:w="1256" w:type="dxa"/>
            <w:noWrap/>
            <w:hideMark/>
          </w:tcPr>
          <w:p w14:paraId="629B3F70" w14:textId="77777777" w:rsidR="00422E28" w:rsidRPr="00833104" w:rsidRDefault="00422E28" w:rsidP="00DE3D73">
            <w:pPr>
              <w:jc w:val="center"/>
              <w:rPr>
                <w:color w:val="000000"/>
                <w:szCs w:val="22"/>
                <w:lang w:val="es-ES_tradnl"/>
              </w:rPr>
            </w:pPr>
            <w:r w:rsidRPr="00833104">
              <w:rPr>
                <w:color w:val="000000"/>
                <w:lang w:val="es-ES_tradnl"/>
              </w:rPr>
              <w:t>NZ</w:t>
            </w:r>
          </w:p>
        </w:tc>
        <w:tc>
          <w:tcPr>
            <w:tcW w:w="1291" w:type="dxa"/>
            <w:noWrap/>
            <w:hideMark/>
          </w:tcPr>
          <w:p w14:paraId="78DDA2AC" w14:textId="77777777" w:rsidR="00422E28" w:rsidRPr="00833104" w:rsidRDefault="00422E28" w:rsidP="00DE3D73">
            <w:pPr>
              <w:jc w:val="right"/>
              <w:rPr>
                <w:color w:val="000000"/>
                <w:szCs w:val="22"/>
                <w:lang w:val="es-ES_tradnl"/>
              </w:rPr>
            </w:pPr>
            <w:r w:rsidRPr="00833104">
              <w:rPr>
                <w:color w:val="000000"/>
                <w:lang w:val="es-ES_tradnl"/>
              </w:rPr>
              <w:t>23</w:t>
            </w:r>
          </w:p>
        </w:tc>
        <w:tc>
          <w:tcPr>
            <w:tcW w:w="2835" w:type="dxa"/>
            <w:noWrap/>
            <w:hideMark/>
          </w:tcPr>
          <w:p w14:paraId="69B68B68" w14:textId="77777777" w:rsidR="00422E28" w:rsidRPr="00833104" w:rsidRDefault="00422E28" w:rsidP="00DE3D73">
            <w:pPr>
              <w:jc w:val="right"/>
              <w:rPr>
                <w:color w:val="000000"/>
                <w:szCs w:val="22"/>
                <w:lang w:val="es-ES_tradnl"/>
              </w:rPr>
            </w:pPr>
          </w:p>
        </w:tc>
        <w:tc>
          <w:tcPr>
            <w:tcW w:w="2977" w:type="dxa"/>
            <w:noWrap/>
            <w:hideMark/>
          </w:tcPr>
          <w:p w14:paraId="1B0EF66A" w14:textId="77777777" w:rsidR="00422E28" w:rsidRPr="00833104" w:rsidRDefault="00422E28" w:rsidP="00DE3D73">
            <w:pPr>
              <w:jc w:val="right"/>
              <w:rPr>
                <w:color w:val="000000"/>
                <w:szCs w:val="22"/>
                <w:lang w:val="es-ES_tradnl"/>
              </w:rPr>
            </w:pPr>
            <w:r w:rsidRPr="00833104">
              <w:rPr>
                <w:color w:val="000000"/>
                <w:lang w:val="es-ES_tradnl"/>
              </w:rPr>
              <w:t>5</w:t>
            </w:r>
          </w:p>
        </w:tc>
      </w:tr>
      <w:tr w:rsidR="00422E28" w:rsidRPr="00833104" w14:paraId="1F3575C9" w14:textId="77777777" w:rsidTr="00DE3D73">
        <w:trPr>
          <w:trHeight w:val="288"/>
        </w:trPr>
        <w:tc>
          <w:tcPr>
            <w:tcW w:w="1256" w:type="dxa"/>
            <w:noWrap/>
            <w:hideMark/>
          </w:tcPr>
          <w:p w14:paraId="0AF54F59" w14:textId="77777777" w:rsidR="00422E28" w:rsidRPr="00833104" w:rsidRDefault="00422E28" w:rsidP="00DE3D73">
            <w:pPr>
              <w:jc w:val="center"/>
              <w:rPr>
                <w:color w:val="000000"/>
                <w:szCs w:val="22"/>
                <w:lang w:val="es-ES_tradnl"/>
              </w:rPr>
            </w:pPr>
            <w:r w:rsidRPr="00833104">
              <w:rPr>
                <w:color w:val="000000"/>
                <w:lang w:val="es-ES_tradnl"/>
              </w:rPr>
              <w:t>PE</w:t>
            </w:r>
          </w:p>
        </w:tc>
        <w:tc>
          <w:tcPr>
            <w:tcW w:w="1291" w:type="dxa"/>
            <w:noWrap/>
            <w:hideMark/>
          </w:tcPr>
          <w:p w14:paraId="7FF1B1CA" w14:textId="77777777" w:rsidR="00422E28" w:rsidRPr="00833104" w:rsidRDefault="00422E28" w:rsidP="00DE3D73">
            <w:pPr>
              <w:jc w:val="right"/>
              <w:rPr>
                <w:color w:val="000000"/>
                <w:szCs w:val="22"/>
                <w:lang w:val="es-ES_tradnl"/>
              </w:rPr>
            </w:pPr>
            <w:r w:rsidRPr="00833104">
              <w:rPr>
                <w:color w:val="000000"/>
                <w:lang w:val="es-ES_tradnl"/>
              </w:rPr>
              <w:t>1</w:t>
            </w:r>
          </w:p>
        </w:tc>
        <w:tc>
          <w:tcPr>
            <w:tcW w:w="2835" w:type="dxa"/>
            <w:noWrap/>
            <w:hideMark/>
          </w:tcPr>
          <w:p w14:paraId="763E95E1" w14:textId="77777777" w:rsidR="00422E28" w:rsidRPr="00833104" w:rsidRDefault="00422E28" w:rsidP="00DE3D73">
            <w:pPr>
              <w:jc w:val="right"/>
              <w:rPr>
                <w:color w:val="000000"/>
                <w:szCs w:val="22"/>
                <w:lang w:val="es-ES_tradnl"/>
              </w:rPr>
            </w:pPr>
          </w:p>
        </w:tc>
        <w:tc>
          <w:tcPr>
            <w:tcW w:w="2977" w:type="dxa"/>
            <w:noWrap/>
            <w:hideMark/>
          </w:tcPr>
          <w:p w14:paraId="5A08D08C" w14:textId="77777777" w:rsidR="00422E28" w:rsidRPr="00833104" w:rsidRDefault="00422E28" w:rsidP="00DE3D73">
            <w:pPr>
              <w:jc w:val="right"/>
              <w:rPr>
                <w:color w:val="000000"/>
                <w:szCs w:val="22"/>
                <w:lang w:val="es-ES_tradnl"/>
              </w:rPr>
            </w:pPr>
          </w:p>
        </w:tc>
      </w:tr>
      <w:tr w:rsidR="00422E28" w:rsidRPr="00833104" w14:paraId="577B3976" w14:textId="77777777" w:rsidTr="00DE3D73">
        <w:trPr>
          <w:trHeight w:val="288"/>
        </w:trPr>
        <w:tc>
          <w:tcPr>
            <w:tcW w:w="1256" w:type="dxa"/>
            <w:noWrap/>
            <w:hideMark/>
          </w:tcPr>
          <w:p w14:paraId="60F45B36" w14:textId="77777777" w:rsidR="00422E28" w:rsidRPr="00833104" w:rsidRDefault="00422E28" w:rsidP="00DE3D73">
            <w:pPr>
              <w:jc w:val="center"/>
              <w:rPr>
                <w:color w:val="000000"/>
                <w:szCs w:val="22"/>
                <w:lang w:val="es-ES_tradnl"/>
              </w:rPr>
            </w:pPr>
            <w:r w:rsidRPr="00833104">
              <w:rPr>
                <w:color w:val="000000"/>
                <w:lang w:val="es-ES_tradnl"/>
              </w:rPr>
              <w:t>PH</w:t>
            </w:r>
          </w:p>
        </w:tc>
        <w:tc>
          <w:tcPr>
            <w:tcW w:w="1291" w:type="dxa"/>
            <w:noWrap/>
            <w:hideMark/>
          </w:tcPr>
          <w:p w14:paraId="195C137E" w14:textId="77777777" w:rsidR="00422E28" w:rsidRPr="00833104" w:rsidRDefault="00422E28" w:rsidP="00DE3D73">
            <w:pPr>
              <w:jc w:val="right"/>
              <w:rPr>
                <w:color w:val="000000"/>
                <w:szCs w:val="22"/>
                <w:lang w:val="es-ES_tradnl"/>
              </w:rPr>
            </w:pPr>
            <w:r w:rsidRPr="00833104">
              <w:rPr>
                <w:color w:val="000000"/>
                <w:lang w:val="es-ES_tradnl"/>
              </w:rPr>
              <w:t>2</w:t>
            </w:r>
          </w:p>
        </w:tc>
        <w:tc>
          <w:tcPr>
            <w:tcW w:w="2835" w:type="dxa"/>
            <w:noWrap/>
            <w:hideMark/>
          </w:tcPr>
          <w:p w14:paraId="7C647953" w14:textId="77777777" w:rsidR="00422E28" w:rsidRPr="00833104" w:rsidRDefault="00422E28" w:rsidP="00DE3D73">
            <w:pPr>
              <w:jc w:val="right"/>
              <w:rPr>
                <w:color w:val="000000"/>
                <w:szCs w:val="22"/>
                <w:lang w:val="es-ES_tradnl"/>
              </w:rPr>
            </w:pPr>
          </w:p>
        </w:tc>
        <w:tc>
          <w:tcPr>
            <w:tcW w:w="2977" w:type="dxa"/>
            <w:noWrap/>
            <w:hideMark/>
          </w:tcPr>
          <w:p w14:paraId="358F59F7" w14:textId="77777777" w:rsidR="00422E28" w:rsidRPr="00833104" w:rsidRDefault="00422E28" w:rsidP="00DE3D73">
            <w:pPr>
              <w:jc w:val="right"/>
              <w:rPr>
                <w:color w:val="000000"/>
                <w:szCs w:val="22"/>
                <w:lang w:val="es-ES_tradnl"/>
              </w:rPr>
            </w:pPr>
          </w:p>
        </w:tc>
      </w:tr>
      <w:tr w:rsidR="00422E28" w:rsidRPr="00833104" w14:paraId="49890990" w14:textId="77777777" w:rsidTr="00DE3D73">
        <w:trPr>
          <w:trHeight w:val="288"/>
        </w:trPr>
        <w:tc>
          <w:tcPr>
            <w:tcW w:w="1256" w:type="dxa"/>
            <w:noWrap/>
            <w:hideMark/>
          </w:tcPr>
          <w:p w14:paraId="2D5850D0" w14:textId="77777777" w:rsidR="00422E28" w:rsidRPr="00833104" w:rsidRDefault="00422E28" w:rsidP="00DE3D73">
            <w:pPr>
              <w:jc w:val="center"/>
              <w:rPr>
                <w:color w:val="000000"/>
                <w:szCs w:val="22"/>
                <w:lang w:val="es-ES_tradnl"/>
              </w:rPr>
            </w:pPr>
            <w:r w:rsidRPr="00833104">
              <w:rPr>
                <w:color w:val="000000"/>
                <w:lang w:val="es-ES_tradnl"/>
              </w:rPr>
              <w:t>PL</w:t>
            </w:r>
          </w:p>
        </w:tc>
        <w:tc>
          <w:tcPr>
            <w:tcW w:w="1291" w:type="dxa"/>
            <w:noWrap/>
            <w:hideMark/>
          </w:tcPr>
          <w:p w14:paraId="30211973" w14:textId="77777777" w:rsidR="00422E28" w:rsidRPr="00833104" w:rsidRDefault="00422E28" w:rsidP="00DE3D73">
            <w:pPr>
              <w:jc w:val="right"/>
              <w:rPr>
                <w:color w:val="000000"/>
                <w:szCs w:val="22"/>
                <w:lang w:val="es-ES_tradnl"/>
              </w:rPr>
            </w:pPr>
            <w:r w:rsidRPr="00833104">
              <w:rPr>
                <w:color w:val="000000"/>
                <w:lang w:val="es-ES_tradnl"/>
              </w:rPr>
              <w:t>43</w:t>
            </w:r>
          </w:p>
        </w:tc>
        <w:tc>
          <w:tcPr>
            <w:tcW w:w="2835" w:type="dxa"/>
            <w:noWrap/>
            <w:hideMark/>
          </w:tcPr>
          <w:p w14:paraId="00DA1B1C" w14:textId="77777777" w:rsidR="00422E28" w:rsidRPr="00833104" w:rsidRDefault="00422E28" w:rsidP="00DE3D73">
            <w:pPr>
              <w:jc w:val="right"/>
              <w:rPr>
                <w:color w:val="000000"/>
                <w:szCs w:val="22"/>
                <w:lang w:val="es-ES_tradnl"/>
              </w:rPr>
            </w:pPr>
            <w:r w:rsidRPr="00833104">
              <w:rPr>
                <w:color w:val="000000"/>
                <w:lang w:val="es-ES_tradnl"/>
              </w:rPr>
              <w:t>6</w:t>
            </w:r>
          </w:p>
        </w:tc>
        <w:tc>
          <w:tcPr>
            <w:tcW w:w="2977" w:type="dxa"/>
            <w:noWrap/>
            <w:hideMark/>
          </w:tcPr>
          <w:p w14:paraId="4A4EBBD7" w14:textId="77777777" w:rsidR="00422E28" w:rsidRPr="00833104" w:rsidRDefault="00422E28" w:rsidP="00DE3D73">
            <w:pPr>
              <w:jc w:val="right"/>
              <w:rPr>
                <w:color w:val="000000"/>
                <w:szCs w:val="22"/>
                <w:lang w:val="es-ES_tradnl"/>
              </w:rPr>
            </w:pPr>
            <w:r w:rsidRPr="00833104">
              <w:rPr>
                <w:color w:val="000000"/>
                <w:lang w:val="es-ES_tradnl"/>
              </w:rPr>
              <w:t>6</w:t>
            </w:r>
          </w:p>
        </w:tc>
      </w:tr>
      <w:tr w:rsidR="00422E28" w:rsidRPr="00833104" w14:paraId="207052BE" w14:textId="77777777" w:rsidTr="00DE3D73">
        <w:trPr>
          <w:trHeight w:val="288"/>
        </w:trPr>
        <w:tc>
          <w:tcPr>
            <w:tcW w:w="1256" w:type="dxa"/>
            <w:noWrap/>
            <w:hideMark/>
          </w:tcPr>
          <w:p w14:paraId="2940B22E" w14:textId="77777777" w:rsidR="00422E28" w:rsidRPr="00833104" w:rsidRDefault="00422E28" w:rsidP="00DE3D73">
            <w:pPr>
              <w:jc w:val="center"/>
              <w:rPr>
                <w:color w:val="000000"/>
                <w:szCs w:val="22"/>
                <w:lang w:val="es-ES_tradnl"/>
              </w:rPr>
            </w:pPr>
            <w:r w:rsidRPr="00833104">
              <w:rPr>
                <w:color w:val="000000"/>
                <w:lang w:val="es-ES_tradnl"/>
              </w:rPr>
              <w:t>PT</w:t>
            </w:r>
          </w:p>
        </w:tc>
        <w:tc>
          <w:tcPr>
            <w:tcW w:w="1291" w:type="dxa"/>
            <w:noWrap/>
            <w:hideMark/>
          </w:tcPr>
          <w:p w14:paraId="32005286" w14:textId="77777777" w:rsidR="00422E28" w:rsidRPr="00833104" w:rsidRDefault="00422E28" w:rsidP="00DE3D73">
            <w:pPr>
              <w:jc w:val="right"/>
              <w:rPr>
                <w:color w:val="000000"/>
                <w:szCs w:val="22"/>
                <w:lang w:val="es-ES_tradnl"/>
              </w:rPr>
            </w:pPr>
            <w:r w:rsidRPr="00833104">
              <w:rPr>
                <w:color w:val="000000"/>
                <w:lang w:val="es-ES_tradnl"/>
              </w:rPr>
              <w:t>5</w:t>
            </w:r>
          </w:p>
        </w:tc>
        <w:tc>
          <w:tcPr>
            <w:tcW w:w="2835" w:type="dxa"/>
            <w:noWrap/>
            <w:hideMark/>
          </w:tcPr>
          <w:p w14:paraId="516AA0EA" w14:textId="77777777" w:rsidR="00422E28" w:rsidRPr="00833104" w:rsidRDefault="00422E28" w:rsidP="00DE3D73">
            <w:pPr>
              <w:jc w:val="right"/>
              <w:rPr>
                <w:color w:val="000000"/>
                <w:szCs w:val="22"/>
                <w:lang w:val="es-ES_tradnl"/>
              </w:rPr>
            </w:pPr>
            <w:r w:rsidRPr="00833104">
              <w:rPr>
                <w:color w:val="000000"/>
                <w:lang w:val="es-ES_tradnl"/>
              </w:rPr>
              <w:t>1</w:t>
            </w:r>
          </w:p>
        </w:tc>
        <w:tc>
          <w:tcPr>
            <w:tcW w:w="2977" w:type="dxa"/>
            <w:noWrap/>
            <w:hideMark/>
          </w:tcPr>
          <w:p w14:paraId="02AC20BB" w14:textId="77777777" w:rsidR="00422E28" w:rsidRPr="00833104" w:rsidRDefault="00422E28" w:rsidP="00DE3D73">
            <w:pPr>
              <w:jc w:val="right"/>
              <w:rPr>
                <w:color w:val="000000"/>
                <w:szCs w:val="22"/>
                <w:lang w:val="es-ES_tradnl"/>
              </w:rPr>
            </w:pPr>
          </w:p>
        </w:tc>
      </w:tr>
      <w:tr w:rsidR="00422E28" w:rsidRPr="00833104" w14:paraId="1E5CC2CA" w14:textId="77777777" w:rsidTr="00DE3D73">
        <w:trPr>
          <w:trHeight w:val="288"/>
        </w:trPr>
        <w:tc>
          <w:tcPr>
            <w:tcW w:w="1256" w:type="dxa"/>
            <w:noWrap/>
            <w:hideMark/>
          </w:tcPr>
          <w:p w14:paraId="10230E55" w14:textId="77777777" w:rsidR="00422E28" w:rsidRPr="00833104" w:rsidRDefault="00422E28" w:rsidP="00DE3D73">
            <w:pPr>
              <w:jc w:val="center"/>
              <w:rPr>
                <w:color w:val="000000"/>
                <w:szCs w:val="22"/>
                <w:lang w:val="es-ES_tradnl"/>
              </w:rPr>
            </w:pPr>
            <w:r w:rsidRPr="00833104">
              <w:rPr>
                <w:color w:val="000000"/>
                <w:lang w:val="es-ES_tradnl"/>
              </w:rPr>
              <w:t>QA</w:t>
            </w:r>
          </w:p>
        </w:tc>
        <w:tc>
          <w:tcPr>
            <w:tcW w:w="1291" w:type="dxa"/>
            <w:noWrap/>
            <w:hideMark/>
          </w:tcPr>
          <w:p w14:paraId="2BE98C0D" w14:textId="77777777" w:rsidR="00422E28" w:rsidRPr="00833104" w:rsidRDefault="00422E28" w:rsidP="00DE3D73">
            <w:pPr>
              <w:jc w:val="right"/>
              <w:rPr>
                <w:color w:val="000000"/>
                <w:szCs w:val="22"/>
                <w:lang w:val="es-ES_tradnl"/>
              </w:rPr>
            </w:pPr>
            <w:r w:rsidRPr="00833104">
              <w:rPr>
                <w:color w:val="000000"/>
                <w:lang w:val="es-ES_tradnl"/>
              </w:rPr>
              <w:t>1</w:t>
            </w:r>
          </w:p>
        </w:tc>
        <w:tc>
          <w:tcPr>
            <w:tcW w:w="2835" w:type="dxa"/>
            <w:noWrap/>
            <w:hideMark/>
          </w:tcPr>
          <w:p w14:paraId="39AE98E7" w14:textId="77777777" w:rsidR="00422E28" w:rsidRPr="00833104" w:rsidRDefault="00422E28" w:rsidP="00DE3D73">
            <w:pPr>
              <w:jc w:val="right"/>
              <w:rPr>
                <w:color w:val="000000"/>
                <w:szCs w:val="22"/>
                <w:lang w:val="es-ES_tradnl"/>
              </w:rPr>
            </w:pPr>
          </w:p>
        </w:tc>
        <w:tc>
          <w:tcPr>
            <w:tcW w:w="2977" w:type="dxa"/>
            <w:noWrap/>
            <w:hideMark/>
          </w:tcPr>
          <w:p w14:paraId="7A2CA903" w14:textId="77777777" w:rsidR="00422E28" w:rsidRPr="00833104" w:rsidRDefault="00422E28" w:rsidP="00DE3D73">
            <w:pPr>
              <w:jc w:val="right"/>
              <w:rPr>
                <w:color w:val="000000"/>
                <w:szCs w:val="22"/>
                <w:lang w:val="es-ES_tradnl"/>
              </w:rPr>
            </w:pPr>
          </w:p>
        </w:tc>
      </w:tr>
      <w:tr w:rsidR="00422E28" w:rsidRPr="00833104" w14:paraId="0B7F242A" w14:textId="77777777" w:rsidTr="00DE3D73">
        <w:trPr>
          <w:trHeight w:val="288"/>
        </w:trPr>
        <w:tc>
          <w:tcPr>
            <w:tcW w:w="1256" w:type="dxa"/>
            <w:noWrap/>
            <w:hideMark/>
          </w:tcPr>
          <w:p w14:paraId="67A98C08" w14:textId="77777777" w:rsidR="00422E28" w:rsidRPr="00833104" w:rsidRDefault="00422E28" w:rsidP="00DE3D73">
            <w:pPr>
              <w:jc w:val="center"/>
              <w:rPr>
                <w:color w:val="000000"/>
                <w:szCs w:val="22"/>
                <w:lang w:val="es-ES_tradnl"/>
              </w:rPr>
            </w:pPr>
            <w:r w:rsidRPr="00833104">
              <w:rPr>
                <w:color w:val="000000"/>
                <w:lang w:val="es-ES_tradnl"/>
              </w:rPr>
              <w:t>RU</w:t>
            </w:r>
          </w:p>
        </w:tc>
        <w:tc>
          <w:tcPr>
            <w:tcW w:w="1291" w:type="dxa"/>
            <w:noWrap/>
            <w:hideMark/>
          </w:tcPr>
          <w:p w14:paraId="6E6E0823" w14:textId="77777777" w:rsidR="00422E28" w:rsidRPr="00833104" w:rsidRDefault="00422E28" w:rsidP="00DE3D73">
            <w:pPr>
              <w:jc w:val="right"/>
              <w:rPr>
                <w:color w:val="000000"/>
                <w:szCs w:val="22"/>
                <w:lang w:val="es-ES_tradnl"/>
              </w:rPr>
            </w:pPr>
            <w:r w:rsidRPr="00833104">
              <w:rPr>
                <w:color w:val="000000"/>
                <w:lang w:val="es-ES_tradnl"/>
              </w:rPr>
              <w:t>44</w:t>
            </w:r>
          </w:p>
        </w:tc>
        <w:tc>
          <w:tcPr>
            <w:tcW w:w="2835" w:type="dxa"/>
            <w:noWrap/>
            <w:hideMark/>
          </w:tcPr>
          <w:p w14:paraId="0E3B22E0" w14:textId="77777777" w:rsidR="00422E28" w:rsidRPr="00833104" w:rsidRDefault="00422E28" w:rsidP="00DE3D73">
            <w:pPr>
              <w:jc w:val="right"/>
              <w:rPr>
                <w:color w:val="000000"/>
                <w:szCs w:val="22"/>
                <w:lang w:val="es-ES_tradnl"/>
              </w:rPr>
            </w:pPr>
            <w:r w:rsidRPr="00833104">
              <w:rPr>
                <w:color w:val="000000"/>
                <w:lang w:val="es-ES_tradnl"/>
              </w:rPr>
              <w:t>3</w:t>
            </w:r>
          </w:p>
        </w:tc>
        <w:tc>
          <w:tcPr>
            <w:tcW w:w="2977" w:type="dxa"/>
            <w:noWrap/>
            <w:hideMark/>
          </w:tcPr>
          <w:p w14:paraId="0DB59E1B" w14:textId="77777777" w:rsidR="00422E28" w:rsidRPr="00833104" w:rsidRDefault="00422E28" w:rsidP="00DE3D73">
            <w:pPr>
              <w:jc w:val="right"/>
              <w:rPr>
                <w:color w:val="000000"/>
                <w:szCs w:val="22"/>
                <w:lang w:val="es-ES_tradnl"/>
              </w:rPr>
            </w:pPr>
            <w:r w:rsidRPr="00833104">
              <w:rPr>
                <w:color w:val="000000"/>
                <w:lang w:val="es-ES_tradnl"/>
              </w:rPr>
              <w:t>1</w:t>
            </w:r>
          </w:p>
        </w:tc>
      </w:tr>
      <w:tr w:rsidR="00422E28" w:rsidRPr="00833104" w14:paraId="041329FE" w14:textId="77777777" w:rsidTr="00DE3D73">
        <w:trPr>
          <w:trHeight w:val="288"/>
        </w:trPr>
        <w:tc>
          <w:tcPr>
            <w:tcW w:w="1256" w:type="dxa"/>
            <w:noWrap/>
            <w:hideMark/>
          </w:tcPr>
          <w:p w14:paraId="279B1522" w14:textId="77777777" w:rsidR="00422E28" w:rsidRPr="00833104" w:rsidRDefault="00422E28" w:rsidP="00DE3D73">
            <w:pPr>
              <w:jc w:val="center"/>
              <w:rPr>
                <w:color w:val="000000"/>
                <w:szCs w:val="22"/>
                <w:lang w:val="es-ES_tradnl"/>
              </w:rPr>
            </w:pPr>
            <w:r w:rsidRPr="00833104">
              <w:rPr>
                <w:color w:val="000000"/>
                <w:lang w:val="es-ES_tradnl"/>
              </w:rPr>
              <w:t>SE</w:t>
            </w:r>
          </w:p>
        </w:tc>
        <w:tc>
          <w:tcPr>
            <w:tcW w:w="1291" w:type="dxa"/>
            <w:noWrap/>
            <w:hideMark/>
          </w:tcPr>
          <w:p w14:paraId="038683D6" w14:textId="77777777" w:rsidR="00422E28" w:rsidRPr="00833104" w:rsidRDefault="00422E28" w:rsidP="00DE3D73">
            <w:pPr>
              <w:jc w:val="right"/>
              <w:rPr>
                <w:color w:val="000000"/>
                <w:szCs w:val="22"/>
                <w:lang w:val="es-ES_tradnl"/>
              </w:rPr>
            </w:pPr>
            <w:r w:rsidRPr="00833104">
              <w:rPr>
                <w:color w:val="000000"/>
                <w:lang w:val="es-ES_tradnl"/>
              </w:rPr>
              <w:t>26</w:t>
            </w:r>
          </w:p>
        </w:tc>
        <w:tc>
          <w:tcPr>
            <w:tcW w:w="2835" w:type="dxa"/>
            <w:noWrap/>
            <w:hideMark/>
          </w:tcPr>
          <w:p w14:paraId="5A7C4AFC" w14:textId="77777777" w:rsidR="00422E28" w:rsidRPr="00833104" w:rsidRDefault="00422E28" w:rsidP="00DE3D73">
            <w:pPr>
              <w:jc w:val="right"/>
              <w:rPr>
                <w:color w:val="000000"/>
                <w:szCs w:val="22"/>
                <w:lang w:val="es-ES_tradnl"/>
              </w:rPr>
            </w:pPr>
            <w:r w:rsidRPr="00833104">
              <w:rPr>
                <w:color w:val="000000"/>
                <w:lang w:val="es-ES_tradnl"/>
              </w:rPr>
              <w:t>1</w:t>
            </w:r>
          </w:p>
        </w:tc>
        <w:tc>
          <w:tcPr>
            <w:tcW w:w="2977" w:type="dxa"/>
            <w:noWrap/>
            <w:hideMark/>
          </w:tcPr>
          <w:p w14:paraId="6D557FC2" w14:textId="77777777" w:rsidR="00422E28" w:rsidRPr="00833104" w:rsidRDefault="00422E28" w:rsidP="00DE3D73">
            <w:pPr>
              <w:jc w:val="right"/>
              <w:rPr>
                <w:color w:val="000000"/>
                <w:szCs w:val="22"/>
                <w:lang w:val="es-ES_tradnl"/>
              </w:rPr>
            </w:pPr>
            <w:r w:rsidRPr="00833104">
              <w:rPr>
                <w:color w:val="000000"/>
                <w:lang w:val="es-ES_tradnl"/>
              </w:rPr>
              <w:t>1</w:t>
            </w:r>
          </w:p>
        </w:tc>
      </w:tr>
      <w:tr w:rsidR="00422E28" w:rsidRPr="00833104" w14:paraId="2DB434B5" w14:textId="77777777" w:rsidTr="00DE3D73">
        <w:trPr>
          <w:trHeight w:val="288"/>
        </w:trPr>
        <w:tc>
          <w:tcPr>
            <w:tcW w:w="1256" w:type="dxa"/>
            <w:noWrap/>
            <w:hideMark/>
          </w:tcPr>
          <w:p w14:paraId="6E3EBA21" w14:textId="77777777" w:rsidR="00422E28" w:rsidRPr="00833104" w:rsidRDefault="00422E28" w:rsidP="00DE3D73">
            <w:pPr>
              <w:jc w:val="center"/>
              <w:rPr>
                <w:color w:val="000000"/>
                <w:szCs w:val="22"/>
                <w:lang w:val="es-ES_tradnl"/>
              </w:rPr>
            </w:pPr>
            <w:r w:rsidRPr="00833104">
              <w:rPr>
                <w:color w:val="000000"/>
                <w:lang w:val="es-ES_tradnl"/>
              </w:rPr>
              <w:t>SG</w:t>
            </w:r>
          </w:p>
        </w:tc>
        <w:tc>
          <w:tcPr>
            <w:tcW w:w="1291" w:type="dxa"/>
            <w:noWrap/>
            <w:hideMark/>
          </w:tcPr>
          <w:p w14:paraId="7777816A" w14:textId="77777777" w:rsidR="00422E28" w:rsidRPr="00833104" w:rsidRDefault="00422E28" w:rsidP="00DE3D73">
            <w:pPr>
              <w:jc w:val="right"/>
              <w:rPr>
                <w:color w:val="000000"/>
                <w:szCs w:val="22"/>
                <w:lang w:val="es-ES_tradnl"/>
              </w:rPr>
            </w:pPr>
            <w:r w:rsidRPr="00833104">
              <w:rPr>
                <w:color w:val="000000"/>
                <w:lang w:val="es-ES_tradnl"/>
              </w:rPr>
              <w:t>190</w:t>
            </w:r>
          </w:p>
        </w:tc>
        <w:tc>
          <w:tcPr>
            <w:tcW w:w="2835" w:type="dxa"/>
            <w:noWrap/>
            <w:hideMark/>
          </w:tcPr>
          <w:p w14:paraId="3EACC268" w14:textId="77777777" w:rsidR="00422E28" w:rsidRPr="00833104" w:rsidRDefault="00422E28" w:rsidP="00DE3D73">
            <w:pPr>
              <w:jc w:val="right"/>
              <w:rPr>
                <w:color w:val="000000"/>
                <w:szCs w:val="22"/>
                <w:lang w:val="es-ES_tradnl"/>
              </w:rPr>
            </w:pPr>
            <w:r w:rsidRPr="00833104">
              <w:rPr>
                <w:color w:val="000000"/>
                <w:lang w:val="es-ES_tradnl"/>
              </w:rPr>
              <w:t>1</w:t>
            </w:r>
          </w:p>
        </w:tc>
        <w:tc>
          <w:tcPr>
            <w:tcW w:w="2977" w:type="dxa"/>
            <w:noWrap/>
            <w:hideMark/>
          </w:tcPr>
          <w:p w14:paraId="04AAF636" w14:textId="77777777" w:rsidR="00422E28" w:rsidRPr="00833104" w:rsidRDefault="00422E28" w:rsidP="00DE3D73">
            <w:pPr>
              <w:jc w:val="right"/>
              <w:rPr>
                <w:color w:val="000000"/>
                <w:szCs w:val="22"/>
                <w:lang w:val="es-ES_tradnl"/>
              </w:rPr>
            </w:pPr>
            <w:r w:rsidRPr="00833104">
              <w:rPr>
                <w:color w:val="000000"/>
                <w:lang w:val="es-ES_tradnl"/>
              </w:rPr>
              <w:t>7</w:t>
            </w:r>
          </w:p>
        </w:tc>
      </w:tr>
      <w:tr w:rsidR="00422E28" w:rsidRPr="00833104" w14:paraId="578E22DF" w14:textId="77777777" w:rsidTr="00DE3D73">
        <w:trPr>
          <w:trHeight w:val="288"/>
        </w:trPr>
        <w:tc>
          <w:tcPr>
            <w:tcW w:w="1256" w:type="dxa"/>
            <w:noWrap/>
            <w:hideMark/>
          </w:tcPr>
          <w:p w14:paraId="7556DB58" w14:textId="77777777" w:rsidR="00422E28" w:rsidRPr="00833104" w:rsidRDefault="00422E28" w:rsidP="00DE3D73">
            <w:pPr>
              <w:jc w:val="center"/>
              <w:rPr>
                <w:color w:val="000000"/>
                <w:szCs w:val="22"/>
                <w:lang w:val="es-ES_tradnl"/>
              </w:rPr>
            </w:pPr>
            <w:r w:rsidRPr="00833104">
              <w:rPr>
                <w:color w:val="000000"/>
                <w:lang w:val="es-ES_tradnl"/>
              </w:rPr>
              <w:t>SK</w:t>
            </w:r>
          </w:p>
        </w:tc>
        <w:tc>
          <w:tcPr>
            <w:tcW w:w="1291" w:type="dxa"/>
            <w:noWrap/>
            <w:hideMark/>
          </w:tcPr>
          <w:p w14:paraId="2029A5C6" w14:textId="77777777" w:rsidR="00422E28" w:rsidRPr="00833104" w:rsidRDefault="00422E28" w:rsidP="00DE3D73">
            <w:pPr>
              <w:jc w:val="right"/>
              <w:rPr>
                <w:color w:val="000000"/>
                <w:szCs w:val="22"/>
                <w:lang w:val="es-ES_tradnl"/>
              </w:rPr>
            </w:pPr>
            <w:r w:rsidRPr="00833104">
              <w:rPr>
                <w:color w:val="000000"/>
                <w:lang w:val="es-ES_tradnl"/>
              </w:rPr>
              <w:t>2</w:t>
            </w:r>
          </w:p>
        </w:tc>
        <w:tc>
          <w:tcPr>
            <w:tcW w:w="2835" w:type="dxa"/>
            <w:noWrap/>
            <w:hideMark/>
          </w:tcPr>
          <w:p w14:paraId="78C9587F" w14:textId="77777777" w:rsidR="00422E28" w:rsidRPr="00833104" w:rsidRDefault="00422E28" w:rsidP="00DE3D73">
            <w:pPr>
              <w:jc w:val="right"/>
              <w:rPr>
                <w:color w:val="000000"/>
                <w:szCs w:val="22"/>
                <w:lang w:val="es-ES_tradnl"/>
              </w:rPr>
            </w:pPr>
          </w:p>
        </w:tc>
        <w:tc>
          <w:tcPr>
            <w:tcW w:w="2977" w:type="dxa"/>
            <w:noWrap/>
            <w:hideMark/>
          </w:tcPr>
          <w:p w14:paraId="5F54E97C" w14:textId="77777777" w:rsidR="00422E28" w:rsidRPr="00833104" w:rsidRDefault="00422E28" w:rsidP="00DE3D73">
            <w:pPr>
              <w:jc w:val="right"/>
              <w:rPr>
                <w:color w:val="000000"/>
                <w:szCs w:val="22"/>
                <w:lang w:val="es-ES_tradnl"/>
              </w:rPr>
            </w:pPr>
            <w:r w:rsidRPr="00833104">
              <w:rPr>
                <w:color w:val="000000"/>
                <w:lang w:val="es-ES_tradnl"/>
              </w:rPr>
              <w:t>1</w:t>
            </w:r>
          </w:p>
        </w:tc>
      </w:tr>
      <w:tr w:rsidR="00422E28" w:rsidRPr="00833104" w14:paraId="7D1FCFBD" w14:textId="77777777" w:rsidTr="00DE3D73">
        <w:trPr>
          <w:trHeight w:val="288"/>
        </w:trPr>
        <w:tc>
          <w:tcPr>
            <w:tcW w:w="1256" w:type="dxa"/>
            <w:noWrap/>
            <w:hideMark/>
          </w:tcPr>
          <w:p w14:paraId="02DCA347" w14:textId="77777777" w:rsidR="00422E28" w:rsidRPr="00833104" w:rsidRDefault="00422E28" w:rsidP="00DE3D73">
            <w:pPr>
              <w:jc w:val="center"/>
              <w:rPr>
                <w:color w:val="000000"/>
                <w:szCs w:val="22"/>
                <w:lang w:val="es-ES_tradnl"/>
              </w:rPr>
            </w:pPr>
            <w:r w:rsidRPr="00833104">
              <w:rPr>
                <w:color w:val="000000"/>
                <w:lang w:val="es-ES_tradnl"/>
              </w:rPr>
              <w:t>TH</w:t>
            </w:r>
          </w:p>
        </w:tc>
        <w:tc>
          <w:tcPr>
            <w:tcW w:w="1291" w:type="dxa"/>
            <w:noWrap/>
            <w:hideMark/>
          </w:tcPr>
          <w:p w14:paraId="65707B3C" w14:textId="77777777" w:rsidR="00422E28" w:rsidRPr="00833104" w:rsidRDefault="00422E28" w:rsidP="00DE3D73">
            <w:pPr>
              <w:jc w:val="right"/>
              <w:rPr>
                <w:color w:val="000000"/>
                <w:szCs w:val="22"/>
                <w:lang w:val="es-ES_tradnl"/>
              </w:rPr>
            </w:pPr>
            <w:r w:rsidRPr="00833104">
              <w:rPr>
                <w:color w:val="000000"/>
                <w:lang w:val="es-ES_tradnl"/>
              </w:rPr>
              <w:t>11</w:t>
            </w:r>
          </w:p>
        </w:tc>
        <w:tc>
          <w:tcPr>
            <w:tcW w:w="2835" w:type="dxa"/>
            <w:noWrap/>
            <w:hideMark/>
          </w:tcPr>
          <w:p w14:paraId="27349F97" w14:textId="77777777" w:rsidR="00422E28" w:rsidRPr="00833104" w:rsidRDefault="00422E28" w:rsidP="00DE3D73">
            <w:pPr>
              <w:jc w:val="right"/>
              <w:rPr>
                <w:color w:val="000000"/>
                <w:szCs w:val="22"/>
                <w:lang w:val="es-ES_tradnl"/>
              </w:rPr>
            </w:pPr>
            <w:r w:rsidRPr="00833104">
              <w:rPr>
                <w:color w:val="000000"/>
                <w:lang w:val="es-ES_tradnl"/>
              </w:rPr>
              <w:t>2</w:t>
            </w:r>
          </w:p>
        </w:tc>
        <w:tc>
          <w:tcPr>
            <w:tcW w:w="2977" w:type="dxa"/>
            <w:noWrap/>
            <w:hideMark/>
          </w:tcPr>
          <w:p w14:paraId="28DB38D3" w14:textId="77777777" w:rsidR="00422E28" w:rsidRPr="00833104" w:rsidRDefault="00422E28" w:rsidP="00DE3D73">
            <w:pPr>
              <w:jc w:val="right"/>
              <w:rPr>
                <w:color w:val="000000"/>
                <w:szCs w:val="22"/>
                <w:lang w:val="es-ES_tradnl"/>
              </w:rPr>
            </w:pPr>
            <w:r w:rsidRPr="00833104">
              <w:rPr>
                <w:color w:val="000000"/>
                <w:lang w:val="es-ES_tradnl"/>
              </w:rPr>
              <w:t>4</w:t>
            </w:r>
          </w:p>
        </w:tc>
      </w:tr>
      <w:tr w:rsidR="00422E28" w:rsidRPr="00833104" w14:paraId="7091E496" w14:textId="77777777" w:rsidTr="00DE3D73">
        <w:trPr>
          <w:trHeight w:val="288"/>
        </w:trPr>
        <w:tc>
          <w:tcPr>
            <w:tcW w:w="1256" w:type="dxa"/>
            <w:noWrap/>
            <w:hideMark/>
          </w:tcPr>
          <w:p w14:paraId="487184BD" w14:textId="77777777" w:rsidR="00422E28" w:rsidRPr="00833104" w:rsidRDefault="00422E28" w:rsidP="00DE3D73">
            <w:pPr>
              <w:jc w:val="center"/>
              <w:rPr>
                <w:color w:val="000000"/>
                <w:szCs w:val="22"/>
                <w:lang w:val="es-ES_tradnl"/>
              </w:rPr>
            </w:pPr>
            <w:r w:rsidRPr="00833104">
              <w:rPr>
                <w:color w:val="000000"/>
                <w:lang w:val="es-ES_tradnl"/>
              </w:rPr>
              <w:t>TR</w:t>
            </w:r>
          </w:p>
        </w:tc>
        <w:tc>
          <w:tcPr>
            <w:tcW w:w="1291" w:type="dxa"/>
            <w:noWrap/>
            <w:hideMark/>
          </w:tcPr>
          <w:p w14:paraId="45FE22E6" w14:textId="77777777" w:rsidR="00422E28" w:rsidRPr="00833104" w:rsidRDefault="00422E28" w:rsidP="00DE3D73">
            <w:pPr>
              <w:jc w:val="right"/>
              <w:rPr>
                <w:color w:val="000000"/>
                <w:szCs w:val="22"/>
                <w:lang w:val="es-ES_tradnl"/>
              </w:rPr>
            </w:pPr>
            <w:r w:rsidRPr="00833104">
              <w:rPr>
                <w:color w:val="000000"/>
                <w:lang w:val="es-ES_tradnl"/>
              </w:rPr>
              <w:t>43</w:t>
            </w:r>
          </w:p>
        </w:tc>
        <w:tc>
          <w:tcPr>
            <w:tcW w:w="2835" w:type="dxa"/>
            <w:noWrap/>
            <w:hideMark/>
          </w:tcPr>
          <w:p w14:paraId="418D9C09" w14:textId="77777777" w:rsidR="00422E28" w:rsidRPr="00833104" w:rsidRDefault="00422E28" w:rsidP="00DE3D73">
            <w:pPr>
              <w:jc w:val="right"/>
              <w:rPr>
                <w:color w:val="000000"/>
                <w:szCs w:val="22"/>
                <w:lang w:val="es-ES_tradnl"/>
              </w:rPr>
            </w:pPr>
            <w:r w:rsidRPr="00833104">
              <w:rPr>
                <w:color w:val="000000"/>
                <w:lang w:val="es-ES_tradnl"/>
              </w:rPr>
              <w:t>4</w:t>
            </w:r>
          </w:p>
        </w:tc>
        <w:tc>
          <w:tcPr>
            <w:tcW w:w="2977" w:type="dxa"/>
            <w:noWrap/>
            <w:hideMark/>
          </w:tcPr>
          <w:p w14:paraId="70A7CDDF" w14:textId="77777777" w:rsidR="00422E28" w:rsidRPr="00833104" w:rsidRDefault="00422E28" w:rsidP="00DE3D73">
            <w:pPr>
              <w:jc w:val="right"/>
              <w:rPr>
                <w:color w:val="000000"/>
                <w:szCs w:val="22"/>
                <w:lang w:val="es-ES_tradnl"/>
              </w:rPr>
            </w:pPr>
            <w:r w:rsidRPr="00833104">
              <w:rPr>
                <w:color w:val="000000"/>
                <w:lang w:val="es-ES_tradnl"/>
              </w:rPr>
              <w:t>10</w:t>
            </w:r>
          </w:p>
        </w:tc>
      </w:tr>
      <w:tr w:rsidR="00422E28" w:rsidRPr="00833104" w14:paraId="39B7FE66" w14:textId="77777777" w:rsidTr="00DE3D73">
        <w:trPr>
          <w:trHeight w:val="288"/>
        </w:trPr>
        <w:tc>
          <w:tcPr>
            <w:tcW w:w="1256" w:type="dxa"/>
            <w:noWrap/>
            <w:hideMark/>
          </w:tcPr>
          <w:p w14:paraId="27FB4302" w14:textId="77777777" w:rsidR="00422E28" w:rsidRPr="00833104" w:rsidRDefault="00422E28" w:rsidP="00DE3D73">
            <w:pPr>
              <w:jc w:val="center"/>
              <w:rPr>
                <w:color w:val="000000"/>
                <w:szCs w:val="22"/>
                <w:lang w:val="es-ES_tradnl"/>
              </w:rPr>
            </w:pPr>
            <w:r w:rsidRPr="00833104">
              <w:rPr>
                <w:color w:val="000000"/>
                <w:lang w:val="es-ES_tradnl"/>
              </w:rPr>
              <w:t>US</w:t>
            </w:r>
          </w:p>
        </w:tc>
        <w:tc>
          <w:tcPr>
            <w:tcW w:w="1291" w:type="dxa"/>
            <w:noWrap/>
            <w:hideMark/>
          </w:tcPr>
          <w:p w14:paraId="6D466895" w14:textId="77777777" w:rsidR="00422E28" w:rsidRPr="00833104" w:rsidRDefault="00422E28" w:rsidP="00DE3D73">
            <w:pPr>
              <w:jc w:val="right"/>
              <w:rPr>
                <w:color w:val="000000"/>
                <w:szCs w:val="22"/>
                <w:lang w:val="es-ES_tradnl"/>
              </w:rPr>
            </w:pPr>
            <w:r w:rsidRPr="00833104">
              <w:rPr>
                <w:color w:val="000000"/>
                <w:lang w:val="es-ES_tradnl"/>
              </w:rPr>
              <w:t>12 179</w:t>
            </w:r>
          </w:p>
        </w:tc>
        <w:tc>
          <w:tcPr>
            <w:tcW w:w="2835" w:type="dxa"/>
            <w:noWrap/>
            <w:hideMark/>
          </w:tcPr>
          <w:p w14:paraId="4127198F" w14:textId="77777777" w:rsidR="00422E28" w:rsidRPr="00833104" w:rsidRDefault="00422E28" w:rsidP="00DE3D73">
            <w:pPr>
              <w:jc w:val="right"/>
              <w:rPr>
                <w:color w:val="000000"/>
                <w:szCs w:val="22"/>
                <w:lang w:val="es-ES_tradnl"/>
              </w:rPr>
            </w:pPr>
            <w:r w:rsidRPr="00833104">
              <w:rPr>
                <w:color w:val="000000"/>
                <w:lang w:val="es-ES_tradnl"/>
              </w:rPr>
              <w:t>991</w:t>
            </w:r>
          </w:p>
        </w:tc>
        <w:tc>
          <w:tcPr>
            <w:tcW w:w="2977" w:type="dxa"/>
            <w:noWrap/>
            <w:hideMark/>
          </w:tcPr>
          <w:p w14:paraId="140C5F7D" w14:textId="77777777" w:rsidR="00422E28" w:rsidRPr="00833104" w:rsidRDefault="00422E28" w:rsidP="00DE3D73">
            <w:pPr>
              <w:jc w:val="right"/>
              <w:rPr>
                <w:color w:val="000000"/>
                <w:szCs w:val="22"/>
                <w:lang w:val="es-ES_tradnl"/>
              </w:rPr>
            </w:pPr>
            <w:r w:rsidRPr="00833104">
              <w:rPr>
                <w:color w:val="000000"/>
                <w:lang w:val="es-ES_tradnl"/>
              </w:rPr>
              <w:t>2 336</w:t>
            </w:r>
          </w:p>
        </w:tc>
      </w:tr>
      <w:tr w:rsidR="00422E28" w:rsidRPr="00833104" w14:paraId="28493D89" w14:textId="77777777" w:rsidTr="00DE3D73">
        <w:trPr>
          <w:trHeight w:val="288"/>
        </w:trPr>
        <w:tc>
          <w:tcPr>
            <w:tcW w:w="1256" w:type="dxa"/>
            <w:noWrap/>
            <w:hideMark/>
          </w:tcPr>
          <w:p w14:paraId="62A76D8A" w14:textId="77777777" w:rsidR="00422E28" w:rsidRPr="00833104" w:rsidRDefault="00422E28" w:rsidP="00DE3D73">
            <w:pPr>
              <w:jc w:val="center"/>
              <w:rPr>
                <w:color w:val="000000"/>
                <w:szCs w:val="22"/>
                <w:lang w:val="es-ES_tradnl"/>
              </w:rPr>
            </w:pPr>
            <w:r w:rsidRPr="00833104">
              <w:rPr>
                <w:color w:val="000000"/>
                <w:lang w:val="es-ES_tradnl"/>
              </w:rPr>
              <w:t>ZA</w:t>
            </w:r>
          </w:p>
        </w:tc>
        <w:tc>
          <w:tcPr>
            <w:tcW w:w="1291" w:type="dxa"/>
            <w:noWrap/>
            <w:hideMark/>
          </w:tcPr>
          <w:p w14:paraId="4C2222D8" w14:textId="77777777" w:rsidR="00422E28" w:rsidRPr="00833104" w:rsidRDefault="00422E28" w:rsidP="00DE3D73">
            <w:pPr>
              <w:jc w:val="right"/>
              <w:rPr>
                <w:color w:val="000000"/>
                <w:szCs w:val="22"/>
                <w:lang w:val="es-ES_tradnl"/>
              </w:rPr>
            </w:pPr>
            <w:r w:rsidRPr="00833104">
              <w:rPr>
                <w:color w:val="000000"/>
                <w:lang w:val="es-ES_tradnl"/>
              </w:rPr>
              <w:t>1</w:t>
            </w:r>
          </w:p>
        </w:tc>
        <w:tc>
          <w:tcPr>
            <w:tcW w:w="2835" w:type="dxa"/>
            <w:noWrap/>
            <w:hideMark/>
          </w:tcPr>
          <w:p w14:paraId="549F9EE5" w14:textId="77777777" w:rsidR="00422E28" w:rsidRPr="00833104" w:rsidRDefault="00422E28" w:rsidP="00DE3D73">
            <w:pPr>
              <w:jc w:val="right"/>
              <w:rPr>
                <w:color w:val="000000"/>
                <w:szCs w:val="22"/>
                <w:lang w:val="es-ES_tradnl"/>
              </w:rPr>
            </w:pPr>
          </w:p>
        </w:tc>
        <w:tc>
          <w:tcPr>
            <w:tcW w:w="2977" w:type="dxa"/>
            <w:noWrap/>
            <w:hideMark/>
          </w:tcPr>
          <w:p w14:paraId="0A9F9CA6" w14:textId="77777777" w:rsidR="00422E28" w:rsidRPr="00833104" w:rsidRDefault="00422E28" w:rsidP="00DE3D73">
            <w:pPr>
              <w:jc w:val="right"/>
              <w:rPr>
                <w:color w:val="000000"/>
                <w:szCs w:val="22"/>
                <w:lang w:val="es-ES_tradnl"/>
              </w:rPr>
            </w:pPr>
          </w:p>
        </w:tc>
      </w:tr>
    </w:tbl>
    <w:p w14:paraId="1CCA7136" w14:textId="77777777" w:rsidR="00422E28" w:rsidRPr="00833104" w:rsidRDefault="00422E28" w:rsidP="00422E28">
      <w:pPr>
        <w:pStyle w:val="ONUMFS"/>
        <w:spacing w:before="240" w:after="360"/>
        <w:rPr>
          <w:lang w:val="es-ES_tradnl"/>
        </w:rPr>
      </w:pPr>
      <w:r w:rsidRPr="00833104">
        <w:rPr>
          <w:lang w:val="es-ES_tradnl"/>
        </w:rPr>
        <w:t>Los motivos por los que se recurre a la Regla 13</w:t>
      </w:r>
      <w:r w:rsidRPr="00833104">
        <w:rPr>
          <w:i/>
          <w:iCs/>
          <w:lang w:val="es-ES_tradnl"/>
        </w:rPr>
        <w:t>ter</w:t>
      </w:r>
      <w:r w:rsidRPr="00833104">
        <w:rPr>
          <w:lang w:val="es-ES_tradnl"/>
        </w:rPr>
        <w:t xml:space="preserve"> requieren un estudio, si bien las variaciones dependen tanto de la Administración encargada de la búsqueda internacional como del origen de la lista. En algunos Estados es más común que en otros que se preparen solicitudes internacionales con secuencias –que, en virtud de la Regla 5.2.a), deben incluirse en una lista– sin proporcionar la lista como parte de la solicitud. Algunas Administraciones internacionales comprueban las listas de secuencias presentadas más que otras y es más probable que exijan una lista conforme a la Regla 13</w:t>
      </w:r>
      <w:r w:rsidRPr="00833104">
        <w:rPr>
          <w:i/>
          <w:iCs/>
          <w:lang w:val="es-ES_tradnl"/>
        </w:rPr>
        <w:t>ter</w:t>
      </w:r>
      <w:r w:rsidRPr="00833104">
        <w:rPr>
          <w:lang w:val="es-ES_tradnl"/>
        </w:rPr>
        <w:t xml:space="preserve"> a efectos de la búsqueda internacional si se encuentra un defecto en una lista o si el cuerpo de la solicitud contiene secuencias que no figuran en una lista.</w:t>
      </w:r>
    </w:p>
    <w:p w14:paraId="1D65E030" w14:textId="77777777" w:rsidR="00422E28" w:rsidRPr="00833104" w:rsidRDefault="00422E28" w:rsidP="00422E28">
      <w:pPr>
        <w:pStyle w:val="Heading3"/>
        <w:spacing w:before="0" w:after="120"/>
        <w:rPr>
          <w:lang w:val="es-ES_tradnl"/>
        </w:rPr>
      </w:pPr>
      <w:r w:rsidRPr="00833104">
        <w:rPr>
          <w:lang w:val="es-ES_tradnl"/>
        </w:rPr>
        <w:t>Comprobaciones manuales durante el tratamiento de las listas de secuencias</w:t>
      </w:r>
    </w:p>
    <w:p w14:paraId="6856546C" w14:textId="77777777" w:rsidR="00422E28" w:rsidRPr="00833104" w:rsidRDefault="00422E28" w:rsidP="00422E28">
      <w:pPr>
        <w:pStyle w:val="ONUMFS"/>
        <w:rPr>
          <w:lang w:val="es-ES_tradnl"/>
        </w:rPr>
      </w:pPr>
      <w:r w:rsidRPr="00833104">
        <w:rPr>
          <w:lang w:val="es-ES_tradnl"/>
        </w:rPr>
        <w:t>La Oficina Europea de Patentes y la Oficina de Patentes y Marcas de los Estados Unidos han facilitado al Equipo Técnico sobre Listas de Secuencias información detallada sobre las comprobaciones que llevan a cabo en las listas más allá de las comprobaciones que realizan automáticamente WIPO Sequence y WIPO Sequence Validator, las cuales desencadenan muchas de las peticiones relativas a las listas en virtud de la Regla 13</w:t>
      </w:r>
      <w:r w:rsidRPr="00833104">
        <w:rPr>
          <w:i/>
          <w:iCs/>
          <w:lang w:val="es-ES_tradnl"/>
        </w:rPr>
        <w:t>ter</w:t>
      </w:r>
      <w:r w:rsidRPr="00833104">
        <w:rPr>
          <w:lang w:val="es-ES_tradnl"/>
        </w:rPr>
        <w:t>. La información sobre esos controles puede ser útil para que otras Oficinas nacionales mejoren la tramitación de los expedientes recibidos con listas.</w:t>
      </w:r>
    </w:p>
    <w:p w14:paraId="52F19BE9" w14:textId="77777777" w:rsidR="00422E28" w:rsidRPr="00833104" w:rsidRDefault="00422E28" w:rsidP="00833104">
      <w:pPr>
        <w:pStyle w:val="ONUMFS"/>
        <w:spacing w:after="120"/>
        <w:rPr>
          <w:lang w:val="es-ES_tradnl"/>
        </w:rPr>
      </w:pPr>
      <w:bookmarkStart w:id="6" w:name="_Ref187851302"/>
      <w:r w:rsidRPr="00833104">
        <w:rPr>
          <w:lang w:val="es-ES_tradnl"/>
        </w:rPr>
        <w:t>Es necesario estudiar más a fondo los tipos de defectos más comunes y sus consecuencias para la búsqueda internacional a fin de determinar qué medidas, en su caso, deben considerarse en relación con:</w:t>
      </w:r>
      <w:bookmarkEnd w:id="6"/>
    </w:p>
    <w:p w14:paraId="19F709F8" w14:textId="77777777" w:rsidR="00422E28" w:rsidRPr="00833104" w:rsidRDefault="00422E28" w:rsidP="00833104">
      <w:pPr>
        <w:pStyle w:val="ONUMFS"/>
        <w:numPr>
          <w:ilvl w:val="1"/>
          <w:numId w:val="6"/>
        </w:numPr>
        <w:spacing w:after="120"/>
        <w:rPr>
          <w:lang w:val="es-ES_tradnl"/>
        </w:rPr>
      </w:pPr>
      <w:r w:rsidRPr="00833104">
        <w:rPr>
          <w:lang w:val="es-ES_tradnl"/>
        </w:rPr>
        <w:t>formación de los solicitantes sobre el requisito de incluir una lista de secuencias como parte de la descripción y los requisitos de la Norma ST.26 de la OMPI;</w:t>
      </w:r>
    </w:p>
    <w:p w14:paraId="35463E25" w14:textId="77777777" w:rsidR="00422E28" w:rsidRPr="00833104" w:rsidRDefault="00422E28" w:rsidP="00833104">
      <w:pPr>
        <w:pStyle w:val="ONUMFS"/>
        <w:numPr>
          <w:ilvl w:val="1"/>
          <w:numId w:val="6"/>
        </w:numPr>
        <w:spacing w:after="120"/>
        <w:rPr>
          <w:lang w:val="es-ES_tradnl"/>
        </w:rPr>
      </w:pPr>
      <w:r w:rsidRPr="00833104">
        <w:rPr>
          <w:lang w:val="es-ES_tradnl"/>
        </w:rPr>
        <w:t>mejoras necesarias en el paquete WIPO Sequence;</w:t>
      </w:r>
    </w:p>
    <w:p w14:paraId="62CADD1E" w14:textId="77777777" w:rsidR="00422E28" w:rsidRPr="00833104" w:rsidRDefault="00422E28" w:rsidP="00833104">
      <w:pPr>
        <w:pStyle w:val="ONUMFS"/>
        <w:numPr>
          <w:ilvl w:val="1"/>
          <w:numId w:val="6"/>
        </w:numPr>
        <w:spacing w:after="120"/>
        <w:rPr>
          <w:lang w:val="es-ES_tradnl"/>
        </w:rPr>
      </w:pPr>
      <w:r w:rsidRPr="00833104">
        <w:rPr>
          <w:lang w:val="es-ES_tradnl"/>
        </w:rPr>
        <w:t>la validación que deben realizar las Oficinas receptoras, las Administraciones internacionales y la Oficina Internacional;</w:t>
      </w:r>
    </w:p>
    <w:p w14:paraId="1B91B346" w14:textId="77777777" w:rsidR="00422E28" w:rsidRPr="00833104" w:rsidRDefault="00422E28" w:rsidP="00422E28">
      <w:pPr>
        <w:pStyle w:val="ONUMFS"/>
        <w:numPr>
          <w:ilvl w:val="1"/>
          <w:numId w:val="6"/>
        </w:numPr>
        <w:spacing w:after="360"/>
        <w:rPr>
          <w:lang w:val="es-ES_tradnl"/>
        </w:rPr>
      </w:pPr>
      <w:r w:rsidRPr="00833104">
        <w:rPr>
          <w:lang w:val="es-ES_tradnl"/>
        </w:rPr>
        <w:t>indicaciones sobre cuándo sería útil solicitar una lista a efectos de la búsqueda internacional (teniendo en cuenta que la invitación en virtud de la Regla 13ter queda a discreción de la Administración y que una lista en virtud de la Regla 13</w:t>
      </w:r>
      <w:r w:rsidRPr="00833104">
        <w:rPr>
          <w:i/>
          <w:iCs/>
          <w:lang w:val="es-ES_tradnl"/>
        </w:rPr>
        <w:t>ter</w:t>
      </w:r>
      <w:r w:rsidRPr="00833104">
        <w:rPr>
          <w:lang w:val="es-ES_tradnl"/>
        </w:rPr>
        <w:t xml:space="preserve"> no forma parte de la solicitud internacional y, por consiguiente, es posible que aún deba corregirse el defecto de forma en el Capítulo II o en la fase nacional).</w:t>
      </w:r>
    </w:p>
    <w:p w14:paraId="3F974312" w14:textId="77777777" w:rsidR="00422E28" w:rsidRPr="00833104" w:rsidRDefault="00422E28" w:rsidP="00422E28">
      <w:pPr>
        <w:pStyle w:val="Heading3"/>
        <w:spacing w:before="0" w:after="120"/>
        <w:rPr>
          <w:lang w:val="es-ES_tradnl"/>
        </w:rPr>
      </w:pPr>
      <w:r w:rsidRPr="00833104">
        <w:rPr>
          <w:lang w:val="es-ES_tradnl"/>
        </w:rPr>
        <w:t>Tipos de documentos relacionados con las listas de secuencias</w:t>
      </w:r>
    </w:p>
    <w:p w14:paraId="28F4DDAF" w14:textId="77777777" w:rsidR="00422E28" w:rsidRPr="00833104" w:rsidRDefault="00422E28" w:rsidP="00422E28">
      <w:pPr>
        <w:pStyle w:val="ONUMFS"/>
        <w:spacing w:after="240"/>
        <w:rPr>
          <w:rFonts w:eastAsiaTheme="minorHAnsi"/>
          <w:szCs w:val="22"/>
          <w:lang w:val="es-ES_tradnl"/>
        </w:rPr>
      </w:pPr>
      <w:r w:rsidRPr="00833104">
        <w:rPr>
          <w:lang w:val="es-ES_tradnl"/>
        </w:rPr>
        <w:t>El cuadro 2 muestra los diferentes tipos de códigos de documentos relacionados con las listas de secuencias actualmente disponibles y el número correspondiente de usos de cada tipo de documento para las solicitudes presentadas desde julio de 2022. Es posible que esta lista no sea completa para el PCT en general, ya que la Oficina Internacional no recibe todos los documentos pertinentes (en particular en virtud de la Regla 13</w:t>
      </w:r>
      <w:r w:rsidRPr="00833104">
        <w:rPr>
          <w:i/>
          <w:iCs/>
          <w:lang w:val="es-ES_tradnl"/>
        </w:rPr>
        <w:t>ter</w:t>
      </w:r>
      <w:r w:rsidRPr="00833104">
        <w:rPr>
          <w:lang w:val="es-ES_tradnl"/>
        </w:rPr>
        <w:t>), pero debería ser una buena indicación. A los solicitantes o examinadores de formalidades no les resulta fácil comprender y seleccionar los tipos de documentos correctos para los distintos casos especiales. Los errores humanos pueden deberse a la confusión entre varios tipos de documentos similares o a equivocaciones como hacer clic en el tipo de documento incorrecto de la lista desplegable. Habría que seguir estudiando si conviene eliminar algunos de esos tipos de documentos. Por ejemplo, los tipos de documento “Corrección lista de secuencias 13</w:t>
      </w:r>
      <w:r w:rsidRPr="00833104">
        <w:rPr>
          <w:i/>
          <w:iCs/>
          <w:lang w:val="es-ES_tradnl"/>
        </w:rPr>
        <w:t>ter</w:t>
      </w:r>
      <w:r w:rsidRPr="00833104">
        <w:rPr>
          <w:lang w:val="es-ES_tradnl"/>
        </w:rPr>
        <w:t>”, “Rectificación lista de secuencias 13</w:t>
      </w:r>
      <w:r w:rsidRPr="00833104">
        <w:rPr>
          <w:i/>
          <w:lang w:val="es-ES_tradnl"/>
        </w:rPr>
        <w:t>ter</w:t>
      </w:r>
      <w:r w:rsidRPr="00833104">
        <w:rPr>
          <w:lang w:val="es-ES_tradnl"/>
        </w:rPr>
        <w:t>” y “Lista de secuencias 13</w:t>
      </w:r>
      <w:r w:rsidRPr="00833104">
        <w:rPr>
          <w:i/>
          <w:iCs/>
          <w:lang w:val="es-ES_tradnl"/>
        </w:rPr>
        <w:t>ter</w:t>
      </w:r>
      <w:r w:rsidRPr="00833104">
        <w:rPr>
          <w:lang w:val="es-ES_tradnl"/>
        </w:rPr>
        <w:t xml:space="preserve"> rectificada (IPEA)” podrían considerarse innecesarios ya que no forman parte de la solicitud internacional en sí; si una lista en virtud de la Regla 13</w:t>
      </w:r>
      <w:r w:rsidRPr="00833104">
        <w:rPr>
          <w:i/>
          <w:iCs/>
          <w:lang w:val="es-ES_tradnl"/>
        </w:rPr>
        <w:t>ter</w:t>
      </w:r>
      <w:r w:rsidRPr="00833104">
        <w:rPr>
          <w:lang w:val="es-ES_tradnl"/>
        </w:rPr>
        <w:t xml:space="preserve"> es errónea por algún motivo, podría simplemente sustituirse por una nueva en lugar de especificar si el cambio se debe a una corrección o a una rectificación.</w:t>
      </w:r>
    </w:p>
    <w:p w14:paraId="54E95BBD" w14:textId="77777777" w:rsidR="00422E28" w:rsidRPr="00833104" w:rsidRDefault="00422E28" w:rsidP="00422E28">
      <w:pPr>
        <w:pStyle w:val="ONUME"/>
        <w:numPr>
          <w:ilvl w:val="0"/>
          <w:numId w:val="0"/>
        </w:numPr>
        <w:spacing w:after="120"/>
        <w:rPr>
          <w:rFonts w:eastAsiaTheme="minorHAnsi"/>
          <w:szCs w:val="22"/>
          <w:lang w:val="es-ES_tradnl"/>
        </w:rPr>
      </w:pPr>
      <w:r w:rsidRPr="00833104">
        <w:rPr>
          <w:i/>
          <w:lang w:val="es-ES_tradnl"/>
        </w:rPr>
        <w:t>Cuadro 2: Uso de tipos de documentos de listas de secuencias</w:t>
      </w:r>
    </w:p>
    <w:tbl>
      <w:tblPr>
        <w:tblW w:w="8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555"/>
        <w:gridCol w:w="1048"/>
      </w:tblGrid>
      <w:tr w:rsidR="00422E28" w:rsidRPr="00833104" w14:paraId="549E07D8" w14:textId="77777777" w:rsidTr="00DE3D73">
        <w:trPr>
          <w:trHeight w:val="332"/>
        </w:trPr>
        <w:tc>
          <w:tcPr>
            <w:tcW w:w="7555" w:type="dxa"/>
            <w:shd w:val="clear" w:color="auto" w:fill="auto"/>
            <w:tcMar>
              <w:top w:w="0" w:type="dxa"/>
              <w:left w:w="108" w:type="dxa"/>
              <w:bottom w:w="0" w:type="dxa"/>
              <w:right w:w="108" w:type="dxa"/>
            </w:tcMar>
            <w:hideMark/>
          </w:tcPr>
          <w:p w14:paraId="17714159" w14:textId="77777777" w:rsidR="00422E28" w:rsidRPr="00833104" w:rsidRDefault="00422E28" w:rsidP="00DE3D73">
            <w:pPr>
              <w:jc w:val="center"/>
              <w:rPr>
                <w:b/>
                <w:bCs/>
                <w:color w:val="000000"/>
                <w:szCs w:val="22"/>
                <w:lang w:val="es-ES_tradnl"/>
              </w:rPr>
            </w:pPr>
            <w:r w:rsidRPr="00833104">
              <w:rPr>
                <w:b/>
                <w:color w:val="000000"/>
                <w:lang w:val="es-ES_tradnl"/>
              </w:rPr>
              <w:t>Tipo de documento</w:t>
            </w:r>
          </w:p>
        </w:tc>
        <w:tc>
          <w:tcPr>
            <w:tcW w:w="687" w:type="dxa"/>
            <w:shd w:val="clear" w:color="auto" w:fill="auto"/>
            <w:noWrap/>
            <w:tcMar>
              <w:top w:w="0" w:type="dxa"/>
              <w:left w:w="108" w:type="dxa"/>
              <w:bottom w:w="0" w:type="dxa"/>
              <w:right w:w="108" w:type="dxa"/>
            </w:tcMar>
            <w:hideMark/>
          </w:tcPr>
          <w:p w14:paraId="6EE4A515" w14:textId="77777777" w:rsidR="00422E28" w:rsidRPr="00833104" w:rsidRDefault="00422E28" w:rsidP="00DE3D73">
            <w:pPr>
              <w:jc w:val="center"/>
              <w:rPr>
                <w:b/>
                <w:bCs/>
                <w:color w:val="000000"/>
                <w:szCs w:val="22"/>
                <w:lang w:val="es-ES_tradnl"/>
              </w:rPr>
            </w:pPr>
            <w:r w:rsidRPr="00833104">
              <w:rPr>
                <w:b/>
                <w:color w:val="000000"/>
                <w:lang w:val="es-ES_tradnl"/>
              </w:rPr>
              <w:t>Número</w:t>
            </w:r>
          </w:p>
        </w:tc>
      </w:tr>
      <w:tr w:rsidR="00422E28" w:rsidRPr="00833104" w14:paraId="2750D719" w14:textId="77777777" w:rsidTr="00DE3D73">
        <w:trPr>
          <w:trHeight w:val="288"/>
        </w:trPr>
        <w:tc>
          <w:tcPr>
            <w:tcW w:w="7555" w:type="dxa"/>
            <w:noWrap/>
            <w:tcMar>
              <w:top w:w="0" w:type="dxa"/>
              <w:left w:w="108" w:type="dxa"/>
              <w:bottom w:w="0" w:type="dxa"/>
              <w:right w:w="108" w:type="dxa"/>
            </w:tcMar>
            <w:vAlign w:val="center"/>
            <w:hideMark/>
          </w:tcPr>
          <w:p w14:paraId="4D9FD4FE" w14:textId="77777777" w:rsidR="00422E28" w:rsidRPr="00833104" w:rsidRDefault="00422E28" w:rsidP="00DE3D73">
            <w:pPr>
              <w:rPr>
                <w:color w:val="000000"/>
                <w:szCs w:val="22"/>
                <w:lang w:val="es-ES_tradnl"/>
              </w:rPr>
            </w:pPr>
            <w:r w:rsidRPr="00833104">
              <w:rPr>
                <w:color w:val="000000"/>
                <w:lang w:val="es-ES_tradnl"/>
              </w:rPr>
              <w:t>Lista de secuencias</w:t>
            </w:r>
          </w:p>
        </w:tc>
        <w:tc>
          <w:tcPr>
            <w:tcW w:w="687" w:type="dxa"/>
            <w:noWrap/>
            <w:tcMar>
              <w:top w:w="0" w:type="dxa"/>
              <w:left w:w="108" w:type="dxa"/>
              <w:bottom w:w="0" w:type="dxa"/>
              <w:right w:w="108" w:type="dxa"/>
            </w:tcMar>
            <w:vAlign w:val="bottom"/>
            <w:hideMark/>
          </w:tcPr>
          <w:p w14:paraId="07BAE0DB" w14:textId="77777777" w:rsidR="00422E28" w:rsidRPr="00833104" w:rsidRDefault="00422E28" w:rsidP="00DE3D73">
            <w:pPr>
              <w:jc w:val="right"/>
              <w:rPr>
                <w:color w:val="000000"/>
                <w:szCs w:val="22"/>
                <w:lang w:val="es-ES_tradnl"/>
              </w:rPr>
            </w:pPr>
            <w:r w:rsidRPr="00833104">
              <w:rPr>
                <w:color w:val="000000"/>
                <w:lang w:val="es-ES_tradnl"/>
              </w:rPr>
              <w:t>28 804</w:t>
            </w:r>
          </w:p>
        </w:tc>
      </w:tr>
      <w:tr w:rsidR="00422E28" w:rsidRPr="00833104" w14:paraId="1AA97710" w14:textId="77777777" w:rsidTr="00DE3D73">
        <w:trPr>
          <w:trHeight w:val="288"/>
        </w:trPr>
        <w:tc>
          <w:tcPr>
            <w:tcW w:w="7555" w:type="dxa"/>
            <w:noWrap/>
            <w:tcMar>
              <w:top w:w="0" w:type="dxa"/>
              <w:left w:w="108" w:type="dxa"/>
              <w:bottom w:w="0" w:type="dxa"/>
              <w:right w:w="108" w:type="dxa"/>
            </w:tcMar>
            <w:vAlign w:val="center"/>
            <w:hideMark/>
          </w:tcPr>
          <w:p w14:paraId="6358B3FF" w14:textId="77777777" w:rsidR="00422E28" w:rsidRPr="00833104" w:rsidRDefault="00422E28" w:rsidP="00DE3D73">
            <w:pPr>
              <w:rPr>
                <w:color w:val="000000"/>
                <w:szCs w:val="22"/>
                <w:lang w:val="es-ES_tradnl"/>
              </w:rPr>
            </w:pPr>
            <w:r w:rsidRPr="00833104">
              <w:rPr>
                <w:color w:val="000000"/>
                <w:lang w:val="es-ES_tradnl"/>
              </w:rPr>
              <w:t>Lista de secuencias 13</w:t>
            </w:r>
            <w:r w:rsidRPr="00833104">
              <w:rPr>
                <w:i/>
                <w:color w:val="000000"/>
                <w:lang w:val="es-ES_tradnl"/>
              </w:rPr>
              <w:t>ter</w:t>
            </w:r>
          </w:p>
        </w:tc>
        <w:tc>
          <w:tcPr>
            <w:tcW w:w="687" w:type="dxa"/>
            <w:noWrap/>
            <w:tcMar>
              <w:top w:w="0" w:type="dxa"/>
              <w:left w:w="108" w:type="dxa"/>
              <w:bottom w:w="0" w:type="dxa"/>
              <w:right w:w="108" w:type="dxa"/>
            </w:tcMar>
            <w:vAlign w:val="bottom"/>
            <w:hideMark/>
          </w:tcPr>
          <w:p w14:paraId="5CFE1647" w14:textId="77777777" w:rsidR="00422E28" w:rsidRPr="00833104" w:rsidRDefault="00422E28" w:rsidP="00DE3D73">
            <w:pPr>
              <w:jc w:val="right"/>
              <w:rPr>
                <w:color w:val="000000"/>
                <w:szCs w:val="22"/>
                <w:lang w:val="es-ES_tradnl"/>
              </w:rPr>
            </w:pPr>
            <w:r w:rsidRPr="00833104">
              <w:rPr>
                <w:color w:val="000000"/>
                <w:lang w:val="es-ES_tradnl"/>
              </w:rPr>
              <w:t>3 550</w:t>
            </w:r>
          </w:p>
        </w:tc>
      </w:tr>
      <w:tr w:rsidR="00422E28" w:rsidRPr="00833104" w14:paraId="796A1964" w14:textId="77777777" w:rsidTr="00DE3D73">
        <w:trPr>
          <w:trHeight w:val="288"/>
        </w:trPr>
        <w:tc>
          <w:tcPr>
            <w:tcW w:w="7555" w:type="dxa"/>
            <w:noWrap/>
            <w:tcMar>
              <w:top w:w="0" w:type="dxa"/>
              <w:left w:w="108" w:type="dxa"/>
              <w:bottom w:w="0" w:type="dxa"/>
              <w:right w:w="108" w:type="dxa"/>
            </w:tcMar>
            <w:vAlign w:val="center"/>
            <w:hideMark/>
          </w:tcPr>
          <w:p w14:paraId="72496F69" w14:textId="77777777" w:rsidR="00422E28" w:rsidRPr="00833104" w:rsidRDefault="00422E28" w:rsidP="00DE3D73">
            <w:pPr>
              <w:rPr>
                <w:color w:val="000000"/>
                <w:szCs w:val="22"/>
                <w:lang w:val="es-ES_tradnl"/>
              </w:rPr>
            </w:pPr>
            <w:r w:rsidRPr="00833104">
              <w:rPr>
                <w:color w:val="000000"/>
                <w:lang w:val="es-ES_tradnl"/>
              </w:rPr>
              <w:t>Declaración lista de secuencias 13</w:t>
            </w:r>
            <w:r w:rsidRPr="00833104">
              <w:rPr>
                <w:i/>
                <w:color w:val="000000"/>
                <w:lang w:val="es-ES_tradnl"/>
              </w:rPr>
              <w:t>ter</w:t>
            </w:r>
          </w:p>
        </w:tc>
        <w:tc>
          <w:tcPr>
            <w:tcW w:w="687" w:type="dxa"/>
            <w:noWrap/>
            <w:tcMar>
              <w:top w:w="0" w:type="dxa"/>
              <w:left w:w="108" w:type="dxa"/>
              <w:bottom w:w="0" w:type="dxa"/>
              <w:right w:w="108" w:type="dxa"/>
            </w:tcMar>
            <w:vAlign w:val="bottom"/>
            <w:hideMark/>
          </w:tcPr>
          <w:p w14:paraId="0643FDBE" w14:textId="77777777" w:rsidR="00422E28" w:rsidRPr="00833104" w:rsidRDefault="00422E28" w:rsidP="00DE3D73">
            <w:pPr>
              <w:jc w:val="right"/>
              <w:rPr>
                <w:color w:val="000000"/>
                <w:szCs w:val="22"/>
                <w:lang w:val="es-ES_tradnl"/>
              </w:rPr>
            </w:pPr>
            <w:r w:rsidRPr="00833104">
              <w:rPr>
                <w:color w:val="000000"/>
                <w:lang w:val="es-ES_tradnl"/>
              </w:rPr>
              <w:t>3 319</w:t>
            </w:r>
          </w:p>
        </w:tc>
      </w:tr>
      <w:tr w:rsidR="00422E28" w:rsidRPr="00833104" w14:paraId="7A11B175" w14:textId="77777777" w:rsidTr="00DE3D73">
        <w:trPr>
          <w:trHeight w:val="288"/>
        </w:trPr>
        <w:tc>
          <w:tcPr>
            <w:tcW w:w="7555" w:type="dxa"/>
            <w:noWrap/>
            <w:tcMar>
              <w:top w:w="0" w:type="dxa"/>
              <w:left w:w="108" w:type="dxa"/>
              <w:bottom w:w="0" w:type="dxa"/>
              <w:right w:w="108" w:type="dxa"/>
            </w:tcMar>
            <w:vAlign w:val="center"/>
            <w:hideMark/>
          </w:tcPr>
          <w:p w14:paraId="765D1A72" w14:textId="77777777" w:rsidR="00422E28" w:rsidRPr="00833104" w:rsidRDefault="00422E28" w:rsidP="00DE3D73">
            <w:pPr>
              <w:rPr>
                <w:color w:val="000000"/>
                <w:szCs w:val="22"/>
                <w:lang w:val="es-ES_tradnl"/>
              </w:rPr>
            </w:pPr>
            <w:r w:rsidRPr="00833104">
              <w:rPr>
                <w:color w:val="000000"/>
                <w:lang w:val="es-ES_tradnl"/>
              </w:rPr>
              <w:t>Lista de secuencias presentada inicialmente, sustituida (R. 12, 26, 91)</w:t>
            </w:r>
          </w:p>
        </w:tc>
        <w:tc>
          <w:tcPr>
            <w:tcW w:w="687" w:type="dxa"/>
            <w:noWrap/>
            <w:tcMar>
              <w:top w:w="0" w:type="dxa"/>
              <w:left w:w="108" w:type="dxa"/>
              <w:bottom w:w="0" w:type="dxa"/>
              <w:right w:w="108" w:type="dxa"/>
            </w:tcMar>
            <w:vAlign w:val="bottom"/>
            <w:hideMark/>
          </w:tcPr>
          <w:p w14:paraId="6CCC70D6" w14:textId="77777777" w:rsidR="00422E28" w:rsidRPr="00833104" w:rsidRDefault="00422E28" w:rsidP="00DE3D73">
            <w:pPr>
              <w:jc w:val="right"/>
              <w:rPr>
                <w:color w:val="000000"/>
                <w:szCs w:val="22"/>
                <w:lang w:val="es-ES_tradnl"/>
              </w:rPr>
            </w:pPr>
            <w:r w:rsidRPr="00833104">
              <w:rPr>
                <w:color w:val="000000"/>
                <w:lang w:val="es-ES_tradnl"/>
              </w:rPr>
              <w:t>253</w:t>
            </w:r>
          </w:p>
        </w:tc>
      </w:tr>
      <w:tr w:rsidR="00422E28" w:rsidRPr="00833104" w14:paraId="6335727A" w14:textId="77777777" w:rsidTr="00DE3D73">
        <w:trPr>
          <w:trHeight w:val="288"/>
        </w:trPr>
        <w:tc>
          <w:tcPr>
            <w:tcW w:w="7555" w:type="dxa"/>
            <w:noWrap/>
            <w:tcMar>
              <w:top w:w="0" w:type="dxa"/>
              <w:left w:w="108" w:type="dxa"/>
              <w:bottom w:w="0" w:type="dxa"/>
              <w:right w:w="108" w:type="dxa"/>
            </w:tcMar>
            <w:vAlign w:val="center"/>
            <w:hideMark/>
          </w:tcPr>
          <w:p w14:paraId="13D1CF1E" w14:textId="77777777" w:rsidR="00422E28" w:rsidRPr="00833104" w:rsidRDefault="00422E28" w:rsidP="00DE3D73">
            <w:pPr>
              <w:rPr>
                <w:color w:val="000000"/>
                <w:szCs w:val="22"/>
                <w:lang w:val="es-ES_tradnl"/>
              </w:rPr>
            </w:pPr>
            <w:r w:rsidRPr="00833104">
              <w:rPr>
                <w:color w:val="000000"/>
                <w:lang w:val="es-ES_tradnl"/>
              </w:rPr>
              <w:t>Información lista de secuencias</w:t>
            </w:r>
          </w:p>
        </w:tc>
        <w:tc>
          <w:tcPr>
            <w:tcW w:w="687" w:type="dxa"/>
            <w:noWrap/>
            <w:tcMar>
              <w:top w:w="0" w:type="dxa"/>
              <w:left w:w="108" w:type="dxa"/>
              <w:bottom w:w="0" w:type="dxa"/>
              <w:right w:w="108" w:type="dxa"/>
            </w:tcMar>
            <w:vAlign w:val="bottom"/>
            <w:hideMark/>
          </w:tcPr>
          <w:p w14:paraId="73035DE1" w14:textId="77777777" w:rsidR="00422E28" w:rsidRPr="00833104" w:rsidRDefault="00422E28" w:rsidP="00DE3D73">
            <w:pPr>
              <w:jc w:val="right"/>
              <w:rPr>
                <w:color w:val="000000"/>
                <w:szCs w:val="22"/>
                <w:lang w:val="es-ES_tradnl"/>
              </w:rPr>
            </w:pPr>
            <w:r w:rsidRPr="00833104">
              <w:rPr>
                <w:color w:val="000000"/>
                <w:lang w:val="es-ES_tradnl"/>
              </w:rPr>
              <w:t>213</w:t>
            </w:r>
          </w:p>
        </w:tc>
      </w:tr>
      <w:tr w:rsidR="00422E28" w:rsidRPr="00833104" w14:paraId="059C64F5" w14:textId="77777777" w:rsidTr="00DE3D73">
        <w:trPr>
          <w:trHeight w:val="288"/>
        </w:trPr>
        <w:tc>
          <w:tcPr>
            <w:tcW w:w="7555" w:type="dxa"/>
            <w:noWrap/>
            <w:tcMar>
              <w:top w:w="0" w:type="dxa"/>
              <w:left w:w="108" w:type="dxa"/>
              <w:bottom w:w="0" w:type="dxa"/>
              <w:right w:w="108" w:type="dxa"/>
            </w:tcMar>
            <w:vAlign w:val="center"/>
            <w:hideMark/>
          </w:tcPr>
          <w:p w14:paraId="1475A856" w14:textId="77777777" w:rsidR="00422E28" w:rsidRPr="00833104" w:rsidRDefault="00422E28" w:rsidP="00DE3D73">
            <w:pPr>
              <w:rPr>
                <w:color w:val="000000"/>
                <w:szCs w:val="22"/>
                <w:lang w:val="es-ES_tradnl"/>
              </w:rPr>
            </w:pPr>
            <w:r w:rsidRPr="00833104">
              <w:rPr>
                <w:color w:val="000000"/>
                <w:lang w:val="es-ES_tradnl"/>
              </w:rPr>
              <w:t>Corrección lista de secuencias</w:t>
            </w:r>
          </w:p>
        </w:tc>
        <w:tc>
          <w:tcPr>
            <w:tcW w:w="687" w:type="dxa"/>
            <w:noWrap/>
            <w:tcMar>
              <w:top w:w="0" w:type="dxa"/>
              <w:left w:w="108" w:type="dxa"/>
              <w:bottom w:w="0" w:type="dxa"/>
              <w:right w:w="108" w:type="dxa"/>
            </w:tcMar>
            <w:vAlign w:val="bottom"/>
            <w:hideMark/>
          </w:tcPr>
          <w:p w14:paraId="00C7A1F2" w14:textId="77777777" w:rsidR="00422E28" w:rsidRPr="00833104" w:rsidRDefault="00422E28" w:rsidP="00DE3D73">
            <w:pPr>
              <w:jc w:val="right"/>
              <w:rPr>
                <w:color w:val="000000"/>
                <w:szCs w:val="22"/>
                <w:lang w:val="es-ES_tradnl"/>
              </w:rPr>
            </w:pPr>
            <w:r w:rsidRPr="00833104">
              <w:rPr>
                <w:color w:val="000000"/>
                <w:lang w:val="es-ES_tradnl"/>
              </w:rPr>
              <w:t>128</w:t>
            </w:r>
          </w:p>
        </w:tc>
      </w:tr>
      <w:tr w:rsidR="00422E28" w:rsidRPr="00833104" w14:paraId="25E625F7" w14:textId="77777777" w:rsidTr="00DE3D73">
        <w:trPr>
          <w:trHeight w:val="288"/>
        </w:trPr>
        <w:tc>
          <w:tcPr>
            <w:tcW w:w="7555" w:type="dxa"/>
            <w:noWrap/>
            <w:tcMar>
              <w:top w:w="0" w:type="dxa"/>
              <w:left w:w="108" w:type="dxa"/>
              <w:bottom w:w="0" w:type="dxa"/>
              <w:right w:w="108" w:type="dxa"/>
            </w:tcMar>
            <w:vAlign w:val="center"/>
            <w:hideMark/>
          </w:tcPr>
          <w:p w14:paraId="5BD9CCA4" w14:textId="77777777" w:rsidR="00422E28" w:rsidRPr="00833104" w:rsidRDefault="00422E28" w:rsidP="00DE3D73">
            <w:pPr>
              <w:rPr>
                <w:color w:val="000000"/>
                <w:szCs w:val="22"/>
                <w:lang w:val="es-ES_tradnl"/>
              </w:rPr>
            </w:pPr>
            <w:r w:rsidRPr="00833104">
              <w:rPr>
                <w:color w:val="000000"/>
                <w:lang w:val="es-ES_tradnl"/>
              </w:rPr>
              <w:t>Lista de secuencias (no cumple ST.26)</w:t>
            </w:r>
          </w:p>
        </w:tc>
        <w:tc>
          <w:tcPr>
            <w:tcW w:w="687" w:type="dxa"/>
            <w:noWrap/>
            <w:tcMar>
              <w:top w:w="0" w:type="dxa"/>
              <w:left w:w="108" w:type="dxa"/>
              <w:bottom w:w="0" w:type="dxa"/>
              <w:right w:w="108" w:type="dxa"/>
            </w:tcMar>
            <w:vAlign w:val="bottom"/>
            <w:hideMark/>
          </w:tcPr>
          <w:p w14:paraId="4D8C9969" w14:textId="77777777" w:rsidR="00422E28" w:rsidRPr="00833104" w:rsidRDefault="00422E28" w:rsidP="00DE3D73">
            <w:pPr>
              <w:jc w:val="right"/>
              <w:rPr>
                <w:color w:val="000000"/>
                <w:szCs w:val="22"/>
                <w:lang w:val="es-ES_tradnl"/>
              </w:rPr>
            </w:pPr>
            <w:r w:rsidRPr="00833104">
              <w:rPr>
                <w:color w:val="000000"/>
                <w:lang w:val="es-ES_tradnl"/>
              </w:rPr>
              <w:t>65</w:t>
            </w:r>
          </w:p>
        </w:tc>
      </w:tr>
      <w:tr w:rsidR="00422E28" w:rsidRPr="00833104" w14:paraId="45FBF4F0" w14:textId="77777777" w:rsidTr="00DE3D73">
        <w:trPr>
          <w:trHeight w:val="288"/>
        </w:trPr>
        <w:tc>
          <w:tcPr>
            <w:tcW w:w="7555" w:type="dxa"/>
            <w:noWrap/>
            <w:tcMar>
              <w:top w:w="0" w:type="dxa"/>
              <w:left w:w="108" w:type="dxa"/>
              <w:bottom w:w="0" w:type="dxa"/>
              <w:right w:w="108" w:type="dxa"/>
            </w:tcMar>
            <w:vAlign w:val="center"/>
            <w:hideMark/>
          </w:tcPr>
          <w:p w14:paraId="094B3FE3" w14:textId="77777777" w:rsidR="00422E28" w:rsidRPr="00833104" w:rsidRDefault="00422E28" w:rsidP="00DE3D73">
            <w:pPr>
              <w:rPr>
                <w:color w:val="000000"/>
                <w:szCs w:val="22"/>
                <w:lang w:val="es-ES_tradnl"/>
              </w:rPr>
            </w:pPr>
            <w:r w:rsidRPr="00833104">
              <w:rPr>
                <w:color w:val="000000"/>
                <w:lang w:val="es-ES_tradnl"/>
              </w:rPr>
              <w:t>Rectificación lista de secuencias</w:t>
            </w:r>
          </w:p>
        </w:tc>
        <w:tc>
          <w:tcPr>
            <w:tcW w:w="687" w:type="dxa"/>
            <w:noWrap/>
            <w:tcMar>
              <w:top w:w="0" w:type="dxa"/>
              <w:left w:w="108" w:type="dxa"/>
              <w:bottom w:w="0" w:type="dxa"/>
              <w:right w:w="108" w:type="dxa"/>
            </w:tcMar>
            <w:vAlign w:val="bottom"/>
            <w:hideMark/>
          </w:tcPr>
          <w:p w14:paraId="26DEA210" w14:textId="77777777" w:rsidR="00422E28" w:rsidRPr="00833104" w:rsidRDefault="00422E28" w:rsidP="00DE3D73">
            <w:pPr>
              <w:jc w:val="right"/>
              <w:rPr>
                <w:color w:val="000000"/>
                <w:szCs w:val="22"/>
                <w:lang w:val="es-ES_tradnl"/>
              </w:rPr>
            </w:pPr>
            <w:r w:rsidRPr="00833104">
              <w:rPr>
                <w:color w:val="000000"/>
                <w:lang w:val="es-ES_tradnl"/>
              </w:rPr>
              <w:t>63</w:t>
            </w:r>
          </w:p>
        </w:tc>
      </w:tr>
      <w:tr w:rsidR="00422E28" w:rsidRPr="00833104" w14:paraId="50B7B095" w14:textId="77777777" w:rsidTr="00DE3D73">
        <w:trPr>
          <w:trHeight w:val="288"/>
        </w:trPr>
        <w:tc>
          <w:tcPr>
            <w:tcW w:w="7555" w:type="dxa"/>
            <w:noWrap/>
            <w:tcMar>
              <w:top w:w="0" w:type="dxa"/>
              <w:left w:w="108" w:type="dxa"/>
              <w:bottom w:w="0" w:type="dxa"/>
              <w:right w:w="108" w:type="dxa"/>
            </w:tcMar>
            <w:vAlign w:val="center"/>
            <w:hideMark/>
          </w:tcPr>
          <w:p w14:paraId="6DF06CB5" w14:textId="77777777" w:rsidR="00422E28" w:rsidRPr="00833104" w:rsidRDefault="00422E28" w:rsidP="00DE3D73">
            <w:pPr>
              <w:rPr>
                <w:color w:val="000000"/>
                <w:szCs w:val="22"/>
                <w:lang w:val="es-ES_tradnl"/>
              </w:rPr>
            </w:pPr>
            <w:r w:rsidRPr="00833104">
              <w:rPr>
                <w:color w:val="000000"/>
                <w:lang w:val="es-ES_tradnl"/>
              </w:rPr>
              <w:t>Rectificación lista de secuencias 13</w:t>
            </w:r>
            <w:r w:rsidRPr="00833104">
              <w:rPr>
                <w:i/>
                <w:color w:val="000000"/>
                <w:lang w:val="es-ES_tradnl"/>
              </w:rPr>
              <w:t>ter</w:t>
            </w:r>
          </w:p>
        </w:tc>
        <w:tc>
          <w:tcPr>
            <w:tcW w:w="687" w:type="dxa"/>
            <w:noWrap/>
            <w:tcMar>
              <w:top w:w="0" w:type="dxa"/>
              <w:left w:w="108" w:type="dxa"/>
              <w:bottom w:w="0" w:type="dxa"/>
              <w:right w:w="108" w:type="dxa"/>
            </w:tcMar>
            <w:vAlign w:val="bottom"/>
            <w:hideMark/>
          </w:tcPr>
          <w:p w14:paraId="3B874D92" w14:textId="77777777" w:rsidR="00422E28" w:rsidRPr="00833104" w:rsidRDefault="00422E28" w:rsidP="00DE3D73">
            <w:pPr>
              <w:jc w:val="right"/>
              <w:rPr>
                <w:color w:val="000000"/>
                <w:szCs w:val="22"/>
                <w:lang w:val="es-ES_tradnl"/>
              </w:rPr>
            </w:pPr>
            <w:r w:rsidRPr="00833104">
              <w:rPr>
                <w:color w:val="000000"/>
                <w:lang w:val="es-ES_tradnl"/>
              </w:rPr>
              <w:t>50</w:t>
            </w:r>
          </w:p>
        </w:tc>
      </w:tr>
      <w:tr w:rsidR="00422E28" w:rsidRPr="00833104" w14:paraId="2BA0BE13" w14:textId="77777777" w:rsidTr="00DE3D73">
        <w:trPr>
          <w:trHeight w:val="288"/>
        </w:trPr>
        <w:tc>
          <w:tcPr>
            <w:tcW w:w="7555" w:type="dxa"/>
            <w:noWrap/>
            <w:tcMar>
              <w:top w:w="0" w:type="dxa"/>
              <w:left w:w="108" w:type="dxa"/>
              <w:bottom w:w="0" w:type="dxa"/>
              <w:right w:w="108" w:type="dxa"/>
            </w:tcMar>
            <w:vAlign w:val="center"/>
            <w:hideMark/>
          </w:tcPr>
          <w:p w14:paraId="31FE161A" w14:textId="77777777" w:rsidR="00422E28" w:rsidRPr="00833104" w:rsidRDefault="00422E28" w:rsidP="00DE3D73">
            <w:pPr>
              <w:rPr>
                <w:color w:val="000000"/>
                <w:szCs w:val="22"/>
                <w:lang w:val="es-ES_tradnl"/>
              </w:rPr>
            </w:pPr>
            <w:r w:rsidRPr="00833104">
              <w:rPr>
                <w:color w:val="000000"/>
                <w:lang w:val="es-ES_tradnl"/>
              </w:rPr>
              <w:t>Traducción lista de secuencias para publicación</w:t>
            </w:r>
          </w:p>
        </w:tc>
        <w:tc>
          <w:tcPr>
            <w:tcW w:w="687" w:type="dxa"/>
            <w:noWrap/>
            <w:tcMar>
              <w:top w:w="0" w:type="dxa"/>
              <w:left w:w="108" w:type="dxa"/>
              <w:bottom w:w="0" w:type="dxa"/>
              <w:right w:w="108" w:type="dxa"/>
            </w:tcMar>
            <w:vAlign w:val="bottom"/>
            <w:hideMark/>
          </w:tcPr>
          <w:p w14:paraId="7BA2B257" w14:textId="77777777" w:rsidR="00422E28" w:rsidRPr="00833104" w:rsidRDefault="00422E28" w:rsidP="00DE3D73">
            <w:pPr>
              <w:jc w:val="right"/>
              <w:rPr>
                <w:color w:val="000000"/>
                <w:szCs w:val="22"/>
                <w:lang w:val="es-ES_tradnl"/>
              </w:rPr>
            </w:pPr>
            <w:r w:rsidRPr="00833104">
              <w:rPr>
                <w:color w:val="000000"/>
                <w:lang w:val="es-ES_tradnl"/>
              </w:rPr>
              <w:t>20</w:t>
            </w:r>
          </w:p>
        </w:tc>
      </w:tr>
      <w:tr w:rsidR="00422E28" w:rsidRPr="00833104" w14:paraId="683E626C" w14:textId="77777777" w:rsidTr="00DE3D73">
        <w:trPr>
          <w:trHeight w:val="288"/>
        </w:trPr>
        <w:tc>
          <w:tcPr>
            <w:tcW w:w="7555" w:type="dxa"/>
            <w:noWrap/>
            <w:tcMar>
              <w:top w:w="0" w:type="dxa"/>
              <w:left w:w="108" w:type="dxa"/>
              <w:bottom w:w="0" w:type="dxa"/>
              <w:right w:w="108" w:type="dxa"/>
            </w:tcMar>
            <w:vAlign w:val="center"/>
            <w:hideMark/>
          </w:tcPr>
          <w:p w14:paraId="50A8AC27" w14:textId="77777777" w:rsidR="00422E28" w:rsidRPr="00833104" w:rsidRDefault="00422E28" w:rsidP="00DE3D73">
            <w:pPr>
              <w:rPr>
                <w:color w:val="000000"/>
                <w:szCs w:val="22"/>
                <w:lang w:val="es-ES_tradnl"/>
              </w:rPr>
            </w:pPr>
            <w:r w:rsidRPr="00833104">
              <w:rPr>
                <w:color w:val="000000"/>
                <w:lang w:val="es-ES_tradnl"/>
              </w:rPr>
              <w:t>Lista de secuencias incorporada por referencia (Regla 20.6)</w:t>
            </w:r>
          </w:p>
        </w:tc>
        <w:tc>
          <w:tcPr>
            <w:tcW w:w="687" w:type="dxa"/>
            <w:noWrap/>
            <w:tcMar>
              <w:top w:w="0" w:type="dxa"/>
              <w:left w:w="108" w:type="dxa"/>
              <w:bottom w:w="0" w:type="dxa"/>
              <w:right w:w="108" w:type="dxa"/>
            </w:tcMar>
            <w:vAlign w:val="bottom"/>
            <w:hideMark/>
          </w:tcPr>
          <w:p w14:paraId="71E1386B" w14:textId="77777777" w:rsidR="00422E28" w:rsidRPr="00833104" w:rsidRDefault="00422E28" w:rsidP="00DE3D73">
            <w:pPr>
              <w:jc w:val="right"/>
              <w:rPr>
                <w:color w:val="000000"/>
                <w:szCs w:val="22"/>
                <w:lang w:val="es-ES_tradnl"/>
              </w:rPr>
            </w:pPr>
            <w:r w:rsidRPr="00833104">
              <w:rPr>
                <w:color w:val="000000"/>
                <w:lang w:val="es-ES_tradnl"/>
              </w:rPr>
              <w:t>19</w:t>
            </w:r>
          </w:p>
        </w:tc>
      </w:tr>
      <w:tr w:rsidR="00422E28" w:rsidRPr="00833104" w14:paraId="2B890683" w14:textId="77777777" w:rsidTr="00DE3D73">
        <w:trPr>
          <w:trHeight w:val="288"/>
        </w:trPr>
        <w:tc>
          <w:tcPr>
            <w:tcW w:w="7555" w:type="dxa"/>
            <w:noWrap/>
            <w:tcMar>
              <w:top w:w="0" w:type="dxa"/>
              <w:left w:w="108" w:type="dxa"/>
              <w:bottom w:w="0" w:type="dxa"/>
              <w:right w:w="108" w:type="dxa"/>
            </w:tcMar>
            <w:vAlign w:val="center"/>
            <w:hideMark/>
          </w:tcPr>
          <w:p w14:paraId="3C52A552" w14:textId="77777777" w:rsidR="00422E28" w:rsidRPr="00833104" w:rsidRDefault="00422E28" w:rsidP="00DE3D73">
            <w:pPr>
              <w:rPr>
                <w:color w:val="000000"/>
                <w:szCs w:val="22"/>
                <w:lang w:val="es-ES_tradnl"/>
              </w:rPr>
            </w:pPr>
            <w:r w:rsidRPr="00833104">
              <w:rPr>
                <w:color w:val="000000"/>
                <w:lang w:val="es-ES_tradnl"/>
              </w:rPr>
              <w:t>Traducción lista de secuencias para búsqueda</w:t>
            </w:r>
          </w:p>
        </w:tc>
        <w:tc>
          <w:tcPr>
            <w:tcW w:w="687" w:type="dxa"/>
            <w:noWrap/>
            <w:tcMar>
              <w:top w:w="0" w:type="dxa"/>
              <w:left w:w="108" w:type="dxa"/>
              <w:bottom w:w="0" w:type="dxa"/>
              <w:right w:w="108" w:type="dxa"/>
            </w:tcMar>
            <w:vAlign w:val="bottom"/>
            <w:hideMark/>
          </w:tcPr>
          <w:p w14:paraId="499D1DB2" w14:textId="77777777" w:rsidR="00422E28" w:rsidRPr="00833104" w:rsidRDefault="00422E28" w:rsidP="00DE3D73">
            <w:pPr>
              <w:jc w:val="right"/>
              <w:rPr>
                <w:color w:val="000000"/>
                <w:szCs w:val="22"/>
                <w:lang w:val="es-ES_tradnl"/>
              </w:rPr>
            </w:pPr>
            <w:r w:rsidRPr="00833104">
              <w:rPr>
                <w:color w:val="000000"/>
                <w:lang w:val="es-ES_tradnl"/>
              </w:rPr>
              <w:t>11</w:t>
            </w:r>
          </w:p>
        </w:tc>
      </w:tr>
      <w:tr w:rsidR="00422E28" w:rsidRPr="00833104" w14:paraId="0B84B8CB" w14:textId="77777777" w:rsidTr="00DE3D73">
        <w:trPr>
          <w:trHeight w:val="288"/>
        </w:trPr>
        <w:tc>
          <w:tcPr>
            <w:tcW w:w="7555" w:type="dxa"/>
            <w:noWrap/>
            <w:tcMar>
              <w:top w:w="0" w:type="dxa"/>
              <w:left w:w="108" w:type="dxa"/>
              <w:bottom w:w="0" w:type="dxa"/>
              <w:right w:w="108" w:type="dxa"/>
            </w:tcMar>
            <w:vAlign w:val="center"/>
            <w:hideMark/>
          </w:tcPr>
          <w:p w14:paraId="42CBA90E" w14:textId="77777777" w:rsidR="00422E28" w:rsidRPr="00833104" w:rsidRDefault="00422E28" w:rsidP="00DE3D73">
            <w:pPr>
              <w:rPr>
                <w:color w:val="000000"/>
                <w:szCs w:val="22"/>
                <w:lang w:val="es-ES_tradnl"/>
              </w:rPr>
            </w:pPr>
            <w:r w:rsidRPr="00833104">
              <w:rPr>
                <w:color w:val="000000"/>
                <w:lang w:val="es-ES_tradnl"/>
              </w:rPr>
              <w:t>Informe de validación lista de secuencias</w:t>
            </w:r>
          </w:p>
        </w:tc>
        <w:tc>
          <w:tcPr>
            <w:tcW w:w="687" w:type="dxa"/>
            <w:noWrap/>
            <w:tcMar>
              <w:top w:w="0" w:type="dxa"/>
              <w:left w:w="108" w:type="dxa"/>
              <w:bottom w:w="0" w:type="dxa"/>
              <w:right w:w="108" w:type="dxa"/>
            </w:tcMar>
            <w:vAlign w:val="bottom"/>
            <w:hideMark/>
          </w:tcPr>
          <w:p w14:paraId="1A215348" w14:textId="77777777" w:rsidR="00422E28" w:rsidRPr="00833104" w:rsidRDefault="00422E28" w:rsidP="00DE3D73">
            <w:pPr>
              <w:jc w:val="right"/>
              <w:rPr>
                <w:color w:val="000000"/>
                <w:szCs w:val="22"/>
                <w:lang w:val="es-ES_tradnl"/>
              </w:rPr>
            </w:pPr>
            <w:r w:rsidRPr="00833104">
              <w:rPr>
                <w:color w:val="000000"/>
                <w:lang w:val="es-ES_tradnl"/>
              </w:rPr>
              <w:t>8</w:t>
            </w:r>
          </w:p>
        </w:tc>
      </w:tr>
      <w:tr w:rsidR="00422E28" w:rsidRPr="00833104" w14:paraId="71194975" w14:textId="77777777" w:rsidTr="00DE3D73">
        <w:trPr>
          <w:trHeight w:val="288"/>
        </w:trPr>
        <w:tc>
          <w:tcPr>
            <w:tcW w:w="7555" w:type="dxa"/>
            <w:noWrap/>
            <w:tcMar>
              <w:top w:w="0" w:type="dxa"/>
              <w:left w:w="108" w:type="dxa"/>
              <w:bottom w:w="0" w:type="dxa"/>
              <w:right w:w="108" w:type="dxa"/>
            </w:tcMar>
            <w:vAlign w:val="center"/>
            <w:hideMark/>
          </w:tcPr>
          <w:p w14:paraId="7DB1E9BB" w14:textId="77777777" w:rsidR="00422E28" w:rsidRPr="00833104" w:rsidRDefault="00422E28" w:rsidP="00DE3D73">
            <w:pPr>
              <w:rPr>
                <w:color w:val="000000"/>
                <w:szCs w:val="22"/>
                <w:lang w:val="es-ES_tradnl"/>
              </w:rPr>
            </w:pPr>
            <w:r w:rsidRPr="00833104">
              <w:rPr>
                <w:color w:val="000000"/>
                <w:lang w:val="es-ES_tradnl"/>
              </w:rPr>
              <w:t>Modificación lista de secuencias, Art. 34</w:t>
            </w:r>
          </w:p>
        </w:tc>
        <w:tc>
          <w:tcPr>
            <w:tcW w:w="687" w:type="dxa"/>
            <w:noWrap/>
            <w:tcMar>
              <w:top w:w="0" w:type="dxa"/>
              <w:left w:w="108" w:type="dxa"/>
              <w:bottom w:w="0" w:type="dxa"/>
              <w:right w:w="108" w:type="dxa"/>
            </w:tcMar>
            <w:vAlign w:val="bottom"/>
            <w:hideMark/>
          </w:tcPr>
          <w:p w14:paraId="2D60AEA9" w14:textId="77777777" w:rsidR="00422E28" w:rsidRPr="00833104" w:rsidRDefault="00422E28" w:rsidP="00DE3D73">
            <w:pPr>
              <w:jc w:val="right"/>
              <w:rPr>
                <w:color w:val="000000"/>
                <w:szCs w:val="22"/>
                <w:lang w:val="es-ES_tradnl"/>
              </w:rPr>
            </w:pPr>
            <w:r w:rsidRPr="00833104">
              <w:rPr>
                <w:color w:val="000000"/>
                <w:lang w:val="es-ES_tradnl"/>
              </w:rPr>
              <w:t>6</w:t>
            </w:r>
          </w:p>
        </w:tc>
      </w:tr>
      <w:tr w:rsidR="00422E28" w:rsidRPr="00833104" w14:paraId="0D2105D7" w14:textId="77777777" w:rsidTr="00DE3D73">
        <w:trPr>
          <w:trHeight w:val="288"/>
        </w:trPr>
        <w:tc>
          <w:tcPr>
            <w:tcW w:w="7555" w:type="dxa"/>
            <w:noWrap/>
            <w:tcMar>
              <w:top w:w="0" w:type="dxa"/>
              <w:left w:w="108" w:type="dxa"/>
              <w:bottom w:w="0" w:type="dxa"/>
              <w:right w:w="108" w:type="dxa"/>
            </w:tcMar>
            <w:vAlign w:val="center"/>
            <w:hideMark/>
          </w:tcPr>
          <w:p w14:paraId="7223F2F4" w14:textId="77777777" w:rsidR="00422E28" w:rsidRPr="00833104" w:rsidRDefault="00422E28" w:rsidP="00DE3D73">
            <w:pPr>
              <w:rPr>
                <w:color w:val="000000"/>
                <w:szCs w:val="22"/>
                <w:lang w:val="es-ES_tradnl"/>
              </w:rPr>
            </w:pPr>
            <w:r w:rsidRPr="00833104">
              <w:rPr>
                <w:color w:val="000000"/>
                <w:lang w:val="es-ES_tradnl"/>
              </w:rPr>
              <w:t>Lista de secuencias IPIP II</w:t>
            </w:r>
          </w:p>
        </w:tc>
        <w:tc>
          <w:tcPr>
            <w:tcW w:w="687" w:type="dxa"/>
            <w:noWrap/>
            <w:tcMar>
              <w:top w:w="0" w:type="dxa"/>
              <w:left w:w="108" w:type="dxa"/>
              <w:bottom w:w="0" w:type="dxa"/>
              <w:right w:w="108" w:type="dxa"/>
            </w:tcMar>
            <w:vAlign w:val="bottom"/>
            <w:hideMark/>
          </w:tcPr>
          <w:p w14:paraId="682C78BE" w14:textId="77777777" w:rsidR="00422E28" w:rsidRPr="00833104" w:rsidRDefault="00422E28" w:rsidP="00DE3D73">
            <w:pPr>
              <w:jc w:val="right"/>
              <w:rPr>
                <w:color w:val="000000"/>
                <w:szCs w:val="22"/>
                <w:lang w:val="es-ES_tradnl"/>
              </w:rPr>
            </w:pPr>
            <w:r w:rsidRPr="00833104">
              <w:rPr>
                <w:color w:val="000000"/>
                <w:lang w:val="es-ES_tradnl"/>
              </w:rPr>
              <w:t>5</w:t>
            </w:r>
          </w:p>
        </w:tc>
      </w:tr>
      <w:tr w:rsidR="00422E28" w:rsidRPr="00833104" w14:paraId="62C642E9" w14:textId="77777777" w:rsidTr="00DE3D73">
        <w:trPr>
          <w:trHeight w:val="288"/>
        </w:trPr>
        <w:tc>
          <w:tcPr>
            <w:tcW w:w="7555" w:type="dxa"/>
            <w:noWrap/>
            <w:tcMar>
              <w:top w:w="0" w:type="dxa"/>
              <w:left w:w="108" w:type="dxa"/>
              <w:bottom w:w="0" w:type="dxa"/>
              <w:right w:w="108" w:type="dxa"/>
            </w:tcMar>
            <w:vAlign w:val="center"/>
            <w:hideMark/>
          </w:tcPr>
          <w:p w14:paraId="46E9C366" w14:textId="77777777" w:rsidR="00422E28" w:rsidRPr="00833104" w:rsidRDefault="00422E28" w:rsidP="00DE3D73">
            <w:pPr>
              <w:rPr>
                <w:color w:val="000000"/>
                <w:szCs w:val="22"/>
                <w:lang w:val="es-ES_tradnl"/>
              </w:rPr>
            </w:pPr>
            <w:r w:rsidRPr="00833104">
              <w:rPr>
                <w:color w:val="000000"/>
                <w:lang w:val="es-ES_tradnl"/>
              </w:rPr>
              <w:t>Corrección lista de secuencias 13</w:t>
            </w:r>
            <w:r w:rsidRPr="00833104">
              <w:rPr>
                <w:i/>
                <w:color w:val="000000"/>
                <w:lang w:val="es-ES_tradnl"/>
              </w:rPr>
              <w:t>ter</w:t>
            </w:r>
          </w:p>
        </w:tc>
        <w:tc>
          <w:tcPr>
            <w:tcW w:w="687" w:type="dxa"/>
            <w:noWrap/>
            <w:tcMar>
              <w:top w:w="0" w:type="dxa"/>
              <w:left w:w="108" w:type="dxa"/>
              <w:bottom w:w="0" w:type="dxa"/>
              <w:right w:w="108" w:type="dxa"/>
            </w:tcMar>
            <w:vAlign w:val="bottom"/>
            <w:hideMark/>
          </w:tcPr>
          <w:p w14:paraId="10FA0609" w14:textId="77777777" w:rsidR="00422E28" w:rsidRPr="00833104" w:rsidRDefault="00422E28" w:rsidP="00DE3D73">
            <w:pPr>
              <w:jc w:val="right"/>
              <w:rPr>
                <w:color w:val="000000"/>
                <w:szCs w:val="22"/>
                <w:lang w:val="es-ES_tradnl"/>
              </w:rPr>
            </w:pPr>
            <w:r w:rsidRPr="00833104">
              <w:rPr>
                <w:color w:val="000000"/>
                <w:lang w:val="es-ES_tradnl"/>
              </w:rPr>
              <w:t>3</w:t>
            </w:r>
          </w:p>
        </w:tc>
      </w:tr>
      <w:tr w:rsidR="00422E28" w:rsidRPr="00833104" w14:paraId="68DCBF94" w14:textId="77777777" w:rsidTr="00DE3D73">
        <w:trPr>
          <w:trHeight w:val="288"/>
        </w:trPr>
        <w:tc>
          <w:tcPr>
            <w:tcW w:w="7555" w:type="dxa"/>
            <w:noWrap/>
            <w:tcMar>
              <w:top w:w="0" w:type="dxa"/>
              <w:left w:w="108" w:type="dxa"/>
              <w:bottom w:w="0" w:type="dxa"/>
              <w:right w:w="108" w:type="dxa"/>
            </w:tcMar>
            <w:vAlign w:val="center"/>
            <w:hideMark/>
          </w:tcPr>
          <w:p w14:paraId="6B01D4F6" w14:textId="77777777" w:rsidR="00422E28" w:rsidRPr="00833104" w:rsidRDefault="00422E28" w:rsidP="00DE3D73">
            <w:pPr>
              <w:rPr>
                <w:color w:val="000000"/>
                <w:szCs w:val="22"/>
                <w:lang w:val="es-ES_tradnl"/>
              </w:rPr>
            </w:pPr>
            <w:r w:rsidRPr="00833104">
              <w:rPr>
                <w:color w:val="000000"/>
                <w:lang w:val="es-ES_tradnl"/>
              </w:rPr>
              <w:t>Lista de secuencias aportada posteriormente (R. 20.5</w:t>
            </w:r>
            <w:r w:rsidRPr="00833104">
              <w:rPr>
                <w:i/>
                <w:iCs/>
                <w:color w:val="000000"/>
                <w:lang w:val="es-ES_tradnl"/>
              </w:rPr>
              <w:t>bis</w:t>
            </w:r>
            <w:r w:rsidRPr="00833104">
              <w:rPr>
                <w:color w:val="000000"/>
                <w:lang w:val="es-ES_tradnl"/>
              </w:rPr>
              <w:t>)</w:t>
            </w:r>
          </w:p>
        </w:tc>
        <w:tc>
          <w:tcPr>
            <w:tcW w:w="687" w:type="dxa"/>
            <w:noWrap/>
            <w:tcMar>
              <w:top w:w="0" w:type="dxa"/>
              <w:left w:w="108" w:type="dxa"/>
              <w:bottom w:w="0" w:type="dxa"/>
              <w:right w:w="108" w:type="dxa"/>
            </w:tcMar>
            <w:vAlign w:val="bottom"/>
            <w:hideMark/>
          </w:tcPr>
          <w:p w14:paraId="4053C5EC" w14:textId="77777777" w:rsidR="00422E28" w:rsidRPr="00833104" w:rsidRDefault="00422E28" w:rsidP="00DE3D73">
            <w:pPr>
              <w:jc w:val="right"/>
              <w:rPr>
                <w:color w:val="000000"/>
                <w:szCs w:val="22"/>
                <w:lang w:val="es-ES_tradnl"/>
              </w:rPr>
            </w:pPr>
            <w:r w:rsidRPr="00833104">
              <w:rPr>
                <w:color w:val="000000"/>
                <w:lang w:val="es-ES_tradnl"/>
              </w:rPr>
              <w:t>2</w:t>
            </w:r>
          </w:p>
        </w:tc>
      </w:tr>
      <w:tr w:rsidR="00422E28" w:rsidRPr="00833104" w14:paraId="08936638" w14:textId="77777777" w:rsidTr="00DE3D73">
        <w:trPr>
          <w:trHeight w:val="288"/>
        </w:trPr>
        <w:tc>
          <w:tcPr>
            <w:tcW w:w="7555" w:type="dxa"/>
            <w:noWrap/>
            <w:tcMar>
              <w:top w:w="0" w:type="dxa"/>
              <w:left w:w="108" w:type="dxa"/>
              <w:bottom w:w="0" w:type="dxa"/>
              <w:right w:w="108" w:type="dxa"/>
            </w:tcMar>
            <w:vAlign w:val="center"/>
            <w:hideMark/>
          </w:tcPr>
          <w:p w14:paraId="77AE9097" w14:textId="77777777" w:rsidR="00422E28" w:rsidRPr="00833104" w:rsidRDefault="00422E28" w:rsidP="00DE3D73">
            <w:pPr>
              <w:rPr>
                <w:color w:val="000000"/>
                <w:szCs w:val="22"/>
                <w:lang w:val="es-ES_tradnl"/>
              </w:rPr>
            </w:pPr>
            <w:r w:rsidRPr="00833104">
              <w:rPr>
                <w:color w:val="000000"/>
                <w:lang w:val="es-ES_tradnl"/>
              </w:rPr>
              <w:t>Lista de secuencias aportada posteriormente (R. 20.5)</w:t>
            </w:r>
          </w:p>
        </w:tc>
        <w:tc>
          <w:tcPr>
            <w:tcW w:w="687" w:type="dxa"/>
            <w:noWrap/>
            <w:tcMar>
              <w:top w:w="0" w:type="dxa"/>
              <w:left w:w="108" w:type="dxa"/>
              <w:bottom w:w="0" w:type="dxa"/>
              <w:right w:w="108" w:type="dxa"/>
            </w:tcMar>
            <w:vAlign w:val="bottom"/>
            <w:hideMark/>
          </w:tcPr>
          <w:p w14:paraId="7EEDEC69" w14:textId="77777777" w:rsidR="00422E28" w:rsidRPr="00833104" w:rsidRDefault="00422E28" w:rsidP="00DE3D73">
            <w:pPr>
              <w:jc w:val="right"/>
              <w:rPr>
                <w:color w:val="000000"/>
                <w:szCs w:val="22"/>
                <w:lang w:val="es-ES_tradnl"/>
              </w:rPr>
            </w:pPr>
            <w:r w:rsidRPr="00833104">
              <w:rPr>
                <w:color w:val="000000"/>
                <w:lang w:val="es-ES_tradnl"/>
              </w:rPr>
              <w:t>2</w:t>
            </w:r>
          </w:p>
        </w:tc>
      </w:tr>
      <w:tr w:rsidR="00422E28" w:rsidRPr="00833104" w14:paraId="6491B628" w14:textId="77777777" w:rsidTr="00DE3D73">
        <w:trPr>
          <w:trHeight w:val="288"/>
        </w:trPr>
        <w:tc>
          <w:tcPr>
            <w:tcW w:w="7555" w:type="dxa"/>
            <w:noWrap/>
            <w:tcMar>
              <w:top w:w="0" w:type="dxa"/>
              <w:left w:w="108" w:type="dxa"/>
              <w:bottom w:w="0" w:type="dxa"/>
              <w:right w:w="108" w:type="dxa"/>
            </w:tcMar>
            <w:vAlign w:val="center"/>
            <w:hideMark/>
          </w:tcPr>
          <w:p w14:paraId="19C51F61" w14:textId="77777777" w:rsidR="00422E28" w:rsidRPr="00833104" w:rsidRDefault="00422E28" w:rsidP="00DE3D73">
            <w:pPr>
              <w:rPr>
                <w:color w:val="000000"/>
                <w:szCs w:val="22"/>
                <w:lang w:val="es-ES_tradnl"/>
              </w:rPr>
            </w:pPr>
            <w:r w:rsidRPr="00833104">
              <w:rPr>
                <w:color w:val="000000"/>
                <w:lang w:val="es-ES_tradnl"/>
              </w:rPr>
              <w:t>Página indicadora copia certificada lista de secuencias</w:t>
            </w:r>
          </w:p>
        </w:tc>
        <w:tc>
          <w:tcPr>
            <w:tcW w:w="687" w:type="dxa"/>
            <w:noWrap/>
            <w:tcMar>
              <w:top w:w="0" w:type="dxa"/>
              <w:left w:w="108" w:type="dxa"/>
              <w:bottom w:w="0" w:type="dxa"/>
              <w:right w:w="108" w:type="dxa"/>
            </w:tcMar>
            <w:vAlign w:val="bottom"/>
            <w:hideMark/>
          </w:tcPr>
          <w:p w14:paraId="3A518615" w14:textId="77777777" w:rsidR="00422E28" w:rsidRPr="00833104" w:rsidRDefault="00422E28" w:rsidP="00DE3D73">
            <w:pPr>
              <w:jc w:val="right"/>
              <w:rPr>
                <w:color w:val="000000"/>
                <w:szCs w:val="22"/>
                <w:lang w:val="es-ES_tradnl"/>
              </w:rPr>
            </w:pPr>
            <w:r w:rsidRPr="00833104">
              <w:rPr>
                <w:color w:val="000000"/>
                <w:lang w:val="es-ES_tradnl"/>
              </w:rPr>
              <w:t>1</w:t>
            </w:r>
          </w:p>
        </w:tc>
      </w:tr>
      <w:tr w:rsidR="00422E28" w:rsidRPr="00833104" w14:paraId="3507B677" w14:textId="77777777" w:rsidTr="00DE3D73">
        <w:trPr>
          <w:trHeight w:val="288"/>
        </w:trPr>
        <w:tc>
          <w:tcPr>
            <w:tcW w:w="7555" w:type="dxa"/>
            <w:noWrap/>
            <w:tcMar>
              <w:top w:w="0" w:type="dxa"/>
              <w:left w:w="108" w:type="dxa"/>
              <w:bottom w:w="0" w:type="dxa"/>
              <w:right w:w="108" w:type="dxa"/>
            </w:tcMar>
            <w:vAlign w:val="center"/>
            <w:hideMark/>
          </w:tcPr>
          <w:p w14:paraId="45061744" w14:textId="77777777" w:rsidR="00422E28" w:rsidRPr="00833104" w:rsidRDefault="00422E28" w:rsidP="00DE3D73">
            <w:pPr>
              <w:rPr>
                <w:color w:val="000000"/>
                <w:szCs w:val="22"/>
                <w:lang w:val="es-ES_tradnl"/>
              </w:rPr>
            </w:pPr>
            <w:r w:rsidRPr="00833104">
              <w:rPr>
                <w:color w:val="000000"/>
                <w:lang w:val="es-ES_tradnl"/>
              </w:rPr>
              <w:t>Lista de secuencias rectificada (IPEA)</w:t>
            </w:r>
          </w:p>
        </w:tc>
        <w:tc>
          <w:tcPr>
            <w:tcW w:w="687" w:type="dxa"/>
            <w:noWrap/>
            <w:tcMar>
              <w:top w:w="0" w:type="dxa"/>
              <w:left w:w="108" w:type="dxa"/>
              <w:bottom w:w="0" w:type="dxa"/>
              <w:right w:w="108" w:type="dxa"/>
            </w:tcMar>
            <w:vAlign w:val="bottom"/>
            <w:hideMark/>
          </w:tcPr>
          <w:p w14:paraId="15B7536A" w14:textId="77777777" w:rsidR="00422E28" w:rsidRPr="00833104" w:rsidRDefault="00422E28" w:rsidP="00DE3D73">
            <w:pPr>
              <w:jc w:val="right"/>
              <w:rPr>
                <w:color w:val="000000"/>
                <w:szCs w:val="22"/>
                <w:lang w:val="es-ES_tradnl"/>
              </w:rPr>
            </w:pPr>
            <w:r w:rsidRPr="00833104">
              <w:rPr>
                <w:color w:val="000000"/>
                <w:lang w:val="es-ES_tradnl"/>
              </w:rPr>
              <w:t>1</w:t>
            </w:r>
          </w:p>
        </w:tc>
      </w:tr>
      <w:tr w:rsidR="00422E28" w:rsidRPr="00833104" w14:paraId="5FBD8AE1" w14:textId="77777777" w:rsidTr="00DE3D73">
        <w:trPr>
          <w:trHeight w:val="288"/>
        </w:trPr>
        <w:tc>
          <w:tcPr>
            <w:tcW w:w="7555" w:type="dxa"/>
            <w:noWrap/>
            <w:tcMar>
              <w:top w:w="0" w:type="dxa"/>
              <w:left w:w="108" w:type="dxa"/>
              <w:bottom w:w="0" w:type="dxa"/>
              <w:right w:w="108" w:type="dxa"/>
            </w:tcMar>
            <w:vAlign w:val="center"/>
            <w:hideMark/>
          </w:tcPr>
          <w:p w14:paraId="03EFCC79" w14:textId="77777777" w:rsidR="00422E28" w:rsidRPr="00833104" w:rsidRDefault="00422E28" w:rsidP="00DE3D73">
            <w:pPr>
              <w:rPr>
                <w:color w:val="000000"/>
                <w:szCs w:val="22"/>
                <w:lang w:val="es-ES_tradnl"/>
              </w:rPr>
            </w:pPr>
            <w:r w:rsidRPr="00833104">
              <w:rPr>
                <w:color w:val="000000"/>
                <w:lang w:val="es-ES_tradnl"/>
              </w:rPr>
              <w:t>Lista de secuencias 13</w:t>
            </w:r>
            <w:r w:rsidRPr="00833104">
              <w:rPr>
                <w:i/>
                <w:iCs/>
                <w:color w:val="000000"/>
                <w:lang w:val="es-ES_tradnl"/>
              </w:rPr>
              <w:t>ter</w:t>
            </w:r>
            <w:r w:rsidRPr="00833104">
              <w:rPr>
                <w:color w:val="000000"/>
                <w:lang w:val="es-ES_tradnl"/>
              </w:rPr>
              <w:t xml:space="preserve"> rectificada (IPEA)</w:t>
            </w:r>
          </w:p>
        </w:tc>
        <w:tc>
          <w:tcPr>
            <w:tcW w:w="687" w:type="dxa"/>
            <w:noWrap/>
            <w:tcMar>
              <w:top w:w="0" w:type="dxa"/>
              <w:left w:w="108" w:type="dxa"/>
              <w:bottom w:w="0" w:type="dxa"/>
              <w:right w:w="108" w:type="dxa"/>
            </w:tcMar>
            <w:vAlign w:val="bottom"/>
            <w:hideMark/>
          </w:tcPr>
          <w:p w14:paraId="2183FE3F" w14:textId="77777777" w:rsidR="00422E28" w:rsidRPr="00833104" w:rsidRDefault="00422E28" w:rsidP="00DE3D73">
            <w:pPr>
              <w:jc w:val="right"/>
              <w:rPr>
                <w:color w:val="000000"/>
                <w:szCs w:val="22"/>
                <w:lang w:val="es-ES_tradnl"/>
              </w:rPr>
            </w:pPr>
            <w:r w:rsidRPr="00833104">
              <w:rPr>
                <w:color w:val="000000"/>
                <w:lang w:val="es-ES_tradnl"/>
              </w:rPr>
              <w:t>0</w:t>
            </w:r>
          </w:p>
        </w:tc>
      </w:tr>
      <w:tr w:rsidR="00422E28" w:rsidRPr="00833104" w14:paraId="4DFFEF6B" w14:textId="77777777" w:rsidTr="00DE3D73">
        <w:trPr>
          <w:trHeight w:val="288"/>
        </w:trPr>
        <w:tc>
          <w:tcPr>
            <w:tcW w:w="7555" w:type="dxa"/>
            <w:noWrap/>
            <w:tcMar>
              <w:top w:w="0" w:type="dxa"/>
              <w:left w:w="108" w:type="dxa"/>
              <w:bottom w:w="0" w:type="dxa"/>
              <w:right w:w="108" w:type="dxa"/>
            </w:tcMar>
            <w:vAlign w:val="center"/>
            <w:hideMark/>
          </w:tcPr>
          <w:p w14:paraId="0585CB55" w14:textId="77777777" w:rsidR="00422E28" w:rsidRPr="00833104" w:rsidRDefault="00422E28" w:rsidP="00DE3D73">
            <w:pPr>
              <w:rPr>
                <w:color w:val="000000"/>
                <w:szCs w:val="22"/>
                <w:lang w:val="es-ES_tradnl"/>
              </w:rPr>
            </w:pPr>
            <w:r w:rsidRPr="00833104">
              <w:rPr>
                <w:color w:val="000000"/>
                <w:lang w:val="es-ES_tradnl"/>
              </w:rPr>
              <w:t>Traducción lista de secuencias para búsqueda internacional suplementaria</w:t>
            </w:r>
          </w:p>
        </w:tc>
        <w:tc>
          <w:tcPr>
            <w:tcW w:w="687" w:type="dxa"/>
            <w:noWrap/>
            <w:tcMar>
              <w:top w:w="0" w:type="dxa"/>
              <w:left w:w="108" w:type="dxa"/>
              <w:bottom w:w="0" w:type="dxa"/>
              <w:right w:w="108" w:type="dxa"/>
            </w:tcMar>
            <w:vAlign w:val="bottom"/>
            <w:hideMark/>
          </w:tcPr>
          <w:p w14:paraId="78D63D70" w14:textId="77777777" w:rsidR="00422E28" w:rsidRPr="00833104" w:rsidRDefault="00422E28" w:rsidP="00DE3D73">
            <w:pPr>
              <w:jc w:val="right"/>
              <w:rPr>
                <w:color w:val="000000"/>
                <w:szCs w:val="22"/>
                <w:lang w:val="es-ES_tradnl"/>
              </w:rPr>
            </w:pPr>
            <w:r w:rsidRPr="00833104">
              <w:rPr>
                <w:color w:val="000000"/>
                <w:lang w:val="es-ES_tradnl"/>
              </w:rPr>
              <w:t>0</w:t>
            </w:r>
          </w:p>
        </w:tc>
      </w:tr>
    </w:tbl>
    <w:p w14:paraId="6E90ADEA" w14:textId="77777777" w:rsidR="00422E28" w:rsidRPr="00833104" w:rsidRDefault="00422E28" w:rsidP="00833104">
      <w:pPr>
        <w:pStyle w:val="ONUMFS"/>
        <w:spacing w:before="240" w:after="480"/>
        <w:rPr>
          <w:lang w:val="es-ES_tradnl"/>
        </w:rPr>
      </w:pPr>
      <w:bookmarkStart w:id="7" w:name="_Ref187851457"/>
      <w:r w:rsidRPr="00833104">
        <w:rPr>
          <w:lang w:val="es-ES_tradnl"/>
        </w:rPr>
        <w:t>Actualmente, algunas Oficinas receptoras comprueban los datos bibliográficos en las listas de secuencias e invitan al solicitante a presentar correcciones en virtud de la Regla 26. Desde julio de 2022, la Oficina Internacional ha recibido 128 listas de secuencias corregidas debido a defectos en el nombre del solicitante, la fecha de prioridad, el título de la invención, etc. Con el fin de reducir el número de correcciones de este tipo, los datos bibliográficos de las listas de secuencias podrían simplificarse o no ser necesariamente comprobados por las Oficinas receptoras.</w:t>
      </w:r>
      <w:bookmarkEnd w:id="7"/>
    </w:p>
    <w:p w14:paraId="3F6CE63D" w14:textId="77777777" w:rsidR="00422E28" w:rsidRPr="00833104" w:rsidRDefault="00422E28" w:rsidP="00422E28">
      <w:pPr>
        <w:pStyle w:val="Heading1"/>
        <w:spacing w:before="0" w:after="120"/>
        <w:rPr>
          <w:lang w:val="es-ES_tradnl"/>
        </w:rPr>
      </w:pPr>
      <w:r w:rsidRPr="00833104">
        <w:rPr>
          <w:lang w:val="es-ES_tradnl"/>
        </w:rPr>
        <w:t>Traducción de listas de secuencias</w:t>
      </w:r>
    </w:p>
    <w:p w14:paraId="4FC9924B" w14:textId="77777777" w:rsidR="00422E28" w:rsidRPr="00833104" w:rsidRDefault="00422E28" w:rsidP="00422E28">
      <w:pPr>
        <w:pStyle w:val="ONUMFS"/>
        <w:spacing w:after="360"/>
        <w:rPr>
          <w:lang w:val="es-ES_tradnl"/>
        </w:rPr>
      </w:pPr>
      <w:r w:rsidRPr="00833104">
        <w:rPr>
          <w:lang w:val="es-ES_tradnl"/>
        </w:rPr>
        <w:t>La Norma ST.26 de la OMPI requiere que se proporcione un archivo XML en dos partes: una de información general y otra de datos de secuencias.</w:t>
      </w:r>
    </w:p>
    <w:p w14:paraId="02FE22D0" w14:textId="77777777" w:rsidR="00422E28" w:rsidRPr="00833104" w:rsidRDefault="00422E28" w:rsidP="00422E28">
      <w:pPr>
        <w:pStyle w:val="Heading3"/>
        <w:spacing w:before="0" w:after="120"/>
        <w:rPr>
          <w:lang w:val="es-ES_tradnl"/>
        </w:rPr>
      </w:pPr>
      <w:r w:rsidRPr="00833104">
        <w:rPr>
          <w:lang w:val="es-ES_tradnl"/>
        </w:rPr>
        <w:t>Elementos lingüísticos de la parte de información general</w:t>
      </w:r>
    </w:p>
    <w:p w14:paraId="6A8A37B0" w14:textId="77777777" w:rsidR="00422E28" w:rsidRPr="00833104" w:rsidRDefault="00422E28" w:rsidP="00422E28">
      <w:pPr>
        <w:pStyle w:val="ONUMFS"/>
        <w:spacing w:after="360"/>
        <w:rPr>
          <w:lang w:val="es-ES_tradnl"/>
        </w:rPr>
      </w:pPr>
      <w:r w:rsidRPr="00833104">
        <w:rPr>
          <w:lang w:val="es-ES_tradnl"/>
        </w:rPr>
        <w:t>La parte de información general de la lista de secuencias permite facilitar información relativa al número de solicitud, la fecha de presentación, la referencia del expediente del solicitante, la solicitud de prioridad más antigua, el nombre del solicitante, el nombre del inventor y el título de la invención. Los nombres del solicitante y del inventor y el título de la invención pueden facilitarse en varios idiomas o conjuntos de caracteres. La información facilitada en esta parte tiene por objeto ayudar a confirmar que la lista de secuencias se ha adjuntado a la solicitud internacional correcta. Si difiere de la información que figura en el formulario del petitorio o se facilita en una lengua diferente, la Oficina receptora podrá señalarlo a la atención del solicitante, pero no podrá exigir al solicitante que lo corrija y la solicitud deberá proceder sobre la base de la información que figura en el formulario del petitorio (párrafo 28 del Anexo C de las Instrucciones Administrativas).</w:t>
      </w:r>
    </w:p>
    <w:p w14:paraId="538748A2" w14:textId="77777777" w:rsidR="00422E28" w:rsidRPr="00833104" w:rsidRDefault="00422E28" w:rsidP="00422E28">
      <w:pPr>
        <w:pStyle w:val="Heading3"/>
        <w:spacing w:before="0" w:after="120"/>
        <w:rPr>
          <w:lang w:val="es-ES_tradnl"/>
        </w:rPr>
      </w:pPr>
      <w:r w:rsidRPr="00833104">
        <w:rPr>
          <w:lang w:val="es-ES_tradnl"/>
        </w:rPr>
        <w:t>Texto libre dependiente del idioma en la parte de datos de secuencias</w:t>
      </w:r>
    </w:p>
    <w:p w14:paraId="07FA5CB3" w14:textId="77777777" w:rsidR="00422E28" w:rsidRPr="00833104" w:rsidRDefault="00422E28" w:rsidP="00833104">
      <w:pPr>
        <w:pStyle w:val="ONUMFS"/>
        <w:spacing w:after="120"/>
        <w:rPr>
          <w:lang w:val="es-ES_tradnl"/>
        </w:rPr>
      </w:pPr>
      <w:r w:rsidRPr="00833104">
        <w:rPr>
          <w:lang w:val="es-ES_tradnl"/>
        </w:rPr>
        <w:t>La parte de datos de secuencias de la lista se basa en una norma utilizada por los proveedores de bases de datos e incluye elementos destinados a contener texto libre (“valores calificadores”). La norma del sector prevé que esos valores sean neutros desde el punto de vista lingüístico o bien que estén escritos en inglés. Mientras que algunas Oficinas nacionales indicaron que podrían aceptar listas de secuencias con texto libre dependiente del idioma en inglés aunque el idioma de la descripción pueda diferir, muchas Oficinas indicaron que era esencial que a sus solicitantes se les permitiera o exigiera suministrar texto libre dependiente del idioma en el idioma de la descripción. Por consiguiente, la Norma ST.26 de la OMPI exige que los calificadores que esperan valores dependientes de la lengua tengan uno o ambos de los siguientes elementos:</w:t>
      </w:r>
    </w:p>
    <w:p w14:paraId="2AC2FD72" w14:textId="77777777" w:rsidR="00422E28" w:rsidRPr="00833104" w:rsidRDefault="00422E28" w:rsidP="00833104">
      <w:pPr>
        <w:pStyle w:val="ONUMFS"/>
        <w:numPr>
          <w:ilvl w:val="1"/>
          <w:numId w:val="6"/>
        </w:numPr>
        <w:spacing w:after="120"/>
        <w:rPr>
          <w:lang w:val="es-ES_tradnl"/>
        </w:rPr>
      </w:pPr>
      <w:r w:rsidRPr="00833104">
        <w:rPr>
          <w:rFonts w:ascii="Courier New" w:hAnsi="Courier New"/>
          <w:lang w:val="es-ES_tradnl"/>
        </w:rPr>
        <w:t>INSDQualifier_value</w:t>
      </w:r>
      <w:r w:rsidRPr="00833104">
        <w:rPr>
          <w:lang w:val="es-ES_tradnl"/>
        </w:rPr>
        <w:t>: el valor del calificador en inglés; y</w:t>
      </w:r>
    </w:p>
    <w:p w14:paraId="1581BDA8" w14:textId="77777777" w:rsidR="00422E28" w:rsidRPr="00833104" w:rsidRDefault="00422E28" w:rsidP="00422E28">
      <w:pPr>
        <w:pStyle w:val="ONUMFS"/>
        <w:numPr>
          <w:ilvl w:val="1"/>
          <w:numId w:val="6"/>
        </w:numPr>
        <w:rPr>
          <w:lang w:val="es-ES_tradnl"/>
        </w:rPr>
      </w:pPr>
      <w:r w:rsidRPr="00833104">
        <w:rPr>
          <w:rFonts w:ascii="Courier New" w:hAnsi="Courier New"/>
          <w:lang w:val="es-ES_tradnl"/>
        </w:rPr>
        <w:t>NonEnglishQualifier_value</w:t>
      </w:r>
      <w:r w:rsidRPr="00833104">
        <w:rPr>
          <w:lang w:val="es-ES_tradnl"/>
        </w:rPr>
        <w:t xml:space="preserve">: el valor del calificador en otro </w:t>
      </w:r>
      <w:r w:rsidRPr="00833104">
        <w:rPr>
          <w:rFonts w:ascii="Courier New" w:hAnsi="Courier New"/>
          <w:lang w:val="es-ES_tradnl"/>
        </w:rPr>
        <w:t>idioma</w:t>
      </w:r>
      <w:r w:rsidRPr="00833104">
        <w:rPr>
          <w:lang w:val="es-ES_tradnl"/>
        </w:rPr>
        <w:t xml:space="preserve">, indicado por un atributo </w:t>
      </w:r>
      <w:r w:rsidRPr="00833104">
        <w:rPr>
          <w:rFonts w:ascii="Courier New" w:hAnsi="Courier New"/>
          <w:lang w:val="es-ES_tradnl"/>
        </w:rPr>
        <w:t>nonEnglishFreeTextLanguageCode</w:t>
      </w:r>
      <w:r w:rsidRPr="00833104">
        <w:rPr>
          <w:lang w:val="es-ES_tradnl"/>
        </w:rPr>
        <w:t xml:space="preserve"> en el elemento raíz de la lista.</w:t>
      </w:r>
    </w:p>
    <w:p w14:paraId="2D559533" w14:textId="77777777" w:rsidR="00422E28" w:rsidRPr="00833104" w:rsidRDefault="00422E28" w:rsidP="00422E28">
      <w:pPr>
        <w:pStyle w:val="ONUMFS"/>
        <w:rPr>
          <w:lang w:val="es-ES_tradnl"/>
        </w:rPr>
      </w:pPr>
      <w:r w:rsidRPr="00833104">
        <w:rPr>
          <w:lang w:val="es-ES_tradnl"/>
        </w:rPr>
        <w:t>En virtud de la Regla 12.1.d), las Oficinas receptoras pueden especificar las lenguas que aceptan para los valores del calificador de texto libre dependiente del idioma, que pueden diferir de lo que aceptan para la descripción en general. Además, pueden permitir que el solicitante presente la lista de secuencias con el texto libre dependiente del idioma en más de una lengua, pero no pueden exigirle que lo haga. Técnicamente, la norma solo permite el inglés y otro idioma en la lista de secuencias.</w:t>
      </w:r>
    </w:p>
    <w:p w14:paraId="47497DB9" w14:textId="77777777" w:rsidR="00422E28" w:rsidRPr="00833104" w:rsidRDefault="00422E28" w:rsidP="00422E28">
      <w:pPr>
        <w:pStyle w:val="ONUMFS"/>
        <w:rPr>
          <w:lang w:val="es-ES_tradnl"/>
        </w:rPr>
      </w:pPr>
      <w:r w:rsidRPr="00833104">
        <w:rPr>
          <w:lang w:val="es-ES_tradnl"/>
        </w:rPr>
        <w:t>Esa flexibilidad se consideró importante para que la información suministrada a las bases de datos esté en el formato del sector (cuando la norma del sector espera específicamente texto en inglés en los campos pertinentes) y para que el solicitante pueda cumplir los requisitos lingüísticos potencialmente diferentes de las Oficinas a efectos de presentación, búsqueda internacional y diversas entradas en la fase nacional. Permitir el inglés y una segunda lengua simultáneamente evita la necesidad de proporcionar listas separadas para el caso más común de diferentes lenguas para la presentación y la búsqueda internacional.</w:t>
      </w:r>
    </w:p>
    <w:p w14:paraId="696904E3" w14:textId="77777777" w:rsidR="00422E28" w:rsidRPr="00833104" w:rsidRDefault="00422E28" w:rsidP="00422E28">
      <w:pPr>
        <w:pStyle w:val="ONUMFS"/>
        <w:rPr>
          <w:lang w:val="es-ES_tradnl"/>
        </w:rPr>
      </w:pPr>
      <w:r w:rsidRPr="00833104">
        <w:rPr>
          <w:lang w:val="es-ES_tradnl"/>
        </w:rPr>
        <w:t>Un proyecto creado en WIPO Sequence permite proporcionar versiones en varios idiomas y generar a demanda una lista de secuencias con el idioma deseado. Por consiguiente, debería ser posible preparar un proyecto y exportar fácilmente las versiones lingüísticas adecuadas en función de los requisitos de presentación. Por ejemplo, podría generarse una lista de secuencias para la solicitud internacional con texto libre dependiente del idioma en japonés e inglés; a continuación, en la entrada en la fase nacional, podrían generarse listas sustancialmente idénticas para diferentes Oficinas designadas que contengan el texto en inglés solamente, chino e inglés, y coreano.</w:t>
      </w:r>
    </w:p>
    <w:p w14:paraId="7CED5AC4" w14:textId="77777777" w:rsidR="00422E28" w:rsidRPr="00833104" w:rsidRDefault="00422E28" w:rsidP="00422E28">
      <w:pPr>
        <w:pStyle w:val="ONUMFS"/>
        <w:rPr>
          <w:lang w:val="es-ES_tradnl"/>
        </w:rPr>
      </w:pPr>
      <w:r w:rsidRPr="00833104">
        <w:rPr>
          <w:lang w:val="es-ES_tradnl"/>
        </w:rPr>
        <w:t>En WIPO Sequence, los distintos valores lingüísticos también pueden exportarse a un archivo XLIFF, un formato estándar utilizado por los traductores, en el que se indican las lenguas de origen y de destino. Ese archivo puede leerse en un programa informático estándar de traducción, pueden rellenarse los valores adecuados y el resultado puede importarse a WIPO Sequence, en lugar de tener que añadir manualmente los valores de la lengua de destino uno por uno. No está claro que los solicitantes comprendan o utilicen bien esas funciones. Cabe señalar que las listas de secuencias contienen atributos identificadores de calificadores de texto libre dependientes del idioma que permiten cotejar distintos valores lingüísticos al importar ficheros XLIFF. No obstante, esos atributos han causado varios problemas que han dado lugar a errores. Se está estudiando si esos atributos identificadores deben mantenerse u ocultarse al usuario incluso después de generar la lista de secuencias.</w:t>
      </w:r>
    </w:p>
    <w:p w14:paraId="38C01D65" w14:textId="77777777" w:rsidR="00422E28" w:rsidRPr="00833104" w:rsidRDefault="00422E28" w:rsidP="00422E28">
      <w:pPr>
        <w:pStyle w:val="ONUMFS"/>
        <w:rPr>
          <w:lang w:val="es-ES_tradnl"/>
        </w:rPr>
      </w:pPr>
      <w:r w:rsidRPr="00833104">
        <w:rPr>
          <w:lang w:val="es-ES_tradnl"/>
        </w:rPr>
        <w:t xml:space="preserve">WIPO Sequence no intenta validar si se ha especificado la lengua adecuada en un proyecto. La única comprobación que se realiza es que el texto de </w:t>
      </w:r>
      <w:r w:rsidRPr="00833104">
        <w:rPr>
          <w:rFonts w:ascii="Courier New" w:hAnsi="Courier New"/>
          <w:lang w:val="es-ES_tradnl"/>
        </w:rPr>
        <w:t>INSDQualifier_value</w:t>
      </w:r>
      <w:r w:rsidRPr="00833104">
        <w:rPr>
          <w:lang w:val="es-ES_tradnl"/>
        </w:rPr>
        <w:t xml:space="preserve"> cumpla el párrafo 40.b) de la norma y contenga solo caracteres latinos básicos (sin acentos).</w:t>
      </w:r>
    </w:p>
    <w:p w14:paraId="3D347FD6" w14:textId="2DAD6FDB" w:rsidR="00422E28" w:rsidRPr="00833104" w:rsidRDefault="00422E28" w:rsidP="00833104">
      <w:pPr>
        <w:pStyle w:val="ONUMFS"/>
        <w:spacing w:after="480"/>
        <w:rPr>
          <w:lang w:val="es-ES_tradnl"/>
        </w:rPr>
      </w:pPr>
      <w:r w:rsidRPr="00833104">
        <w:rPr>
          <w:lang w:val="es-ES_tradnl"/>
        </w:rPr>
        <w:t xml:space="preserve">Habida cuenta de que es posible presentar listas de secuencias que contengan texto libre en dos idiomas (inglés y otro) y de que los examinadores de las Administraciones encargadas de la búsqueda internacional dominan en la mayoría de los casos la lengua de presentación, sea o no la lengua de publicación, quizá no resulte sorprendente que rara vez se presenten traducciones de las listas de secuencias en la fase internacional. Desde julio de 2022, la Oficina Internacional solo ha recibido 31 documentos indicados como traducciones de listas de secuencias para su publicación o con fines de búsqueda. No obstante, la inspección de muestras de las listas sugiere que las opciones lingüísticas no siempre se utilizan según lo previsto. En algunos casos (incluidos los documentos proporcionados como correcciones, como se menciona en el párrafo </w:t>
      </w:r>
      <w:r w:rsidRPr="00833104">
        <w:rPr>
          <w:lang w:val="es-ES_tradnl"/>
        </w:rPr>
        <w:fldChar w:fldCharType="begin"/>
      </w:r>
      <w:r w:rsidRPr="00833104">
        <w:rPr>
          <w:lang w:val="es-ES_tradnl"/>
        </w:rPr>
        <w:instrText xml:space="preserve"> REF _Ref187851457 \r \h  \* MERGEFORMAT </w:instrText>
      </w:r>
      <w:r w:rsidRPr="00833104">
        <w:rPr>
          <w:lang w:val="es-ES_tradnl"/>
        </w:rPr>
      </w:r>
      <w:r w:rsidRPr="00833104">
        <w:rPr>
          <w:lang w:val="es-ES_tradnl"/>
        </w:rPr>
        <w:fldChar w:fldCharType="separate"/>
      </w:r>
      <w:r w:rsidR="00BB15AD">
        <w:rPr>
          <w:lang w:val="es-ES_tradnl"/>
        </w:rPr>
        <w:t>20</w:t>
      </w:r>
      <w:r w:rsidRPr="00833104">
        <w:rPr>
          <w:lang w:val="es-ES_tradnl"/>
        </w:rPr>
        <w:fldChar w:fldCharType="end"/>
      </w:r>
      <w:r w:rsidRPr="00833104">
        <w:rPr>
          <w:lang w:val="es-ES_tradnl"/>
        </w:rPr>
        <w:t xml:space="preserve">), la traducción de la lista de secuencias se proporcionó simplemente para dar la lengua pertinente en la parte de información general, lo que no debería ser necesario. Además, no está claro que el contenido de las etiquetas calificativas esté siempre en las lenguas correctas y, cuando se indica que se utiliza tanto el inglés como una segunda lengua, que los textos calificativos sean equivalentes. La Oficina Internacional espera realizar un análisis más sistemático sobre el uso de las opciones lingüísticas en las listas de secuencias durante la fase internacional para determinar si deben tomarse medidas equivalentes a las mencionadas en el párrafo </w:t>
      </w:r>
      <w:r w:rsidRPr="00833104">
        <w:rPr>
          <w:lang w:val="es-ES_tradnl"/>
        </w:rPr>
        <w:fldChar w:fldCharType="begin"/>
      </w:r>
      <w:r w:rsidRPr="00833104">
        <w:rPr>
          <w:lang w:val="es-ES_tradnl"/>
        </w:rPr>
        <w:instrText xml:space="preserve"> REF _Ref187851302 \r \h  \* MERGEFORMAT </w:instrText>
      </w:r>
      <w:r w:rsidRPr="00833104">
        <w:rPr>
          <w:lang w:val="es-ES_tradnl"/>
        </w:rPr>
      </w:r>
      <w:r w:rsidRPr="00833104">
        <w:rPr>
          <w:lang w:val="es-ES_tradnl"/>
        </w:rPr>
        <w:fldChar w:fldCharType="separate"/>
      </w:r>
      <w:r w:rsidR="00BB15AD">
        <w:rPr>
          <w:lang w:val="es-ES_tradnl"/>
        </w:rPr>
        <w:t>18</w:t>
      </w:r>
      <w:r w:rsidRPr="00833104">
        <w:rPr>
          <w:lang w:val="es-ES_tradnl"/>
        </w:rPr>
        <w:fldChar w:fldCharType="end"/>
      </w:r>
      <w:r w:rsidRPr="00833104">
        <w:rPr>
          <w:lang w:val="es-ES_tradnl"/>
        </w:rPr>
        <w:t>. Se agradecería recibir información de las Oficinas designadas sobre el uso de traducciones de listas de secuencias en el formato de la Norma ST.26 en la entrada de la fase nacional.</w:t>
      </w:r>
    </w:p>
    <w:p w14:paraId="22190DE9" w14:textId="77777777" w:rsidR="00422E28" w:rsidRPr="00833104" w:rsidRDefault="00422E28" w:rsidP="00833104">
      <w:pPr>
        <w:pStyle w:val="Heading1"/>
        <w:tabs>
          <w:tab w:val="center" w:pos="4677"/>
        </w:tabs>
        <w:spacing w:before="0" w:after="120"/>
        <w:rPr>
          <w:lang w:val="es-ES_tradnl"/>
        </w:rPr>
      </w:pPr>
      <w:r w:rsidRPr="00833104">
        <w:rPr>
          <w:lang w:val="es-ES_tradnl"/>
        </w:rPr>
        <w:t>Publicación de listas de secuencias</w:t>
      </w:r>
    </w:p>
    <w:p w14:paraId="36375CF7" w14:textId="61458869" w:rsidR="00422E28" w:rsidRPr="00833104" w:rsidRDefault="00422E28" w:rsidP="00422E28">
      <w:pPr>
        <w:pStyle w:val="ONUMFS"/>
        <w:rPr>
          <w:lang w:val="es-ES_tradnl"/>
        </w:rPr>
      </w:pPr>
      <w:r w:rsidRPr="00833104">
        <w:rPr>
          <w:lang w:val="es-ES_tradnl"/>
        </w:rPr>
        <w:t>Desde hace algún tiempo, PATENTSCOPE incluye una función para visualizar listas de secuencias en un formato de fácil lectura similar al de la Norma ST.26. En noviembre de 2024 se publicó una versión actualizada de PATENTSCOPE con un nuevo sistema para facilitar la visualización de listas de secuencias de gran tamaño. La transformación se transmite en línea en lugar de tener que cargar todo el documento para procesarlo. Mientras que antes las listas grandes podían tardar un minuto o más en aparecer, o incluso no aparecer, ahora el inicio de la lista aparecerá casi instantáneamente y, si no se muestra del todo, se pueden cargar partes adicionales a demanda.</w:t>
      </w:r>
    </w:p>
    <w:p w14:paraId="04F647DA" w14:textId="77777777" w:rsidR="00422E28" w:rsidRPr="00833104" w:rsidRDefault="00422E28" w:rsidP="00833104">
      <w:pPr>
        <w:pStyle w:val="ONUMFS"/>
        <w:keepNext/>
        <w:keepLines/>
        <w:tabs>
          <w:tab w:val="clear" w:pos="567"/>
        </w:tabs>
        <w:spacing w:after="600"/>
        <w:ind w:left="5528"/>
        <w:rPr>
          <w:i/>
          <w:iCs/>
          <w:lang w:val="es-ES_tradnl"/>
        </w:rPr>
      </w:pPr>
      <w:r w:rsidRPr="00833104">
        <w:rPr>
          <w:i/>
          <w:iCs/>
          <w:lang w:val="es-ES_tradnl"/>
        </w:rPr>
        <w:t>Se invita al Grupo de Trabajo a tomar nota del contenido del documento PCT/WG/18/14 y a formular observaciones con miras al examen y análisis de la tramitación de las listas de secuencias en el marco del PCT.</w:t>
      </w:r>
    </w:p>
    <w:p w14:paraId="44CDF31F" w14:textId="341D0C97" w:rsidR="00152CEA" w:rsidRPr="00833104" w:rsidRDefault="00422E28" w:rsidP="00422E28">
      <w:pPr>
        <w:pStyle w:val="Endofdocument-Annex"/>
        <w:rPr>
          <w:lang w:val="es-ES_tradnl"/>
        </w:rPr>
      </w:pPr>
      <w:r w:rsidRPr="00833104">
        <w:rPr>
          <w:lang w:val="es-ES_tradnl"/>
        </w:rPr>
        <w:t>[Fin del documento]</w:t>
      </w:r>
    </w:p>
    <w:sectPr w:rsidR="00152CEA" w:rsidRPr="00833104" w:rsidSect="00422E28">
      <w:headerReference w:type="default" r:id="rId8"/>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A04C52" w14:textId="77777777" w:rsidR="00422E28" w:rsidRDefault="00422E28">
      <w:r>
        <w:separator/>
      </w:r>
    </w:p>
  </w:endnote>
  <w:endnote w:type="continuationSeparator" w:id="0">
    <w:p w14:paraId="2D0D9493" w14:textId="77777777" w:rsidR="00422E28" w:rsidRPr="009D30E6" w:rsidRDefault="00422E28" w:rsidP="007E663E">
      <w:pPr>
        <w:rPr>
          <w:sz w:val="17"/>
          <w:szCs w:val="17"/>
        </w:rPr>
      </w:pPr>
      <w:r w:rsidRPr="009D30E6">
        <w:rPr>
          <w:sz w:val="17"/>
          <w:szCs w:val="17"/>
        </w:rPr>
        <w:separator/>
      </w:r>
    </w:p>
    <w:p w14:paraId="7D09907C" w14:textId="77777777" w:rsidR="00422E28" w:rsidRPr="007E663E" w:rsidRDefault="00422E28" w:rsidP="007E663E">
      <w:pPr>
        <w:spacing w:after="60"/>
        <w:rPr>
          <w:sz w:val="17"/>
          <w:szCs w:val="17"/>
        </w:rPr>
      </w:pPr>
      <w:r>
        <w:rPr>
          <w:sz w:val="17"/>
        </w:rPr>
        <w:t>[Continuación de la nota de la página anterior]</w:t>
      </w:r>
    </w:p>
  </w:endnote>
  <w:endnote w:type="continuationNotice" w:id="1">
    <w:p w14:paraId="4E777CEA" w14:textId="77777777" w:rsidR="00422E28" w:rsidRPr="007E663E" w:rsidRDefault="00422E28"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A1EDB5" w14:textId="77777777" w:rsidR="00422E28" w:rsidRDefault="00422E28">
      <w:r>
        <w:separator/>
      </w:r>
    </w:p>
  </w:footnote>
  <w:footnote w:type="continuationSeparator" w:id="0">
    <w:p w14:paraId="3C26832B" w14:textId="77777777" w:rsidR="00422E28" w:rsidRPr="009D30E6" w:rsidRDefault="00422E28" w:rsidP="007E663E">
      <w:pPr>
        <w:rPr>
          <w:sz w:val="17"/>
          <w:szCs w:val="17"/>
        </w:rPr>
      </w:pPr>
      <w:r w:rsidRPr="009D30E6">
        <w:rPr>
          <w:sz w:val="17"/>
          <w:szCs w:val="17"/>
        </w:rPr>
        <w:separator/>
      </w:r>
    </w:p>
    <w:p w14:paraId="2C82CA8F" w14:textId="77777777" w:rsidR="00422E28" w:rsidRPr="007E663E" w:rsidRDefault="00422E28" w:rsidP="007E663E">
      <w:pPr>
        <w:spacing w:after="60"/>
        <w:rPr>
          <w:sz w:val="17"/>
          <w:szCs w:val="17"/>
        </w:rPr>
      </w:pPr>
      <w:r>
        <w:rPr>
          <w:sz w:val="17"/>
        </w:rPr>
        <w:t>[Continuación de la nota de la página anterior]</w:t>
      </w:r>
    </w:p>
  </w:footnote>
  <w:footnote w:type="continuationNotice" w:id="1">
    <w:p w14:paraId="44158667" w14:textId="77777777" w:rsidR="00422E28" w:rsidRPr="007E663E" w:rsidRDefault="00422E28"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B5C829" w14:textId="06D3CC52" w:rsidR="00F84474" w:rsidRDefault="00422E28" w:rsidP="00477D6B">
    <w:pPr>
      <w:jc w:val="right"/>
    </w:pPr>
    <w:bookmarkStart w:id="8" w:name="Code2"/>
    <w:bookmarkEnd w:id="8"/>
    <w:r>
      <w:t>PCT/WG/18/14</w:t>
    </w:r>
  </w:p>
  <w:p w14:paraId="39CCBBF0" w14:textId="77777777" w:rsidR="00F84474" w:rsidRDefault="00F84474" w:rsidP="00477D6B">
    <w:pPr>
      <w:jc w:val="right"/>
    </w:pPr>
    <w:r>
      <w:t xml:space="preserve">página </w:t>
    </w:r>
    <w:r>
      <w:fldChar w:fldCharType="begin"/>
    </w:r>
    <w:r>
      <w:instrText xml:space="preserve"> PAGE  \* MERGEFORMAT </w:instrText>
    </w:r>
    <w:r>
      <w:fldChar w:fldCharType="separate"/>
    </w:r>
    <w:r w:rsidR="008B14EA">
      <w:rPr>
        <w:noProof/>
      </w:rPr>
      <w:t>2</w:t>
    </w:r>
    <w:r>
      <w:fldChar w:fldCharType="end"/>
    </w:r>
  </w:p>
  <w:p w14:paraId="7E52C75E" w14:textId="77777777" w:rsidR="00F84474" w:rsidRDefault="00F84474" w:rsidP="00477D6B">
    <w:pPr>
      <w:jc w:val="right"/>
    </w:pPr>
  </w:p>
  <w:p w14:paraId="48B7518A" w14:textId="77777777" w:rsidR="004F7418" w:rsidRDefault="004F7418"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8DCC6DE4"/>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73926726">
    <w:abstractNumId w:val="2"/>
  </w:num>
  <w:num w:numId="2" w16cid:durableId="158467622">
    <w:abstractNumId w:val="4"/>
  </w:num>
  <w:num w:numId="3" w16cid:durableId="1586037296">
    <w:abstractNumId w:val="0"/>
  </w:num>
  <w:num w:numId="4" w16cid:durableId="876890157">
    <w:abstractNumId w:val="5"/>
  </w:num>
  <w:num w:numId="5" w16cid:durableId="256257028">
    <w:abstractNumId w:val="1"/>
  </w:num>
  <w:num w:numId="6" w16cid:durableId="3683364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E28"/>
    <w:rsid w:val="00011CFD"/>
    <w:rsid w:val="000E3BB3"/>
    <w:rsid w:val="000F2E15"/>
    <w:rsid w:val="000F5E56"/>
    <w:rsid w:val="001362EE"/>
    <w:rsid w:val="00152CEA"/>
    <w:rsid w:val="001832A6"/>
    <w:rsid w:val="00186911"/>
    <w:rsid w:val="001C4DD3"/>
    <w:rsid w:val="00246F49"/>
    <w:rsid w:val="002634C4"/>
    <w:rsid w:val="00271BD1"/>
    <w:rsid w:val="002F4E68"/>
    <w:rsid w:val="0030177F"/>
    <w:rsid w:val="00307787"/>
    <w:rsid w:val="00313272"/>
    <w:rsid w:val="00323EB5"/>
    <w:rsid w:val="00354647"/>
    <w:rsid w:val="00377273"/>
    <w:rsid w:val="003845C1"/>
    <w:rsid w:val="00387287"/>
    <w:rsid w:val="0039457D"/>
    <w:rsid w:val="003C3C27"/>
    <w:rsid w:val="003D37C4"/>
    <w:rsid w:val="003D41D4"/>
    <w:rsid w:val="00412212"/>
    <w:rsid w:val="00422E28"/>
    <w:rsid w:val="00423E3E"/>
    <w:rsid w:val="0042486A"/>
    <w:rsid w:val="00427AF4"/>
    <w:rsid w:val="0045231F"/>
    <w:rsid w:val="004647DA"/>
    <w:rsid w:val="00477D6B"/>
    <w:rsid w:val="004A6C37"/>
    <w:rsid w:val="004F7418"/>
    <w:rsid w:val="005472C7"/>
    <w:rsid w:val="0054745F"/>
    <w:rsid w:val="0055013B"/>
    <w:rsid w:val="0056224D"/>
    <w:rsid w:val="00571B99"/>
    <w:rsid w:val="00595CB5"/>
    <w:rsid w:val="005D64EC"/>
    <w:rsid w:val="00605827"/>
    <w:rsid w:val="00675021"/>
    <w:rsid w:val="006A06C6"/>
    <w:rsid w:val="00736E1F"/>
    <w:rsid w:val="007543B0"/>
    <w:rsid w:val="00786293"/>
    <w:rsid w:val="007E63AC"/>
    <w:rsid w:val="007E663E"/>
    <w:rsid w:val="00815082"/>
    <w:rsid w:val="00833104"/>
    <w:rsid w:val="00843582"/>
    <w:rsid w:val="008B14EA"/>
    <w:rsid w:val="008B2CC1"/>
    <w:rsid w:val="008D341C"/>
    <w:rsid w:val="008E7B2D"/>
    <w:rsid w:val="0090731E"/>
    <w:rsid w:val="00966A22"/>
    <w:rsid w:val="00972F03"/>
    <w:rsid w:val="009852DD"/>
    <w:rsid w:val="009A0C8B"/>
    <w:rsid w:val="009B267D"/>
    <w:rsid w:val="009B6241"/>
    <w:rsid w:val="00A025F7"/>
    <w:rsid w:val="00A16FC0"/>
    <w:rsid w:val="00A32C9E"/>
    <w:rsid w:val="00A7453D"/>
    <w:rsid w:val="00AB613D"/>
    <w:rsid w:val="00AD6B7B"/>
    <w:rsid w:val="00B65A0A"/>
    <w:rsid w:val="00B72D36"/>
    <w:rsid w:val="00BB15AD"/>
    <w:rsid w:val="00BC4164"/>
    <w:rsid w:val="00BD2DCC"/>
    <w:rsid w:val="00BE1A8C"/>
    <w:rsid w:val="00C06472"/>
    <w:rsid w:val="00C86CEB"/>
    <w:rsid w:val="00C90559"/>
    <w:rsid w:val="00CC6A7A"/>
    <w:rsid w:val="00D01A8A"/>
    <w:rsid w:val="00D21340"/>
    <w:rsid w:val="00D36B79"/>
    <w:rsid w:val="00D40CF0"/>
    <w:rsid w:val="00D56C7C"/>
    <w:rsid w:val="00D71B4D"/>
    <w:rsid w:val="00D90289"/>
    <w:rsid w:val="00D93D55"/>
    <w:rsid w:val="00DC4DB3"/>
    <w:rsid w:val="00E13BB0"/>
    <w:rsid w:val="00E41354"/>
    <w:rsid w:val="00E45C84"/>
    <w:rsid w:val="00E504E5"/>
    <w:rsid w:val="00E50CF5"/>
    <w:rsid w:val="00E51F34"/>
    <w:rsid w:val="00E73ABF"/>
    <w:rsid w:val="00EB7A3E"/>
    <w:rsid w:val="00EC401A"/>
    <w:rsid w:val="00EF530A"/>
    <w:rsid w:val="00EF6622"/>
    <w:rsid w:val="00F55408"/>
    <w:rsid w:val="00F66152"/>
    <w:rsid w:val="00F80845"/>
    <w:rsid w:val="00F84474"/>
    <w:rsid w:val="00FF7EC9"/>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7C1D38"/>
  <w15:docId w15:val="{450E3583-4B29-42C4-92CB-D229946B1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table" w:styleId="TableGrid">
    <w:name w:val="Table Grid"/>
    <w:basedOn w:val="TableNormal"/>
    <w:rsid w:val="00422E28"/>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PCT\PCT_WG_18%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PCT_WG_18 (S)</Template>
  <TotalTime>1</TotalTime>
  <Pages>9</Pages>
  <Words>3949</Words>
  <Characters>20474</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PCT/WG/18/</vt:lpstr>
    </vt:vector>
  </TitlesOfParts>
  <Company/>
  <LinksUpToDate>false</LinksUpToDate>
  <CharactersWithSpaces>24375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PCT/WG/18/14</dc:title>
  <dc:creator>MARLOW Thomas</dc:creator>
  <cp:keywords/>
  <cp:lastModifiedBy>MARLOW Thomas</cp:lastModifiedBy>
  <cp:revision>3</cp:revision>
  <dcterms:created xsi:type="dcterms:W3CDTF">2025-01-22T14:44:00Z</dcterms:created>
  <dcterms:modified xsi:type="dcterms:W3CDTF">2025-01-22T14:45:00Z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97c1e2a3-8e7f-43d2-be5f-27d34b55462c</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2023-12-13T09:51:26Z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95df33c3-e4f4-447b-b0f3-9d5d77e8c496</vt:lpwstr>
  </property>
  <property fmtid="{D5CDD505-2E9C-101B-9397-08002B2CF9AE}" pid="14" name="MSIP_Label_20773ee6-353b-4fb9-a59d-0b94c8c67bea_ContentBits">
    <vt:lpwstr>0</vt:lpwstr>
  </property>
</Properties>
</file>