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A62F6" w14:textId="77777777" w:rsidR="008B2CC1" w:rsidRPr="00C84D1C" w:rsidRDefault="008B14EA" w:rsidP="008B14EA">
      <w:pPr>
        <w:spacing w:after="120"/>
        <w:jc w:val="right"/>
        <w:rPr>
          <w:lang w:val="es-419"/>
        </w:rPr>
      </w:pPr>
      <w:r w:rsidRPr="00C84D1C">
        <w:rPr>
          <w:noProof/>
          <w:lang w:val="es-419" w:eastAsia="en-US"/>
        </w:rPr>
        <w:drawing>
          <wp:inline distT="0" distB="0" distL="0" distR="0" wp14:anchorId="38DD8C22" wp14:editId="2655D6E2">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C84D1C">
        <w:rPr>
          <w:rFonts w:ascii="Arial Black" w:hAnsi="Arial Black"/>
          <w:caps/>
          <w:noProof/>
          <w:sz w:val="15"/>
          <w:szCs w:val="15"/>
          <w:lang w:val="es-419" w:eastAsia="en-US"/>
        </w:rPr>
        <mc:AlternateContent>
          <mc:Choice Requires="wps">
            <w:drawing>
              <wp:inline distT="0" distB="0" distL="0" distR="0" wp14:anchorId="46217079" wp14:editId="0BE499AB">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0305451"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0935806" w14:textId="750C06CA" w:rsidR="008B2CC1" w:rsidRPr="00C84D1C" w:rsidRDefault="005472C7" w:rsidP="008B14EA">
      <w:pPr>
        <w:jc w:val="right"/>
        <w:rPr>
          <w:rFonts w:ascii="Arial Black" w:hAnsi="Arial Black"/>
          <w:caps/>
          <w:sz w:val="15"/>
          <w:lang w:val="es-419"/>
        </w:rPr>
      </w:pPr>
      <w:r w:rsidRPr="00C84D1C">
        <w:rPr>
          <w:rFonts w:ascii="Arial Black" w:hAnsi="Arial Black"/>
          <w:caps/>
          <w:sz w:val="15"/>
          <w:szCs w:val="15"/>
          <w:lang w:val="es-419"/>
        </w:rPr>
        <w:t>PCT/WG/1</w:t>
      </w:r>
      <w:r w:rsidR="00E51F34" w:rsidRPr="00C84D1C">
        <w:rPr>
          <w:rFonts w:ascii="Arial Black" w:hAnsi="Arial Black"/>
          <w:caps/>
          <w:sz w:val="15"/>
          <w:szCs w:val="15"/>
          <w:lang w:val="es-419"/>
        </w:rPr>
        <w:t>8</w:t>
      </w:r>
      <w:r w:rsidR="00186911" w:rsidRPr="00C84D1C">
        <w:rPr>
          <w:rFonts w:ascii="Arial Black" w:hAnsi="Arial Black"/>
          <w:caps/>
          <w:sz w:val="15"/>
          <w:szCs w:val="15"/>
          <w:lang w:val="es-419"/>
        </w:rPr>
        <w:t>/</w:t>
      </w:r>
      <w:bookmarkStart w:id="0" w:name="Code"/>
      <w:bookmarkEnd w:id="0"/>
      <w:r w:rsidR="002C6DFE" w:rsidRPr="00C84D1C">
        <w:rPr>
          <w:rFonts w:ascii="Arial Black" w:hAnsi="Arial Black"/>
          <w:caps/>
          <w:sz w:val="15"/>
          <w:szCs w:val="15"/>
          <w:lang w:val="es-419"/>
        </w:rPr>
        <w:t>19</w:t>
      </w:r>
    </w:p>
    <w:p w14:paraId="6FA4C428" w14:textId="696D5FCD" w:rsidR="008B2CC1" w:rsidRPr="00C84D1C" w:rsidRDefault="008B14EA" w:rsidP="008B14EA">
      <w:pPr>
        <w:jc w:val="right"/>
        <w:rPr>
          <w:rFonts w:ascii="Arial Black" w:hAnsi="Arial Black"/>
          <w:caps/>
          <w:sz w:val="15"/>
          <w:lang w:val="es-419"/>
        </w:rPr>
      </w:pPr>
      <w:r w:rsidRPr="00C84D1C">
        <w:rPr>
          <w:rFonts w:ascii="Arial Black" w:hAnsi="Arial Black"/>
          <w:caps/>
          <w:sz w:val="15"/>
          <w:lang w:val="es-419"/>
        </w:rPr>
        <w:t xml:space="preserve">ORIGINAL: </w:t>
      </w:r>
      <w:bookmarkStart w:id="1" w:name="Original"/>
      <w:r w:rsidR="002C6DFE" w:rsidRPr="00C84D1C">
        <w:rPr>
          <w:rFonts w:ascii="Arial Black" w:hAnsi="Arial Black"/>
          <w:caps/>
          <w:sz w:val="15"/>
          <w:lang w:val="es-419"/>
        </w:rPr>
        <w:t>INGLÉS</w:t>
      </w:r>
    </w:p>
    <w:bookmarkEnd w:id="1"/>
    <w:p w14:paraId="1F06148A" w14:textId="24013562" w:rsidR="008B2CC1" w:rsidRPr="00C84D1C" w:rsidRDefault="008B14EA" w:rsidP="008B14EA">
      <w:pPr>
        <w:spacing w:after="1200"/>
        <w:jc w:val="right"/>
        <w:rPr>
          <w:rFonts w:ascii="Arial Black" w:hAnsi="Arial Black"/>
          <w:caps/>
          <w:sz w:val="15"/>
          <w:lang w:val="es-419"/>
        </w:rPr>
      </w:pPr>
      <w:r w:rsidRPr="00C84D1C">
        <w:rPr>
          <w:rFonts w:ascii="Arial Black" w:hAnsi="Arial Black"/>
          <w:caps/>
          <w:sz w:val="15"/>
          <w:lang w:val="es-419"/>
        </w:rPr>
        <w:t xml:space="preserve">FECHA: </w:t>
      </w:r>
      <w:bookmarkStart w:id="2" w:name="Date"/>
      <w:r w:rsidR="002C6DFE" w:rsidRPr="00C84D1C">
        <w:rPr>
          <w:rFonts w:ascii="Arial Black" w:hAnsi="Arial Black"/>
          <w:caps/>
          <w:sz w:val="15"/>
          <w:lang w:val="es-419"/>
        </w:rPr>
        <w:t>4 DE FEBRERO DE 2025</w:t>
      </w:r>
    </w:p>
    <w:bookmarkEnd w:id="2"/>
    <w:p w14:paraId="474EBC16" w14:textId="77777777" w:rsidR="008B2CC1" w:rsidRPr="00C84D1C" w:rsidRDefault="005472C7" w:rsidP="008B14EA">
      <w:pPr>
        <w:spacing w:after="600"/>
        <w:rPr>
          <w:b/>
          <w:sz w:val="28"/>
          <w:szCs w:val="28"/>
          <w:lang w:val="es-419"/>
        </w:rPr>
      </w:pPr>
      <w:r w:rsidRPr="00C84D1C">
        <w:rPr>
          <w:b/>
          <w:sz w:val="28"/>
          <w:szCs w:val="28"/>
          <w:lang w:val="es-419"/>
        </w:rPr>
        <w:t>Grupo de Trabajo del Tratado de Cooperación en materia de Patentes (PCT)</w:t>
      </w:r>
    </w:p>
    <w:p w14:paraId="32927C8C" w14:textId="77777777" w:rsidR="00323EB5" w:rsidRPr="00C84D1C" w:rsidRDefault="00011CFD" w:rsidP="00323EB5">
      <w:pPr>
        <w:rPr>
          <w:b/>
          <w:sz w:val="24"/>
          <w:szCs w:val="24"/>
          <w:lang w:val="es-419"/>
        </w:rPr>
      </w:pPr>
      <w:r w:rsidRPr="00C84D1C">
        <w:rPr>
          <w:b/>
          <w:sz w:val="24"/>
          <w:szCs w:val="24"/>
          <w:lang w:val="es-419"/>
        </w:rPr>
        <w:t xml:space="preserve">Decimoctava </w:t>
      </w:r>
      <w:r w:rsidR="005472C7" w:rsidRPr="00C84D1C">
        <w:rPr>
          <w:b/>
          <w:sz w:val="24"/>
          <w:szCs w:val="24"/>
          <w:lang w:val="es-419"/>
        </w:rPr>
        <w:t>reunión</w:t>
      </w:r>
    </w:p>
    <w:p w14:paraId="38C0D78F" w14:textId="77777777" w:rsidR="008B2CC1" w:rsidRPr="00C84D1C" w:rsidRDefault="005472C7" w:rsidP="008B14EA">
      <w:pPr>
        <w:spacing w:after="720"/>
        <w:rPr>
          <w:b/>
          <w:sz w:val="24"/>
          <w:szCs w:val="24"/>
          <w:lang w:val="es-419"/>
        </w:rPr>
      </w:pPr>
      <w:r w:rsidRPr="00C84D1C">
        <w:rPr>
          <w:b/>
          <w:sz w:val="24"/>
          <w:szCs w:val="24"/>
          <w:lang w:val="es-419"/>
        </w:rPr>
        <w:t xml:space="preserve">Ginebra, </w:t>
      </w:r>
      <w:r w:rsidR="00D21340" w:rsidRPr="00C84D1C">
        <w:rPr>
          <w:b/>
          <w:sz w:val="24"/>
          <w:szCs w:val="24"/>
          <w:lang w:val="es-419"/>
        </w:rPr>
        <w:t>1</w:t>
      </w:r>
      <w:r w:rsidR="00E51F34" w:rsidRPr="00C84D1C">
        <w:rPr>
          <w:b/>
          <w:sz w:val="24"/>
          <w:szCs w:val="24"/>
          <w:lang w:val="es-419"/>
        </w:rPr>
        <w:t>8</w:t>
      </w:r>
      <w:r w:rsidR="00D21340" w:rsidRPr="00C84D1C">
        <w:rPr>
          <w:b/>
          <w:sz w:val="24"/>
          <w:szCs w:val="24"/>
          <w:lang w:val="es-419"/>
        </w:rPr>
        <w:t xml:space="preserve"> a 2</w:t>
      </w:r>
      <w:r w:rsidR="00E51F34" w:rsidRPr="00C84D1C">
        <w:rPr>
          <w:b/>
          <w:sz w:val="24"/>
          <w:szCs w:val="24"/>
          <w:lang w:val="es-419"/>
        </w:rPr>
        <w:t>0</w:t>
      </w:r>
      <w:r w:rsidR="00D21340" w:rsidRPr="00C84D1C">
        <w:rPr>
          <w:b/>
          <w:sz w:val="24"/>
          <w:szCs w:val="24"/>
          <w:lang w:val="es-419"/>
        </w:rPr>
        <w:t xml:space="preserve"> de febrero de 202</w:t>
      </w:r>
      <w:r w:rsidR="00E51F34" w:rsidRPr="00C84D1C">
        <w:rPr>
          <w:b/>
          <w:sz w:val="24"/>
          <w:szCs w:val="24"/>
          <w:lang w:val="es-419"/>
        </w:rPr>
        <w:t>5</w:t>
      </w:r>
    </w:p>
    <w:p w14:paraId="591A547A" w14:textId="75E6FEC5" w:rsidR="008B2CC1" w:rsidRPr="00C84D1C" w:rsidRDefault="002C6DFE" w:rsidP="008B14EA">
      <w:pPr>
        <w:spacing w:after="360"/>
        <w:rPr>
          <w:caps/>
          <w:sz w:val="24"/>
          <w:lang w:val="es-419"/>
        </w:rPr>
      </w:pPr>
      <w:bookmarkStart w:id="3" w:name="TitleOfDoc"/>
      <w:r w:rsidRPr="00C84D1C">
        <w:rPr>
          <w:caps/>
          <w:sz w:val="24"/>
          <w:lang w:val="es-419"/>
        </w:rPr>
        <w:t>Medio de presentación de solicitudes internacionales: Modificación consiguiente</w:t>
      </w:r>
    </w:p>
    <w:p w14:paraId="6227A9C1" w14:textId="16F112A3" w:rsidR="008B2CC1" w:rsidRPr="00C84D1C" w:rsidRDefault="002C6DFE" w:rsidP="008B14EA">
      <w:pPr>
        <w:spacing w:after="960"/>
        <w:rPr>
          <w:i/>
          <w:lang w:val="es-419"/>
        </w:rPr>
      </w:pPr>
      <w:bookmarkStart w:id="4" w:name="Prepared"/>
      <w:bookmarkEnd w:id="3"/>
      <w:r w:rsidRPr="00C84D1C">
        <w:rPr>
          <w:i/>
          <w:lang w:val="es-419"/>
        </w:rPr>
        <w:t>Documento preparado por la Oficina Internacional</w:t>
      </w:r>
    </w:p>
    <w:bookmarkEnd w:id="4"/>
    <w:p w14:paraId="18A0773A" w14:textId="77777777" w:rsidR="002C6DFE" w:rsidRPr="00C84D1C" w:rsidRDefault="002C6DFE" w:rsidP="00CE2E3D">
      <w:pPr>
        <w:pStyle w:val="Heading1"/>
        <w:spacing w:after="240"/>
        <w:rPr>
          <w:lang w:val="es-419"/>
        </w:rPr>
      </w:pPr>
      <w:r w:rsidRPr="00C84D1C">
        <w:rPr>
          <w:lang w:val="es-419"/>
        </w:rPr>
        <w:t>Antecedentes</w:t>
      </w:r>
    </w:p>
    <w:p w14:paraId="5F0AAB88" w14:textId="77777777" w:rsidR="002C6DFE" w:rsidRPr="00C84D1C" w:rsidRDefault="002C6DFE" w:rsidP="00CE2E3D">
      <w:pPr>
        <w:pStyle w:val="ONUMFS"/>
        <w:rPr>
          <w:lang w:val="es-419"/>
        </w:rPr>
      </w:pPr>
      <w:r w:rsidRPr="00C84D1C">
        <w:rPr>
          <w:lang w:val="es-419"/>
        </w:rPr>
        <w:t>Tras los debates mantenidos en la decimoséptima reunión del Grupo de Trabajo (véase el documento PCT/WG/17/15 y los párrafos 15 y 16 del documento PCT/WG/17/21), la Asamblea de la Unión del PCT adoptó modificaciones de la Regla 89</w:t>
      </w:r>
      <w:r w:rsidRPr="00C84D1C">
        <w:rPr>
          <w:i/>
          <w:iCs/>
          <w:lang w:val="es-419"/>
        </w:rPr>
        <w:t>bis</w:t>
      </w:r>
      <w:r w:rsidRPr="00C84D1C">
        <w:rPr>
          <w:lang w:val="es-419"/>
        </w:rPr>
        <w:t xml:space="preserve"> del PCT, que permiten a una Oficina receptora especificar que solo recibirá en formato electrónico las solicitudes internacionales y los documentos presentados posteriormente. Las modificaciones entrarán en vigor el 1 de julio de 2025.</w:t>
      </w:r>
    </w:p>
    <w:p w14:paraId="37637AD7" w14:textId="7992A4C7" w:rsidR="002C6DFE" w:rsidRPr="00C84D1C" w:rsidRDefault="002C6DFE" w:rsidP="00CE2E3D">
      <w:pPr>
        <w:pStyle w:val="ONUMFS"/>
        <w:rPr>
          <w:lang w:val="es-419"/>
        </w:rPr>
      </w:pPr>
      <w:r w:rsidRPr="00C84D1C">
        <w:rPr>
          <w:lang w:val="es-419"/>
        </w:rPr>
        <w:t xml:space="preserve">La </w:t>
      </w:r>
      <w:r w:rsidR="006E41C3">
        <w:rPr>
          <w:lang w:val="es-419"/>
        </w:rPr>
        <w:t>R</w:t>
      </w:r>
      <w:r w:rsidRPr="00C84D1C">
        <w:rPr>
          <w:lang w:val="es-419"/>
        </w:rPr>
        <w:t>egla 89</w:t>
      </w:r>
      <w:r w:rsidRPr="00C84D1C">
        <w:rPr>
          <w:i/>
          <w:iCs/>
          <w:lang w:val="es-419"/>
        </w:rPr>
        <w:t>bis</w:t>
      </w:r>
      <w:r w:rsidRPr="00C84D1C">
        <w:rPr>
          <w:lang w:val="es-419"/>
        </w:rPr>
        <w:t>.1(d-</w:t>
      </w:r>
      <w:r w:rsidRPr="000006CC">
        <w:rPr>
          <w:i/>
          <w:iCs/>
          <w:lang w:val="es-419"/>
        </w:rPr>
        <w:t>ter</w:t>
      </w:r>
      <w:r w:rsidRPr="00C84D1C">
        <w:rPr>
          <w:lang w:val="es-419"/>
        </w:rPr>
        <w:t xml:space="preserve">) permite a una Oficina receptora especificar que toda solicitud presentada en papel debe </w:t>
      </w:r>
      <w:r w:rsidR="003A58BA">
        <w:rPr>
          <w:lang w:val="es-419"/>
        </w:rPr>
        <w:t>reenviarse</w:t>
      </w:r>
      <w:r w:rsidRPr="00C84D1C">
        <w:rPr>
          <w:lang w:val="es-419"/>
        </w:rPr>
        <w:t xml:space="preserve"> por medios electrónicos en un plazo de dos meses a partir de la fecha de una invitación de la Oficina. Si la copia electrónica no se recibe a tiempo, la solicitud internacional se considerará retirada.</w:t>
      </w:r>
    </w:p>
    <w:p w14:paraId="7E6C5C4C" w14:textId="77777777" w:rsidR="002C6DFE" w:rsidRPr="00C84D1C" w:rsidRDefault="002C6DFE" w:rsidP="00CE2E3D">
      <w:pPr>
        <w:pStyle w:val="ONUMFS"/>
        <w:rPr>
          <w:lang w:val="es-419"/>
        </w:rPr>
      </w:pPr>
      <w:r w:rsidRPr="00C84D1C">
        <w:rPr>
          <w:lang w:val="es-419"/>
        </w:rPr>
        <w:t>Se ha señalado que en otros casos en los que se considera que las solicitudes han sido retiradas, en la Regla 29 se especifican las medidas adicionales que debe adoptar la Oficina receptora (así como las medidas que no deben adoptar la Oficina receptora y la Oficina Internacional). Las mismas medidas deberían aplicarse en el caso mencionado en la Regla 89</w:t>
      </w:r>
      <w:r w:rsidRPr="00C84D1C">
        <w:rPr>
          <w:i/>
          <w:lang w:val="es-419"/>
        </w:rPr>
        <w:t>bis</w:t>
      </w:r>
      <w:r w:rsidRPr="00C84D1C">
        <w:rPr>
          <w:lang w:val="es-419"/>
        </w:rPr>
        <w:t>.1(d-</w:t>
      </w:r>
      <w:r w:rsidRPr="00C84D1C">
        <w:rPr>
          <w:i/>
          <w:lang w:val="es-419"/>
        </w:rPr>
        <w:t>ter</w:t>
      </w:r>
      <w:r w:rsidRPr="00C84D1C">
        <w:rPr>
          <w:lang w:val="es-419"/>
        </w:rPr>
        <w:t>).</w:t>
      </w:r>
    </w:p>
    <w:p w14:paraId="1E1DD9C8" w14:textId="77777777" w:rsidR="002C6DFE" w:rsidRPr="00C84D1C" w:rsidRDefault="002C6DFE" w:rsidP="00CE2E3D">
      <w:pPr>
        <w:pStyle w:val="Heading1"/>
        <w:spacing w:after="240"/>
        <w:rPr>
          <w:lang w:val="es-419"/>
        </w:rPr>
      </w:pPr>
      <w:r w:rsidRPr="00C84D1C">
        <w:rPr>
          <w:lang w:val="es-419"/>
        </w:rPr>
        <w:lastRenderedPageBreak/>
        <w:t>Propuesta</w:t>
      </w:r>
    </w:p>
    <w:p w14:paraId="7A387F08" w14:textId="1423A9E7" w:rsidR="002C6DFE" w:rsidRPr="00C84D1C" w:rsidRDefault="002C6DFE" w:rsidP="00CE2E3D">
      <w:pPr>
        <w:pStyle w:val="ONUMFS"/>
        <w:rPr>
          <w:lang w:val="es-419"/>
        </w:rPr>
      </w:pPr>
      <w:r w:rsidRPr="00C84D1C">
        <w:rPr>
          <w:lang w:val="es-419"/>
        </w:rPr>
        <w:t>En el Anexo I se exponen las modificaciones que se propone introducir en la Regla 29 del Reglamento del PCT para aclarar que una solicitud que se considere retirada en virtud de la Regla 89</w:t>
      </w:r>
      <w:r w:rsidRPr="000A2096">
        <w:rPr>
          <w:i/>
          <w:iCs/>
          <w:lang w:val="es-419"/>
        </w:rPr>
        <w:t>bis</w:t>
      </w:r>
      <w:r w:rsidRPr="00C84D1C">
        <w:rPr>
          <w:lang w:val="es-419"/>
        </w:rPr>
        <w:t>.1.d-</w:t>
      </w:r>
      <w:r w:rsidRPr="0058633C">
        <w:rPr>
          <w:i/>
          <w:iCs/>
          <w:lang w:val="es-419"/>
        </w:rPr>
        <w:t>ter</w:t>
      </w:r>
      <w:r w:rsidRPr="00C84D1C">
        <w:rPr>
          <w:lang w:val="es-419"/>
        </w:rPr>
        <w:t xml:space="preserve"> se tratará de la misma manera que una solicitud que se considere retirada por cualquier otro motivo. La Oficina receptora podría decidir si transmitir el ejemplar original en papel o escanearlo y transmitirlo electrónicamente. Para facilitar la consulta, se incluyen las partes pertinentes de la </w:t>
      </w:r>
      <w:r w:rsidR="0028131F">
        <w:rPr>
          <w:lang w:val="es-419"/>
        </w:rPr>
        <w:t>Regla</w:t>
      </w:r>
      <w:r w:rsidRPr="00C84D1C">
        <w:rPr>
          <w:lang w:val="es-419"/>
        </w:rPr>
        <w:t> 89</w:t>
      </w:r>
      <w:r w:rsidRPr="00C84D1C">
        <w:rPr>
          <w:i/>
          <w:iCs/>
          <w:lang w:val="es-419"/>
        </w:rPr>
        <w:t>bis</w:t>
      </w:r>
      <w:r w:rsidRPr="00C84D1C">
        <w:rPr>
          <w:lang w:val="es-419"/>
        </w:rPr>
        <w:t>.1, en vigor a partir del 1 de julio de 2025.</w:t>
      </w:r>
    </w:p>
    <w:p w14:paraId="646E4AA5" w14:textId="77777777" w:rsidR="002C6DFE" w:rsidRPr="00C84D1C" w:rsidRDefault="002C6DFE" w:rsidP="00CE2E3D">
      <w:pPr>
        <w:pStyle w:val="ONUMFS"/>
        <w:ind w:left="5534"/>
        <w:rPr>
          <w:i/>
          <w:lang w:val="es-419"/>
        </w:rPr>
      </w:pPr>
      <w:r w:rsidRPr="00C84D1C">
        <w:rPr>
          <w:i/>
          <w:lang w:val="es-419"/>
        </w:rPr>
        <w:t>Se invita al Grupo de Trabajo a examinar las modificaciones que se propone introducir en el Reglamento del PCT, que figuran en el Anexo del presente documento.</w:t>
      </w:r>
    </w:p>
    <w:p w14:paraId="2C9FAF0E" w14:textId="77777777" w:rsidR="002C6DFE" w:rsidRPr="00C84D1C" w:rsidRDefault="002C6DFE" w:rsidP="00CE2E3D">
      <w:pPr>
        <w:pStyle w:val="Endofdocument-Annex"/>
        <w:spacing w:before="720"/>
        <w:rPr>
          <w:lang w:val="es-419"/>
        </w:rPr>
        <w:sectPr w:rsidR="002C6DFE" w:rsidRPr="00C84D1C" w:rsidSect="002C6DFE">
          <w:headerReference w:type="default" r:id="rId8"/>
          <w:endnotePr>
            <w:numFmt w:val="decimal"/>
          </w:endnotePr>
          <w:pgSz w:w="11907" w:h="16840" w:code="9"/>
          <w:pgMar w:top="567" w:right="1134" w:bottom="1418" w:left="1418" w:header="510" w:footer="1021" w:gutter="0"/>
          <w:cols w:space="720"/>
          <w:titlePg/>
          <w:docGrid w:linePitch="299"/>
        </w:sectPr>
      </w:pPr>
      <w:r w:rsidRPr="00C84D1C">
        <w:rPr>
          <w:lang w:val="es-419"/>
        </w:rPr>
        <w:t>[Sigue el Anexo]</w:t>
      </w:r>
    </w:p>
    <w:p w14:paraId="050B8840" w14:textId="77777777" w:rsidR="002C6DFE" w:rsidRPr="00C84D1C" w:rsidRDefault="002C6DFE" w:rsidP="002C6DFE">
      <w:pPr>
        <w:jc w:val="center"/>
        <w:rPr>
          <w:lang w:val="es-419"/>
        </w:rPr>
      </w:pPr>
      <w:r w:rsidRPr="00C84D1C">
        <w:rPr>
          <w:lang w:val="es-419"/>
        </w:rPr>
        <w:t>MODIFICACIONES QUE SE PROPONE INTRODUCIR EN EL REGLAMENTO DEL PCT</w:t>
      </w:r>
      <w:r w:rsidRPr="00C84D1C">
        <w:rPr>
          <w:rStyle w:val="FootnoteReference"/>
          <w:caps/>
          <w:lang w:val="es-419"/>
        </w:rPr>
        <w:footnoteReference w:id="2"/>
      </w:r>
    </w:p>
    <w:p w14:paraId="2676C2C3" w14:textId="77777777" w:rsidR="002C6DFE" w:rsidRPr="00C84D1C" w:rsidRDefault="002C6DFE" w:rsidP="002C6DFE">
      <w:pPr>
        <w:jc w:val="center"/>
        <w:rPr>
          <w:lang w:val="es-419"/>
        </w:rPr>
      </w:pPr>
    </w:p>
    <w:p w14:paraId="351A7F91" w14:textId="77777777" w:rsidR="002C6DFE" w:rsidRPr="00C84D1C" w:rsidRDefault="002C6DFE" w:rsidP="002C6DFE">
      <w:pPr>
        <w:jc w:val="center"/>
        <w:rPr>
          <w:lang w:val="es-419"/>
        </w:rPr>
      </w:pPr>
      <w:r w:rsidRPr="00C84D1C">
        <w:rPr>
          <w:lang w:val="es-419"/>
        </w:rPr>
        <w:t>ÍNDICE</w:t>
      </w:r>
    </w:p>
    <w:p w14:paraId="549CB784" w14:textId="77777777" w:rsidR="002C6DFE" w:rsidRPr="00C84D1C" w:rsidRDefault="002C6DFE" w:rsidP="002C6DFE">
      <w:pPr>
        <w:rPr>
          <w:lang w:val="es-419"/>
        </w:rPr>
      </w:pPr>
    </w:p>
    <w:p w14:paraId="1B3914A1" w14:textId="77777777" w:rsidR="002C6DFE" w:rsidRPr="00C84D1C" w:rsidRDefault="002C6DFE" w:rsidP="002C6DFE">
      <w:pPr>
        <w:rPr>
          <w:lang w:val="es-419"/>
        </w:rPr>
      </w:pPr>
    </w:p>
    <w:p w14:paraId="77D91783" w14:textId="5AE7F558" w:rsidR="002C6DFE" w:rsidRPr="00C84D1C" w:rsidRDefault="002C6DFE" w:rsidP="002C6DFE">
      <w:pPr>
        <w:pStyle w:val="TOC1"/>
        <w:tabs>
          <w:tab w:val="right" w:leader="dot" w:pos="9345"/>
        </w:tabs>
        <w:rPr>
          <w:rFonts w:asciiTheme="minorHAnsi" w:eastAsiaTheme="minorEastAsia" w:hAnsiTheme="minorHAnsi" w:cstheme="minorBidi"/>
          <w:noProof/>
          <w:kern w:val="2"/>
          <w:sz w:val="24"/>
          <w:szCs w:val="24"/>
          <w:lang w:val="es-419" w:eastAsia="en-US"/>
          <w14:ligatures w14:val="standardContextual"/>
        </w:rPr>
      </w:pPr>
      <w:r w:rsidRPr="00C84D1C">
        <w:rPr>
          <w:lang w:val="es-419"/>
        </w:rPr>
        <w:fldChar w:fldCharType="begin"/>
      </w:r>
      <w:r w:rsidRPr="00C84D1C">
        <w:rPr>
          <w:lang w:val="es-419"/>
        </w:rPr>
        <w:instrText xml:space="preserve"> TOC \t "Leg # Title,1,Leg SubRule #,2" </w:instrText>
      </w:r>
      <w:r w:rsidRPr="00C84D1C">
        <w:rPr>
          <w:lang w:val="es-419"/>
        </w:rPr>
        <w:fldChar w:fldCharType="separate"/>
      </w:r>
      <w:r w:rsidRPr="00C84D1C">
        <w:rPr>
          <w:noProof/>
          <w:lang w:val="es-419"/>
        </w:rPr>
        <w:t>Regla 29 Solicitudes internacionales consideradas retiradas</w:t>
      </w:r>
      <w:r w:rsidRPr="00C84D1C">
        <w:rPr>
          <w:noProof/>
          <w:lang w:val="es-419"/>
        </w:rPr>
        <w:tab/>
      </w:r>
      <w:r w:rsidRPr="00C84D1C">
        <w:rPr>
          <w:noProof/>
          <w:lang w:val="es-419"/>
        </w:rPr>
        <w:fldChar w:fldCharType="begin"/>
      </w:r>
      <w:r w:rsidRPr="00C84D1C">
        <w:rPr>
          <w:noProof/>
          <w:lang w:val="es-419"/>
        </w:rPr>
        <w:instrText xml:space="preserve"> PAGEREF _Toc189661338 \h </w:instrText>
      </w:r>
      <w:r w:rsidRPr="00C84D1C">
        <w:rPr>
          <w:noProof/>
          <w:lang w:val="es-419"/>
        </w:rPr>
      </w:r>
      <w:r w:rsidRPr="00C84D1C">
        <w:rPr>
          <w:noProof/>
          <w:lang w:val="es-419"/>
        </w:rPr>
        <w:fldChar w:fldCharType="separate"/>
      </w:r>
      <w:r w:rsidR="00412AFD">
        <w:rPr>
          <w:noProof/>
          <w:lang w:val="es-419"/>
        </w:rPr>
        <w:t>2</w:t>
      </w:r>
      <w:r w:rsidRPr="00C84D1C">
        <w:rPr>
          <w:noProof/>
          <w:lang w:val="es-419"/>
        </w:rPr>
        <w:fldChar w:fldCharType="end"/>
      </w:r>
    </w:p>
    <w:p w14:paraId="5E67F12D" w14:textId="3D1F8B8D" w:rsidR="002C6DFE" w:rsidRPr="00C84D1C" w:rsidRDefault="002C6DFE" w:rsidP="002C6DFE">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r w:rsidRPr="00C84D1C">
        <w:rPr>
          <w:noProof/>
          <w:lang w:val="es-419"/>
        </w:rPr>
        <w:t xml:space="preserve">29.1 </w:t>
      </w:r>
      <w:r w:rsidRPr="00C84D1C">
        <w:rPr>
          <w:i/>
          <w:noProof/>
          <w:lang w:val="es-419"/>
        </w:rPr>
        <w:t>Comprobaciones de la Oficina receptora</w:t>
      </w:r>
      <w:r w:rsidRPr="00C84D1C">
        <w:rPr>
          <w:noProof/>
          <w:lang w:val="es-419"/>
        </w:rPr>
        <w:tab/>
      </w:r>
      <w:r w:rsidRPr="00C84D1C">
        <w:rPr>
          <w:noProof/>
          <w:lang w:val="es-419"/>
        </w:rPr>
        <w:fldChar w:fldCharType="begin"/>
      </w:r>
      <w:r w:rsidRPr="00C84D1C">
        <w:rPr>
          <w:noProof/>
          <w:lang w:val="es-419"/>
        </w:rPr>
        <w:instrText xml:space="preserve"> PAGEREF _Toc189661339 \h </w:instrText>
      </w:r>
      <w:r w:rsidRPr="00C84D1C">
        <w:rPr>
          <w:noProof/>
          <w:lang w:val="es-419"/>
        </w:rPr>
      </w:r>
      <w:r w:rsidRPr="00C84D1C">
        <w:rPr>
          <w:noProof/>
          <w:lang w:val="es-419"/>
        </w:rPr>
        <w:fldChar w:fldCharType="separate"/>
      </w:r>
      <w:r w:rsidR="00412AFD">
        <w:rPr>
          <w:noProof/>
          <w:lang w:val="es-419"/>
        </w:rPr>
        <w:t>2</w:t>
      </w:r>
      <w:r w:rsidRPr="00C84D1C">
        <w:rPr>
          <w:noProof/>
          <w:lang w:val="es-419"/>
        </w:rPr>
        <w:fldChar w:fldCharType="end"/>
      </w:r>
    </w:p>
    <w:p w14:paraId="549C3D76" w14:textId="7D9C6E86" w:rsidR="002C6DFE" w:rsidRPr="00C84D1C" w:rsidRDefault="002C6DFE" w:rsidP="002C6DFE">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r w:rsidRPr="00C84D1C">
        <w:rPr>
          <w:noProof/>
          <w:lang w:val="es-419"/>
        </w:rPr>
        <w:t xml:space="preserve">29.2 </w:t>
      </w:r>
      <w:r w:rsidRPr="00C84D1C">
        <w:rPr>
          <w:i/>
          <w:iCs/>
          <w:noProof/>
          <w:lang w:val="es-419"/>
        </w:rPr>
        <w:t>[Permanece suprimido]</w:t>
      </w:r>
      <w:r w:rsidRPr="00C84D1C">
        <w:rPr>
          <w:noProof/>
          <w:lang w:val="es-419"/>
        </w:rPr>
        <w:tab/>
      </w:r>
      <w:r w:rsidRPr="00C84D1C">
        <w:rPr>
          <w:noProof/>
          <w:lang w:val="es-419"/>
        </w:rPr>
        <w:fldChar w:fldCharType="begin"/>
      </w:r>
      <w:r w:rsidRPr="00C84D1C">
        <w:rPr>
          <w:noProof/>
          <w:lang w:val="es-419"/>
        </w:rPr>
        <w:instrText xml:space="preserve"> PAGEREF _Toc189661340 \h </w:instrText>
      </w:r>
      <w:r w:rsidRPr="00C84D1C">
        <w:rPr>
          <w:noProof/>
          <w:lang w:val="es-419"/>
        </w:rPr>
      </w:r>
      <w:r w:rsidRPr="00C84D1C">
        <w:rPr>
          <w:noProof/>
          <w:lang w:val="es-419"/>
        </w:rPr>
        <w:fldChar w:fldCharType="separate"/>
      </w:r>
      <w:r w:rsidR="00412AFD">
        <w:rPr>
          <w:noProof/>
          <w:lang w:val="es-419"/>
        </w:rPr>
        <w:t>2</w:t>
      </w:r>
      <w:r w:rsidRPr="00C84D1C">
        <w:rPr>
          <w:noProof/>
          <w:lang w:val="es-419"/>
        </w:rPr>
        <w:fldChar w:fldCharType="end"/>
      </w:r>
    </w:p>
    <w:p w14:paraId="08EECA36" w14:textId="0F3BC5F4" w:rsidR="002C6DFE" w:rsidRPr="00C84D1C" w:rsidRDefault="002C6DFE" w:rsidP="002C6DFE">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r w:rsidRPr="00C84D1C">
        <w:rPr>
          <w:noProof/>
          <w:lang w:val="es-419"/>
        </w:rPr>
        <w:t xml:space="preserve">29.3 y 29.4 </w:t>
      </w:r>
      <w:r w:rsidRPr="00C84D1C">
        <w:rPr>
          <w:i/>
          <w:noProof/>
          <w:lang w:val="es-419"/>
        </w:rPr>
        <w:t>[Sin cambios]</w:t>
      </w:r>
      <w:r w:rsidRPr="00C84D1C">
        <w:rPr>
          <w:noProof/>
          <w:lang w:val="es-419"/>
        </w:rPr>
        <w:tab/>
      </w:r>
      <w:r w:rsidRPr="00C84D1C">
        <w:rPr>
          <w:noProof/>
          <w:lang w:val="es-419"/>
        </w:rPr>
        <w:fldChar w:fldCharType="begin"/>
      </w:r>
      <w:r w:rsidRPr="00C84D1C">
        <w:rPr>
          <w:noProof/>
          <w:lang w:val="es-419"/>
        </w:rPr>
        <w:instrText xml:space="preserve"> PAGEREF _Toc189661341 \h </w:instrText>
      </w:r>
      <w:r w:rsidRPr="00C84D1C">
        <w:rPr>
          <w:noProof/>
          <w:lang w:val="es-419"/>
        </w:rPr>
      </w:r>
      <w:r w:rsidRPr="00C84D1C">
        <w:rPr>
          <w:noProof/>
          <w:lang w:val="es-419"/>
        </w:rPr>
        <w:fldChar w:fldCharType="separate"/>
      </w:r>
      <w:r w:rsidR="00412AFD">
        <w:rPr>
          <w:noProof/>
          <w:lang w:val="es-419"/>
        </w:rPr>
        <w:t>2</w:t>
      </w:r>
      <w:r w:rsidRPr="00C84D1C">
        <w:rPr>
          <w:noProof/>
          <w:lang w:val="es-419"/>
        </w:rPr>
        <w:fldChar w:fldCharType="end"/>
      </w:r>
    </w:p>
    <w:p w14:paraId="4BD03423" w14:textId="5F171E6E" w:rsidR="002C6DFE" w:rsidRPr="00C84D1C" w:rsidRDefault="002C6DFE" w:rsidP="002C6DFE">
      <w:pPr>
        <w:pStyle w:val="TOC1"/>
        <w:tabs>
          <w:tab w:val="right" w:leader="dot" w:pos="9345"/>
        </w:tabs>
        <w:rPr>
          <w:rFonts w:asciiTheme="minorHAnsi" w:eastAsiaTheme="minorEastAsia" w:hAnsiTheme="minorHAnsi" w:cstheme="minorBidi"/>
          <w:noProof/>
          <w:kern w:val="2"/>
          <w:sz w:val="24"/>
          <w:szCs w:val="24"/>
          <w:lang w:val="es-419" w:eastAsia="en-US"/>
          <w14:ligatures w14:val="standardContextual"/>
        </w:rPr>
      </w:pPr>
      <w:r w:rsidRPr="00C84D1C">
        <w:rPr>
          <w:noProof/>
          <w:lang w:val="es-419"/>
        </w:rPr>
        <w:t>Regla 89</w:t>
      </w:r>
      <w:r w:rsidRPr="00C84D1C">
        <w:rPr>
          <w:i/>
          <w:noProof/>
          <w:lang w:val="es-419"/>
        </w:rPr>
        <w:t>bis</w:t>
      </w:r>
      <w:r w:rsidRPr="00C84D1C">
        <w:rPr>
          <w:noProof/>
          <w:lang w:val="es-419"/>
        </w:rPr>
        <w:t xml:space="preserve"> Presentación, tramitación y transmisión de solicitudes internacionales y otros documentos en formato electrónico o por medios electrónicos</w:t>
      </w:r>
      <w:r w:rsidRPr="00C84D1C">
        <w:rPr>
          <w:noProof/>
          <w:lang w:val="es-419"/>
        </w:rPr>
        <w:tab/>
      </w:r>
      <w:r w:rsidRPr="00C84D1C">
        <w:rPr>
          <w:noProof/>
          <w:lang w:val="es-419"/>
        </w:rPr>
        <w:fldChar w:fldCharType="begin"/>
      </w:r>
      <w:r w:rsidRPr="00C84D1C">
        <w:rPr>
          <w:noProof/>
          <w:lang w:val="es-419"/>
        </w:rPr>
        <w:instrText xml:space="preserve"> PAGEREF _Toc189661342 \h </w:instrText>
      </w:r>
      <w:r w:rsidRPr="00C84D1C">
        <w:rPr>
          <w:noProof/>
          <w:lang w:val="es-419"/>
        </w:rPr>
      </w:r>
      <w:r w:rsidRPr="00C84D1C">
        <w:rPr>
          <w:noProof/>
          <w:lang w:val="es-419"/>
        </w:rPr>
        <w:fldChar w:fldCharType="separate"/>
      </w:r>
      <w:r w:rsidR="00412AFD">
        <w:rPr>
          <w:noProof/>
          <w:lang w:val="es-419"/>
        </w:rPr>
        <w:t>3</w:t>
      </w:r>
      <w:r w:rsidRPr="00C84D1C">
        <w:rPr>
          <w:noProof/>
          <w:lang w:val="es-419"/>
        </w:rPr>
        <w:fldChar w:fldCharType="end"/>
      </w:r>
    </w:p>
    <w:p w14:paraId="0D6CF73D" w14:textId="6C424A32" w:rsidR="002C6DFE" w:rsidRPr="00C84D1C" w:rsidRDefault="002C6DFE" w:rsidP="002C6DFE">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r w:rsidRPr="00C84D1C">
        <w:rPr>
          <w:noProof/>
          <w:lang w:val="es-419"/>
        </w:rPr>
        <w:t>89</w:t>
      </w:r>
      <w:r w:rsidRPr="00C84D1C">
        <w:rPr>
          <w:i/>
          <w:noProof/>
          <w:lang w:val="es-419"/>
        </w:rPr>
        <w:t>bis</w:t>
      </w:r>
      <w:r w:rsidRPr="00C84D1C">
        <w:rPr>
          <w:noProof/>
          <w:lang w:val="es-419"/>
        </w:rPr>
        <w:t xml:space="preserve">.1 [Sin cambios] </w:t>
      </w:r>
      <w:r w:rsidRPr="00C84D1C">
        <w:rPr>
          <w:i/>
          <w:noProof/>
          <w:lang w:val="es-419"/>
        </w:rPr>
        <w:t>Solicitudes internacionales</w:t>
      </w:r>
      <w:r w:rsidRPr="00C84D1C">
        <w:rPr>
          <w:noProof/>
          <w:lang w:val="es-419"/>
        </w:rPr>
        <w:tab/>
      </w:r>
      <w:r w:rsidRPr="00C84D1C">
        <w:rPr>
          <w:noProof/>
          <w:lang w:val="es-419"/>
        </w:rPr>
        <w:fldChar w:fldCharType="begin"/>
      </w:r>
      <w:r w:rsidRPr="00C84D1C">
        <w:rPr>
          <w:noProof/>
          <w:lang w:val="es-419"/>
        </w:rPr>
        <w:instrText xml:space="preserve"> PAGEREF _Toc189661343 \h </w:instrText>
      </w:r>
      <w:r w:rsidRPr="00C84D1C">
        <w:rPr>
          <w:noProof/>
          <w:lang w:val="es-419"/>
        </w:rPr>
      </w:r>
      <w:r w:rsidRPr="00C84D1C">
        <w:rPr>
          <w:noProof/>
          <w:lang w:val="es-419"/>
        </w:rPr>
        <w:fldChar w:fldCharType="separate"/>
      </w:r>
      <w:r w:rsidR="00412AFD">
        <w:rPr>
          <w:noProof/>
          <w:lang w:val="es-419"/>
        </w:rPr>
        <w:t>3</w:t>
      </w:r>
      <w:r w:rsidRPr="00C84D1C">
        <w:rPr>
          <w:noProof/>
          <w:lang w:val="es-419"/>
        </w:rPr>
        <w:fldChar w:fldCharType="end"/>
      </w:r>
    </w:p>
    <w:p w14:paraId="28558E71" w14:textId="21D7F484" w:rsidR="002C6DFE" w:rsidRPr="00C84D1C" w:rsidRDefault="002C6DFE" w:rsidP="002C6DFE">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r w:rsidRPr="00C84D1C">
        <w:rPr>
          <w:noProof/>
          <w:lang w:val="es-419"/>
        </w:rPr>
        <w:t>89</w:t>
      </w:r>
      <w:r w:rsidRPr="00C84D1C">
        <w:rPr>
          <w:i/>
          <w:noProof/>
          <w:lang w:val="es-419"/>
        </w:rPr>
        <w:t>bis</w:t>
      </w:r>
      <w:r w:rsidRPr="00C84D1C">
        <w:rPr>
          <w:noProof/>
          <w:lang w:val="es-419"/>
        </w:rPr>
        <w:t xml:space="preserve">.2 [Sin cambios] </w:t>
      </w:r>
      <w:r w:rsidRPr="00C84D1C">
        <w:rPr>
          <w:i/>
          <w:iCs/>
          <w:noProof/>
          <w:lang w:val="es-419"/>
        </w:rPr>
        <w:t>Otros documentos</w:t>
      </w:r>
      <w:r w:rsidRPr="00C84D1C">
        <w:rPr>
          <w:noProof/>
          <w:lang w:val="es-419"/>
        </w:rPr>
        <w:tab/>
      </w:r>
      <w:r w:rsidRPr="00C84D1C">
        <w:rPr>
          <w:noProof/>
          <w:lang w:val="es-419"/>
        </w:rPr>
        <w:fldChar w:fldCharType="begin"/>
      </w:r>
      <w:r w:rsidRPr="00C84D1C">
        <w:rPr>
          <w:noProof/>
          <w:lang w:val="es-419"/>
        </w:rPr>
        <w:instrText xml:space="preserve"> PAGEREF _Toc189661344 \h </w:instrText>
      </w:r>
      <w:r w:rsidRPr="00C84D1C">
        <w:rPr>
          <w:noProof/>
          <w:lang w:val="es-419"/>
        </w:rPr>
      </w:r>
      <w:r w:rsidRPr="00C84D1C">
        <w:rPr>
          <w:noProof/>
          <w:lang w:val="es-419"/>
        </w:rPr>
        <w:fldChar w:fldCharType="separate"/>
      </w:r>
      <w:r w:rsidR="00412AFD">
        <w:rPr>
          <w:noProof/>
          <w:lang w:val="es-419"/>
        </w:rPr>
        <w:t>4</w:t>
      </w:r>
      <w:r w:rsidRPr="00C84D1C">
        <w:rPr>
          <w:noProof/>
          <w:lang w:val="es-419"/>
        </w:rPr>
        <w:fldChar w:fldCharType="end"/>
      </w:r>
    </w:p>
    <w:p w14:paraId="75465020" w14:textId="5A4DFD8C" w:rsidR="002C6DFE" w:rsidRPr="00C84D1C" w:rsidRDefault="002C6DFE" w:rsidP="002C6DFE">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r w:rsidRPr="00C84D1C">
        <w:rPr>
          <w:noProof/>
          <w:lang w:val="es-419"/>
        </w:rPr>
        <w:t>89</w:t>
      </w:r>
      <w:r w:rsidRPr="00C84D1C">
        <w:rPr>
          <w:i/>
          <w:noProof/>
          <w:lang w:val="es-419"/>
        </w:rPr>
        <w:t>bis</w:t>
      </w:r>
      <w:r w:rsidRPr="00C84D1C">
        <w:rPr>
          <w:noProof/>
          <w:lang w:val="es-419"/>
        </w:rPr>
        <w:t xml:space="preserve">.3 </w:t>
      </w:r>
      <w:r w:rsidRPr="00C84D1C">
        <w:rPr>
          <w:i/>
          <w:noProof/>
          <w:lang w:val="es-419"/>
        </w:rPr>
        <w:t>[Sin cambios]</w:t>
      </w:r>
      <w:r w:rsidRPr="00C84D1C">
        <w:rPr>
          <w:noProof/>
          <w:lang w:val="es-419"/>
        </w:rPr>
        <w:tab/>
      </w:r>
      <w:r w:rsidRPr="00C84D1C">
        <w:rPr>
          <w:noProof/>
          <w:lang w:val="es-419"/>
        </w:rPr>
        <w:fldChar w:fldCharType="begin"/>
      </w:r>
      <w:r w:rsidRPr="00C84D1C">
        <w:rPr>
          <w:noProof/>
          <w:lang w:val="es-419"/>
        </w:rPr>
        <w:instrText xml:space="preserve"> PAGEREF _Toc189661345 \h </w:instrText>
      </w:r>
      <w:r w:rsidRPr="00C84D1C">
        <w:rPr>
          <w:noProof/>
          <w:lang w:val="es-419"/>
        </w:rPr>
      </w:r>
      <w:r w:rsidRPr="00C84D1C">
        <w:rPr>
          <w:noProof/>
          <w:lang w:val="es-419"/>
        </w:rPr>
        <w:fldChar w:fldCharType="separate"/>
      </w:r>
      <w:r w:rsidR="00412AFD">
        <w:rPr>
          <w:noProof/>
          <w:lang w:val="es-419"/>
        </w:rPr>
        <w:t>4</w:t>
      </w:r>
      <w:r w:rsidRPr="00C84D1C">
        <w:rPr>
          <w:noProof/>
          <w:lang w:val="es-419"/>
        </w:rPr>
        <w:fldChar w:fldCharType="end"/>
      </w:r>
    </w:p>
    <w:p w14:paraId="257CDBFB" w14:textId="77777777" w:rsidR="002C6DFE" w:rsidRPr="00C84D1C" w:rsidRDefault="002C6DFE" w:rsidP="002C6DFE">
      <w:pPr>
        <w:rPr>
          <w:lang w:val="es-419"/>
        </w:rPr>
      </w:pPr>
      <w:r w:rsidRPr="00C84D1C">
        <w:rPr>
          <w:lang w:val="es-419"/>
        </w:rPr>
        <w:fldChar w:fldCharType="end"/>
      </w:r>
    </w:p>
    <w:p w14:paraId="420FE581" w14:textId="77777777" w:rsidR="002C6DFE" w:rsidRPr="00C84D1C" w:rsidRDefault="002C6DFE" w:rsidP="002C6DFE">
      <w:pPr>
        <w:pStyle w:val="LegTitle"/>
        <w:rPr>
          <w:lang w:val="es-419"/>
        </w:rPr>
      </w:pPr>
      <w:bookmarkStart w:id="5" w:name="_Toc189661338"/>
      <w:r w:rsidRPr="00C84D1C">
        <w:rPr>
          <w:lang w:val="es-419"/>
        </w:rPr>
        <w:t>Regla 29</w:t>
      </w:r>
      <w:r w:rsidRPr="00C84D1C">
        <w:rPr>
          <w:lang w:val="es-419"/>
        </w:rPr>
        <w:br/>
        <w:t>Solicitudes internacionales consideradas retiradas</w:t>
      </w:r>
      <w:bookmarkEnd w:id="5"/>
    </w:p>
    <w:p w14:paraId="76E45DFA" w14:textId="77777777" w:rsidR="002C6DFE" w:rsidRPr="00C84D1C" w:rsidRDefault="002C6DFE" w:rsidP="002C6DFE">
      <w:pPr>
        <w:pStyle w:val="LegSubRule"/>
        <w:rPr>
          <w:lang w:val="es-419"/>
        </w:rPr>
      </w:pPr>
      <w:bookmarkStart w:id="6" w:name="_Toc189661339"/>
      <w:r w:rsidRPr="00C84D1C">
        <w:rPr>
          <w:lang w:val="es-419"/>
        </w:rPr>
        <w:t xml:space="preserve">29.1 </w:t>
      </w:r>
      <w:r w:rsidRPr="00C84D1C">
        <w:rPr>
          <w:i/>
          <w:lang w:val="es-419"/>
        </w:rPr>
        <w:t>Comprobaciones de la Oficina receptora</w:t>
      </w:r>
      <w:bookmarkEnd w:id="6"/>
    </w:p>
    <w:p w14:paraId="31F6310A" w14:textId="453D590A" w:rsidR="002C6DFE" w:rsidRPr="00C84D1C" w:rsidRDefault="002C6DFE" w:rsidP="002C6DFE">
      <w:pPr>
        <w:pStyle w:val="Lega"/>
        <w:rPr>
          <w:lang w:val="es-419"/>
        </w:rPr>
      </w:pPr>
      <w:r w:rsidRPr="00C84D1C">
        <w:rPr>
          <w:lang w:val="es-419"/>
        </w:rPr>
        <w:tab/>
        <w:t xml:space="preserve">Si la Oficina receptora, de conformidad con el Artículo 14.1)b) y la Regla 26.5 (incumplimiento en la corrección de algunos defectos), o de conformidad con el Artículo 14.3)a) (falta de pago de las tasas prescritas en la Regla 27.1.a)), o con el Artículo 14.4) (comprobación posterior de que los requisitos enumerados en los puntos i) a iii) del Artículo 11.1) no se han cumplido), o con la Regla 12.3.d), 12.4.d) o 26.3ter (falta de proporcionar la traducción necesaria o, cuando sea aplicable, impago de la tasa por entrega tardía), </w:t>
      </w:r>
      <w:r w:rsidRPr="00C84D1C">
        <w:rPr>
          <w:rStyle w:val="LegInsertedText"/>
          <w:lang w:val="es-419"/>
        </w:rPr>
        <w:t>o con la Regla 89</w:t>
      </w:r>
      <w:r w:rsidRPr="00C84D1C">
        <w:rPr>
          <w:rStyle w:val="LegInsertedText"/>
          <w:i/>
          <w:lang w:val="es-419"/>
        </w:rPr>
        <w:t>bis</w:t>
      </w:r>
      <w:r w:rsidRPr="00C84D1C">
        <w:rPr>
          <w:rStyle w:val="LegInsertedText"/>
          <w:lang w:val="es-419"/>
        </w:rPr>
        <w:t>.1(d-</w:t>
      </w:r>
      <w:r w:rsidRPr="00C84D1C">
        <w:rPr>
          <w:rStyle w:val="LegInsertedText"/>
          <w:i/>
          <w:lang w:val="es-419"/>
        </w:rPr>
        <w:t>ter</w:t>
      </w:r>
      <w:r w:rsidRPr="00C84D1C">
        <w:rPr>
          <w:rStyle w:val="LegInsertedText"/>
          <w:lang w:val="es-419"/>
        </w:rPr>
        <w:t xml:space="preserve">) (falta de </w:t>
      </w:r>
      <w:r w:rsidR="00755BB7">
        <w:rPr>
          <w:rStyle w:val="LegInsertedText"/>
          <w:lang w:val="es-419"/>
        </w:rPr>
        <w:t>reenvío</w:t>
      </w:r>
      <w:r w:rsidRPr="00C84D1C">
        <w:rPr>
          <w:rStyle w:val="LegInsertedText"/>
          <w:lang w:val="es-419"/>
        </w:rPr>
        <w:t xml:space="preserve"> de una copia de una solicitud internacional por medios electrónicos),</w:t>
      </w:r>
      <w:r w:rsidRPr="00C84D1C">
        <w:rPr>
          <w:lang w:val="es-419"/>
        </w:rPr>
        <w:t xml:space="preserve"> o con la Regla 92.4.g)i) (incumplimiento en proporcionar el original de un documento), declara que la solicitud internacional se considerará retirada:</w:t>
      </w:r>
    </w:p>
    <w:p w14:paraId="4CC411CB" w14:textId="77777777" w:rsidR="002C6DFE" w:rsidRPr="00C84D1C" w:rsidRDefault="002C6DFE" w:rsidP="002C6DFE">
      <w:pPr>
        <w:pStyle w:val="Legi"/>
        <w:rPr>
          <w:lang w:val="es-419"/>
        </w:rPr>
      </w:pPr>
      <w:r w:rsidRPr="00C84D1C">
        <w:rPr>
          <w:lang w:val="es-419"/>
        </w:rPr>
        <w:tab/>
        <w:t>i)</w:t>
      </w:r>
      <w:r w:rsidRPr="00C84D1C">
        <w:rPr>
          <w:lang w:val="es-419"/>
        </w:rPr>
        <w:tab/>
        <w:t>transmitirá a la Oficina Internacional el ejemplar original (salvo que ya se haya transmitido) y cualquier corrección presentada por el solicitante;</w:t>
      </w:r>
    </w:p>
    <w:p w14:paraId="18EB6553" w14:textId="77777777" w:rsidR="002C6DFE" w:rsidRPr="00C84D1C" w:rsidRDefault="002C6DFE" w:rsidP="002C6DFE">
      <w:pPr>
        <w:pStyle w:val="Legi"/>
        <w:rPr>
          <w:lang w:val="es-419"/>
        </w:rPr>
      </w:pPr>
      <w:r w:rsidRPr="00C84D1C">
        <w:rPr>
          <w:lang w:val="es-419"/>
        </w:rPr>
        <w:tab/>
        <w:t>ii)</w:t>
      </w:r>
      <w:r w:rsidRPr="00C84D1C">
        <w:rPr>
          <w:lang w:val="es-419"/>
        </w:rPr>
        <w:tab/>
        <w:t>notificará esa declaración lo antes posible al solicitante y a la Oficina Internacional, y esta a su vez lo notificará a cada Oficina designada que haya recibido notificación de su designación;</w:t>
      </w:r>
    </w:p>
    <w:p w14:paraId="199AED0F" w14:textId="77777777" w:rsidR="002C6DFE" w:rsidRPr="00C84D1C" w:rsidRDefault="002C6DFE" w:rsidP="002C6DFE">
      <w:pPr>
        <w:pStyle w:val="Legi"/>
        <w:rPr>
          <w:lang w:val="es-419"/>
        </w:rPr>
      </w:pPr>
      <w:r w:rsidRPr="00C84D1C">
        <w:rPr>
          <w:lang w:val="es-419"/>
        </w:rPr>
        <w:tab/>
        <w:t>iii)</w:t>
      </w:r>
      <w:r w:rsidRPr="00C84D1C">
        <w:rPr>
          <w:lang w:val="es-419"/>
        </w:rPr>
        <w:tab/>
        <w:t>no transmitirá la copia para la búsqueda, tal como se prevé en la Regla 23 o, si dicha copia ya se hubiese transmitido, notificará la declaración a la Administración encargada de la búsqueda internacional;</w:t>
      </w:r>
    </w:p>
    <w:p w14:paraId="67850BFF" w14:textId="77777777" w:rsidR="002C6DFE" w:rsidRPr="00C84D1C" w:rsidRDefault="002C6DFE" w:rsidP="002C6DFE">
      <w:pPr>
        <w:pStyle w:val="Legi"/>
        <w:rPr>
          <w:lang w:val="es-419"/>
        </w:rPr>
      </w:pPr>
      <w:r w:rsidRPr="00C84D1C">
        <w:rPr>
          <w:lang w:val="es-419"/>
        </w:rPr>
        <w:tab/>
      </w:r>
      <w:proofErr w:type="spellStart"/>
      <w:r w:rsidRPr="00C84D1C">
        <w:rPr>
          <w:lang w:val="es-419"/>
        </w:rPr>
        <w:t>iv</w:t>
      </w:r>
      <w:proofErr w:type="spellEnd"/>
      <w:r w:rsidRPr="00C84D1C">
        <w:rPr>
          <w:lang w:val="es-419"/>
        </w:rPr>
        <w:t>)</w:t>
      </w:r>
      <w:r w:rsidRPr="00C84D1C">
        <w:rPr>
          <w:lang w:val="es-419"/>
        </w:rPr>
        <w:tab/>
        <w:t>la Oficina Internacional no tendrá obligación de notificar al solicitante la recepción del ejemplar original;</w:t>
      </w:r>
    </w:p>
    <w:p w14:paraId="762A34A3" w14:textId="77777777" w:rsidR="002C6DFE" w:rsidRPr="00C84D1C" w:rsidRDefault="002C6DFE" w:rsidP="002C6DFE">
      <w:pPr>
        <w:pStyle w:val="Legi"/>
        <w:rPr>
          <w:i/>
          <w:lang w:val="es-419"/>
        </w:rPr>
      </w:pPr>
      <w:r w:rsidRPr="00C84D1C">
        <w:rPr>
          <w:lang w:val="es-419"/>
        </w:rPr>
        <w:tab/>
        <w:t>v)</w:t>
      </w:r>
      <w:r w:rsidRPr="00C84D1C">
        <w:rPr>
          <w:lang w:val="es-419"/>
        </w:rPr>
        <w:tab/>
        <w:t>no se llevará a cabo la publicación internacional de la solicitud internacional si la notificación de dicha declaración transmitida por la Oficina receptora llega a la Oficina Internacional antes de que hayan finalizado los preparativos técnicos para llevar a cabo la publicación internacional.</w:t>
      </w:r>
    </w:p>
    <w:p w14:paraId="4C324CD9" w14:textId="77777777" w:rsidR="002C6DFE" w:rsidRPr="00C84D1C" w:rsidRDefault="002C6DFE" w:rsidP="002C6DFE">
      <w:pPr>
        <w:pStyle w:val="LegSubRule"/>
        <w:rPr>
          <w:lang w:val="es-419"/>
        </w:rPr>
      </w:pPr>
      <w:bookmarkStart w:id="7" w:name="_Toc189661340"/>
      <w:r w:rsidRPr="00C84D1C">
        <w:rPr>
          <w:lang w:val="es-419"/>
        </w:rPr>
        <w:t xml:space="preserve">29.2 </w:t>
      </w:r>
      <w:r w:rsidRPr="00C84D1C">
        <w:rPr>
          <w:i/>
          <w:iCs/>
          <w:lang w:val="es-419"/>
        </w:rPr>
        <w:t>[Permanece suprimido]</w:t>
      </w:r>
      <w:bookmarkEnd w:id="7"/>
    </w:p>
    <w:p w14:paraId="40BAEF95" w14:textId="77777777" w:rsidR="002C6DFE" w:rsidRPr="00C84D1C" w:rsidRDefault="002C6DFE" w:rsidP="002C6DFE">
      <w:pPr>
        <w:pStyle w:val="LegSubRule"/>
        <w:rPr>
          <w:lang w:val="es-419"/>
        </w:rPr>
      </w:pPr>
      <w:bookmarkStart w:id="8" w:name="_Toc189661341"/>
      <w:r w:rsidRPr="00C84D1C">
        <w:rPr>
          <w:lang w:val="es-419"/>
        </w:rPr>
        <w:t xml:space="preserve">29.3 y 29.4 </w:t>
      </w:r>
      <w:r w:rsidRPr="00C84D1C">
        <w:rPr>
          <w:i/>
          <w:lang w:val="es-419"/>
        </w:rPr>
        <w:t>[Sin cambios]</w:t>
      </w:r>
      <w:bookmarkEnd w:id="8"/>
    </w:p>
    <w:p w14:paraId="5E85FD4B" w14:textId="77777777" w:rsidR="002C6DFE" w:rsidRPr="00C84D1C" w:rsidRDefault="002C6DFE" w:rsidP="002C6DFE">
      <w:pPr>
        <w:rPr>
          <w:lang w:val="es-419"/>
        </w:rPr>
      </w:pPr>
    </w:p>
    <w:p w14:paraId="5553221A" w14:textId="77777777" w:rsidR="002C6DFE" w:rsidRPr="00C84D1C" w:rsidRDefault="002C6DFE" w:rsidP="002C6DFE">
      <w:pPr>
        <w:pStyle w:val="LegTitle"/>
        <w:rPr>
          <w:lang w:val="es-419"/>
        </w:rPr>
      </w:pPr>
      <w:bookmarkStart w:id="9" w:name="_Toc160470697"/>
      <w:bookmarkStart w:id="10" w:name="_Toc160471085"/>
      <w:bookmarkStart w:id="11" w:name="_Toc160471224"/>
      <w:bookmarkStart w:id="12" w:name="_Toc160471347"/>
      <w:bookmarkStart w:id="13" w:name="_Toc160471515"/>
      <w:bookmarkStart w:id="14" w:name="_Toc160542735"/>
      <w:bookmarkStart w:id="15" w:name="_Toc189661342"/>
      <w:r w:rsidRPr="00C84D1C">
        <w:rPr>
          <w:lang w:val="es-419"/>
        </w:rPr>
        <w:t>Regla 89</w:t>
      </w:r>
      <w:r w:rsidRPr="00C84D1C">
        <w:rPr>
          <w:i/>
          <w:lang w:val="es-419"/>
        </w:rPr>
        <w:t>bis</w:t>
      </w:r>
      <w:r w:rsidRPr="00C84D1C">
        <w:rPr>
          <w:lang w:val="es-419"/>
        </w:rPr>
        <w:br/>
        <w:t>Presentación, tramitación y transmisión de solicitudes internacionales y otros documentos en formato electrónico o por medios electrónicos</w:t>
      </w:r>
      <w:bookmarkEnd w:id="9"/>
      <w:bookmarkEnd w:id="10"/>
      <w:bookmarkEnd w:id="11"/>
      <w:bookmarkEnd w:id="12"/>
      <w:bookmarkEnd w:id="13"/>
      <w:bookmarkEnd w:id="14"/>
      <w:bookmarkEnd w:id="15"/>
    </w:p>
    <w:p w14:paraId="715022F3" w14:textId="77777777" w:rsidR="002C6DFE" w:rsidRPr="00C84D1C" w:rsidRDefault="002C6DFE" w:rsidP="002C6DFE">
      <w:pPr>
        <w:pStyle w:val="LegSubRule"/>
        <w:rPr>
          <w:lang w:val="es-419"/>
        </w:rPr>
      </w:pPr>
      <w:bookmarkStart w:id="16" w:name="_Toc160470698"/>
      <w:bookmarkStart w:id="17" w:name="_Toc160471086"/>
      <w:bookmarkStart w:id="18" w:name="_Toc160471225"/>
      <w:bookmarkStart w:id="19" w:name="_Toc160471348"/>
      <w:bookmarkStart w:id="20" w:name="_Toc160471516"/>
      <w:bookmarkStart w:id="21" w:name="_Toc160542736"/>
      <w:bookmarkStart w:id="22" w:name="_Toc189661343"/>
      <w:r w:rsidRPr="00C84D1C">
        <w:rPr>
          <w:lang w:val="es-419"/>
        </w:rPr>
        <w:t>89</w:t>
      </w:r>
      <w:r w:rsidRPr="00C84D1C">
        <w:rPr>
          <w:i/>
          <w:lang w:val="es-419"/>
        </w:rPr>
        <w:t>bis</w:t>
      </w:r>
      <w:r w:rsidRPr="00C84D1C">
        <w:rPr>
          <w:lang w:val="es-419"/>
        </w:rPr>
        <w:t xml:space="preserve">.1 [Sin cambios] </w:t>
      </w:r>
      <w:r w:rsidRPr="00C84D1C">
        <w:rPr>
          <w:i/>
          <w:lang w:val="es-419"/>
        </w:rPr>
        <w:t>Solicitudes internacionales</w:t>
      </w:r>
      <w:bookmarkEnd w:id="16"/>
      <w:bookmarkEnd w:id="17"/>
      <w:bookmarkEnd w:id="18"/>
      <w:bookmarkEnd w:id="19"/>
      <w:bookmarkEnd w:id="20"/>
      <w:bookmarkEnd w:id="21"/>
      <w:bookmarkEnd w:id="22"/>
    </w:p>
    <w:p w14:paraId="2A59A683" w14:textId="77777777" w:rsidR="002C6DFE" w:rsidRPr="00C84D1C" w:rsidRDefault="002C6DFE" w:rsidP="002C6DFE">
      <w:pPr>
        <w:pStyle w:val="Lega"/>
        <w:rPr>
          <w:lang w:val="es-419"/>
        </w:rPr>
      </w:pPr>
      <w:r w:rsidRPr="00C84D1C">
        <w:rPr>
          <w:lang w:val="es-419"/>
        </w:rPr>
        <w:tab/>
        <w:t>a) [Sin cambios] Sin perjuicio de lo dispuesto en los párrafos b) a e), las solicitudes internacionales podrán presentarse y tramitarse en formato electrónico o por medios electrónicos, de conformidad con las Instrucciones Administrativas.</w:t>
      </w:r>
    </w:p>
    <w:p w14:paraId="4C55A829" w14:textId="77777777" w:rsidR="002C6DFE" w:rsidRPr="00C84D1C" w:rsidRDefault="002C6DFE" w:rsidP="002C6DFE">
      <w:pPr>
        <w:pStyle w:val="Lega"/>
        <w:rPr>
          <w:lang w:val="es-419"/>
        </w:rPr>
      </w:pPr>
      <w:r w:rsidRPr="00C84D1C">
        <w:rPr>
          <w:lang w:val="es-419"/>
        </w:rPr>
        <w:tab/>
        <w:t>b) a d) [Sin cambios]</w:t>
      </w:r>
    </w:p>
    <w:p w14:paraId="0D210C0F" w14:textId="77777777" w:rsidR="002C6DFE" w:rsidRPr="00C84D1C" w:rsidRDefault="002C6DFE" w:rsidP="002C6DFE">
      <w:pPr>
        <w:pStyle w:val="Lega"/>
        <w:rPr>
          <w:rFonts w:eastAsia="SimSun"/>
          <w:lang w:val="es-419"/>
        </w:rPr>
      </w:pPr>
      <w:r w:rsidRPr="00C84D1C">
        <w:rPr>
          <w:lang w:val="es-419"/>
        </w:rPr>
        <w:tab/>
        <w:t>d-</w:t>
      </w:r>
      <w:r w:rsidRPr="00C84D1C">
        <w:rPr>
          <w:i/>
          <w:iCs/>
          <w:lang w:val="es-419"/>
        </w:rPr>
        <w:t>bis</w:t>
      </w:r>
      <w:r w:rsidRPr="00C84D1C">
        <w:rPr>
          <w:lang w:val="es-419"/>
        </w:rPr>
        <w:t>) [Sin cambios] Una Oficina nacional o una organización intergubernamental distinta de la Oficina Internacional que haya efectuado una notificación en virtud del párrafo d) podrá notificar a la Oficina Internacional que solo recibirá solicitudes internacionales si se presentan en formato electrónico o por medios electrónicos. La Oficina Internacional publicará en la Gaceta la notificación efectuada en virtud del presente párrafo.</w:t>
      </w:r>
    </w:p>
    <w:p w14:paraId="47D842C9" w14:textId="22CE50EE" w:rsidR="002C6DFE" w:rsidRPr="00C84D1C" w:rsidRDefault="002C6DFE" w:rsidP="002C6DFE">
      <w:pPr>
        <w:pStyle w:val="Lega"/>
        <w:keepLines/>
        <w:rPr>
          <w:rFonts w:eastAsia="SimSun"/>
          <w:lang w:val="es-419"/>
        </w:rPr>
      </w:pPr>
      <w:r w:rsidRPr="00C84D1C">
        <w:rPr>
          <w:lang w:val="es-419"/>
        </w:rPr>
        <w:tab/>
        <w:t>d-</w:t>
      </w:r>
      <w:r w:rsidRPr="00C84D1C">
        <w:rPr>
          <w:i/>
          <w:iCs/>
          <w:lang w:val="es-419"/>
        </w:rPr>
        <w:t>ter</w:t>
      </w:r>
      <w:r w:rsidRPr="00C84D1C">
        <w:rPr>
          <w:lang w:val="es-419"/>
        </w:rPr>
        <w:t>) [Sin cambios] Una Oficina nacional o una organización intergubernamental que haya efectuado una notificación en virtud del párrafo d), pero no del párrafo d-</w:t>
      </w:r>
      <w:r w:rsidRPr="00C84D1C">
        <w:rPr>
          <w:i/>
          <w:iCs/>
          <w:lang w:val="es-419"/>
        </w:rPr>
        <w:t>bis</w:t>
      </w:r>
      <w:r w:rsidRPr="00C84D1C">
        <w:rPr>
          <w:lang w:val="es-419"/>
        </w:rPr>
        <w:t xml:space="preserve">), podrá notificar a la Oficina Internacional que toda solicitud presentada en papel deberá </w:t>
      </w:r>
      <w:r w:rsidR="00C87AA2">
        <w:rPr>
          <w:lang w:val="es-419"/>
        </w:rPr>
        <w:t>reenviarse</w:t>
      </w:r>
      <w:r w:rsidRPr="00C84D1C">
        <w:rPr>
          <w:lang w:val="es-419"/>
        </w:rPr>
        <w:t xml:space="preserve"> por medios electrónicos en un plazo de dos meses a partir de la fecha en que la Oficina u organización en cuestión haya emitido la invitación. Si no se reciben a tiempo los documentos correspondientes, la solicitud internacional se considerará retirada y la Oficina receptora así lo declarará. La Oficina Internacional publicará en la Gaceta la notificación efectuada en virtud del presente párrafo.</w:t>
      </w:r>
    </w:p>
    <w:p w14:paraId="4E8700B8" w14:textId="77777777" w:rsidR="002C6DFE" w:rsidRPr="00C84D1C" w:rsidRDefault="002C6DFE" w:rsidP="002C6DFE">
      <w:pPr>
        <w:pStyle w:val="Lega"/>
        <w:rPr>
          <w:lang w:val="es-419"/>
        </w:rPr>
      </w:pPr>
      <w:r w:rsidRPr="00C84D1C">
        <w:rPr>
          <w:lang w:val="es-419"/>
        </w:rPr>
        <w:tab/>
        <w:t>e)</w:t>
      </w:r>
      <w:r w:rsidRPr="00C84D1C">
        <w:rPr>
          <w:lang w:val="es-419"/>
        </w:rPr>
        <w:tab/>
        <w:t>[Sin cambios]</w:t>
      </w:r>
    </w:p>
    <w:p w14:paraId="2C337BAC" w14:textId="77777777" w:rsidR="002C6DFE" w:rsidRPr="00C84D1C" w:rsidRDefault="002C6DFE" w:rsidP="00033742">
      <w:pPr>
        <w:pStyle w:val="LegSubRule"/>
        <w:keepLines/>
        <w:rPr>
          <w:i/>
          <w:lang w:val="es-419"/>
        </w:rPr>
      </w:pPr>
      <w:bookmarkStart w:id="23" w:name="_Toc160470699"/>
      <w:bookmarkStart w:id="24" w:name="_Toc160471087"/>
      <w:bookmarkStart w:id="25" w:name="_Toc160471226"/>
      <w:bookmarkStart w:id="26" w:name="_Toc160471349"/>
      <w:bookmarkStart w:id="27" w:name="_Toc160471517"/>
      <w:bookmarkStart w:id="28" w:name="_Toc160542737"/>
      <w:bookmarkStart w:id="29" w:name="_Toc189661344"/>
      <w:r w:rsidRPr="00C84D1C">
        <w:rPr>
          <w:lang w:val="es-419"/>
        </w:rPr>
        <w:t>89</w:t>
      </w:r>
      <w:r w:rsidRPr="00C84D1C">
        <w:rPr>
          <w:i/>
          <w:lang w:val="es-419"/>
        </w:rPr>
        <w:t>bis</w:t>
      </w:r>
      <w:r w:rsidRPr="00C84D1C">
        <w:rPr>
          <w:lang w:val="es-419"/>
        </w:rPr>
        <w:t xml:space="preserve">.2 [Sin cambios] </w:t>
      </w:r>
      <w:r w:rsidRPr="00C84D1C">
        <w:rPr>
          <w:i/>
          <w:iCs/>
          <w:lang w:val="es-419"/>
        </w:rPr>
        <w:t>Otros documentos</w:t>
      </w:r>
      <w:bookmarkEnd w:id="23"/>
      <w:bookmarkEnd w:id="24"/>
      <w:bookmarkEnd w:id="25"/>
      <w:bookmarkEnd w:id="26"/>
      <w:bookmarkEnd w:id="27"/>
      <w:bookmarkEnd w:id="28"/>
      <w:bookmarkEnd w:id="29"/>
    </w:p>
    <w:p w14:paraId="4E1C2D61" w14:textId="61379C10" w:rsidR="002C6DFE" w:rsidRPr="00C84D1C" w:rsidRDefault="002C6DFE" w:rsidP="00033742">
      <w:pPr>
        <w:pStyle w:val="Lega"/>
        <w:keepNext/>
        <w:keepLines/>
        <w:rPr>
          <w:lang w:val="es-419"/>
        </w:rPr>
      </w:pPr>
      <w:r w:rsidRPr="00C84D1C">
        <w:rPr>
          <w:lang w:val="es-419"/>
        </w:rPr>
        <w:tab/>
        <w:t>[Sin cambios] La Regla 89</w:t>
      </w:r>
      <w:r w:rsidRPr="00C84D1C">
        <w:rPr>
          <w:i/>
          <w:lang w:val="es-419"/>
        </w:rPr>
        <w:t>bis</w:t>
      </w:r>
      <w:r w:rsidRPr="00C84D1C">
        <w:rPr>
          <w:lang w:val="es-419"/>
        </w:rPr>
        <w:t xml:space="preserve">.1 se aplicará </w:t>
      </w:r>
      <w:r w:rsidRPr="00334582">
        <w:rPr>
          <w:i/>
          <w:iCs/>
          <w:lang w:val="es-419"/>
        </w:rPr>
        <w:t>mutatis mutandis</w:t>
      </w:r>
      <w:r w:rsidRPr="00C84D1C">
        <w:rPr>
          <w:lang w:val="es-419"/>
        </w:rPr>
        <w:t xml:space="preserve"> a otros documentos y correspondencia relativos a las solicitudes internacionales, con la salvedad de que, cuando una Oficina nacional o una organización intergubernamental haya efectuado una notificación en virtud de la Regla 89</w:t>
      </w:r>
      <w:r w:rsidRPr="00C84D1C">
        <w:rPr>
          <w:i/>
          <w:lang w:val="es-419"/>
        </w:rPr>
        <w:t>bis</w:t>
      </w:r>
      <w:r w:rsidRPr="00C84D1C">
        <w:rPr>
          <w:lang w:val="es-419"/>
        </w:rPr>
        <w:t xml:space="preserve">.1.d-ter), no se tendrán en cuenta los documentos o la correspondencia presentados en papel y no </w:t>
      </w:r>
      <w:r w:rsidR="00867E1C">
        <w:rPr>
          <w:lang w:val="es-419"/>
        </w:rPr>
        <w:t>reenviados</w:t>
      </w:r>
      <w:r w:rsidRPr="00C84D1C">
        <w:rPr>
          <w:lang w:val="es-419"/>
        </w:rPr>
        <w:t xml:space="preserve"> por medios electrónicos en un plazo de dos meses a partir de la fecha de la invitación correspondiente.</w:t>
      </w:r>
    </w:p>
    <w:p w14:paraId="2A05CF69" w14:textId="77777777" w:rsidR="002C6DFE" w:rsidRPr="00C84D1C" w:rsidRDefault="002C6DFE" w:rsidP="002C6DFE">
      <w:pPr>
        <w:pStyle w:val="LegSubRule"/>
        <w:rPr>
          <w:lang w:val="es-419"/>
        </w:rPr>
      </w:pPr>
      <w:bookmarkStart w:id="30" w:name="_Toc160470700"/>
      <w:bookmarkStart w:id="31" w:name="_Toc160471088"/>
      <w:bookmarkStart w:id="32" w:name="_Toc160471227"/>
      <w:bookmarkStart w:id="33" w:name="_Toc160471350"/>
      <w:bookmarkStart w:id="34" w:name="_Toc160471518"/>
      <w:bookmarkStart w:id="35" w:name="_Toc160542738"/>
      <w:bookmarkStart w:id="36" w:name="_Toc189661345"/>
      <w:r w:rsidRPr="00C84D1C">
        <w:rPr>
          <w:lang w:val="es-419"/>
        </w:rPr>
        <w:t>89</w:t>
      </w:r>
      <w:r w:rsidRPr="00C84D1C">
        <w:rPr>
          <w:i/>
          <w:lang w:val="es-419"/>
        </w:rPr>
        <w:t>bis</w:t>
      </w:r>
      <w:r w:rsidRPr="00C84D1C">
        <w:rPr>
          <w:lang w:val="es-419"/>
        </w:rPr>
        <w:t xml:space="preserve">.3 </w:t>
      </w:r>
      <w:r w:rsidRPr="00C84D1C">
        <w:rPr>
          <w:i/>
          <w:lang w:val="es-419"/>
        </w:rPr>
        <w:t>[Sin cambios]</w:t>
      </w:r>
      <w:bookmarkEnd w:id="30"/>
      <w:bookmarkEnd w:id="31"/>
      <w:bookmarkEnd w:id="32"/>
      <w:bookmarkEnd w:id="33"/>
      <w:bookmarkEnd w:id="34"/>
      <w:bookmarkEnd w:id="35"/>
      <w:bookmarkEnd w:id="36"/>
    </w:p>
    <w:p w14:paraId="1F6D22D2" w14:textId="7F078E7C" w:rsidR="00152CEA" w:rsidRPr="00C84D1C" w:rsidRDefault="002C6DFE" w:rsidP="00C84D1C">
      <w:pPr>
        <w:pStyle w:val="Endofdocument-Annex"/>
        <w:spacing w:before="720"/>
        <w:rPr>
          <w:lang w:val="es-419"/>
        </w:rPr>
      </w:pPr>
      <w:r w:rsidRPr="00C84D1C">
        <w:rPr>
          <w:lang w:val="es-419"/>
        </w:rPr>
        <w:t>[Fin del anexo y del documento]</w:t>
      </w:r>
    </w:p>
    <w:sectPr w:rsidR="00152CEA" w:rsidRPr="00C84D1C" w:rsidSect="00CE2E3D">
      <w:headerReference w:type="default" r:id="rId9"/>
      <w:headerReference w:type="first" r:id="rId1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D79FC" w14:textId="77777777" w:rsidR="000D04D7" w:rsidRDefault="000D04D7">
      <w:r>
        <w:separator/>
      </w:r>
    </w:p>
  </w:endnote>
  <w:endnote w:type="continuationSeparator" w:id="0">
    <w:p w14:paraId="17060CE9" w14:textId="77777777" w:rsidR="000D04D7" w:rsidRPr="009D30E6" w:rsidRDefault="000D04D7" w:rsidP="007E663E">
      <w:pPr>
        <w:rPr>
          <w:sz w:val="17"/>
          <w:szCs w:val="17"/>
        </w:rPr>
      </w:pPr>
      <w:r w:rsidRPr="009D30E6">
        <w:rPr>
          <w:sz w:val="17"/>
          <w:szCs w:val="17"/>
        </w:rPr>
        <w:separator/>
      </w:r>
    </w:p>
    <w:p w14:paraId="5E2A0CB3" w14:textId="77777777" w:rsidR="000D04D7" w:rsidRPr="007E663E" w:rsidRDefault="000D04D7" w:rsidP="007E663E">
      <w:pPr>
        <w:spacing w:after="60"/>
        <w:rPr>
          <w:sz w:val="17"/>
          <w:szCs w:val="17"/>
        </w:rPr>
      </w:pPr>
      <w:r>
        <w:rPr>
          <w:sz w:val="17"/>
        </w:rPr>
        <w:t>[Continuación de la nota de la página anterior]</w:t>
      </w:r>
    </w:p>
  </w:endnote>
  <w:endnote w:type="continuationNotice" w:id="1">
    <w:p w14:paraId="4ECA6719" w14:textId="77777777" w:rsidR="000D04D7" w:rsidRPr="007E663E" w:rsidRDefault="000D04D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C0DBC" w14:textId="77777777" w:rsidR="000D04D7" w:rsidRDefault="000D04D7">
      <w:r>
        <w:separator/>
      </w:r>
    </w:p>
  </w:footnote>
  <w:footnote w:type="continuationSeparator" w:id="0">
    <w:p w14:paraId="1A4E7FDC" w14:textId="77777777" w:rsidR="000D04D7" w:rsidRPr="009D30E6" w:rsidRDefault="000D04D7" w:rsidP="007E663E">
      <w:pPr>
        <w:rPr>
          <w:sz w:val="17"/>
          <w:szCs w:val="17"/>
        </w:rPr>
      </w:pPr>
      <w:r w:rsidRPr="009D30E6">
        <w:rPr>
          <w:sz w:val="17"/>
          <w:szCs w:val="17"/>
        </w:rPr>
        <w:separator/>
      </w:r>
    </w:p>
    <w:p w14:paraId="508BEBD8" w14:textId="77777777" w:rsidR="000D04D7" w:rsidRPr="007E663E" w:rsidRDefault="000D04D7" w:rsidP="007E663E">
      <w:pPr>
        <w:spacing w:after="60"/>
        <w:rPr>
          <w:sz w:val="17"/>
          <w:szCs w:val="17"/>
        </w:rPr>
      </w:pPr>
      <w:r>
        <w:rPr>
          <w:sz w:val="17"/>
        </w:rPr>
        <w:t>[Continuación de la nota de la página anterior]</w:t>
      </w:r>
    </w:p>
  </w:footnote>
  <w:footnote w:type="continuationNotice" w:id="1">
    <w:p w14:paraId="112D77FE" w14:textId="77777777" w:rsidR="000D04D7" w:rsidRPr="007E663E" w:rsidRDefault="000D04D7" w:rsidP="007E663E">
      <w:pPr>
        <w:spacing w:before="60"/>
        <w:jc w:val="right"/>
        <w:rPr>
          <w:sz w:val="17"/>
          <w:szCs w:val="17"/>
        </w:rPr>
      </w:pPr>
      <w:r w:rsidRPr="007E663E">
        <w:rPr>
          <w:sz w:val="17"/>
          <w:szCs w:val="17"/>
        </w:rPr>
        <w:t>[Sigue la nota en la página siguiente]</w:t>
      </w:r>
    </w:p>
  </w:footnote>
  <w:footnote w:id="2">
    <w:p w14:paraId="6A9E5C4D" w14:textId="77777777" w:rsidR="002C6DFE" w:rsidRDefault="002C6DFE" w:rsidP="002C6DFE">
      <w:pPr>
        <w:pStyle w:val="FootnoteText"/>
      </w:pPr>
      <w:r>
        <w:rPr>
          <w:rStyle w:val="FootnoteReference"/>
        </w:rPr>
        <w:footnoteRef/>
      </w:r>
      <w:r>
        <w:t xml:space="preserve"> El texto que se propone añadir figura subrayado.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7F43A" w14:textId="77777777" w:rsidR="002C6DFE" w:rsidRDefault="002C6DFE" w:rsidP="00477D6B">
    <w:pPr>
      <w:jc w:val="right"/>
    </w:pPr>
    <w:r>
      <w:t>PCT/WG/18/19</w:t>
    </w:r>
  </w:p>
  <w:p w14:paraId="5B713161" w14:textId="77777777" w:rsidR="002C6DFE" w:rsidRDefault="002C6DFE" w:rsidP="00477D6B">
    <w:pPr>
      <w:jc w:val="right"/>
    </w:pPr>
    <w:r>
      <w:t xml:space="preserve">página </w:t>
    </w:r>
    <w:r>
      <w:fldChar w:fldCharType="begin"/>
    </w:r>
    <w:r>
      <w:instrText xml:space="preserve"> PAGE  \* MERGEFORMAT </w:instrText>
    </w:r>
    <w:r>
      <w:fldChar w:fldCharType="separate"/>
    </w:r>
    <w:r>
      <w:t>2</w:t>
    </w:r>
    <w:r>
      <w:fldChar w:fldCharType="end"/>
    </w:r>
  </w:p>
  <w:p w14:paraId="20804E0D" w14:textId="77777777" w:rsidR="002C6DFE" w:rsidRDefault="002C6DFE" w:rsidP="00477D6B">
    <w:pPr>
      <w:jc w:val="right"/>
    </w:pPr>
  </w:p>
  <w:p w14:paraId="753F0D34" w14:textId="77777777" w:rsidR="002C6DFE" w:rsidRDefault="002C6DFE"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55B2E" w14:textId="5BB1F6F0" w:rsidR="00F84474" w:rsidRDefault="002C6DFE" w:rsidP="00477D6B">
    <w:pPr>
      <w:jc w:val="right"/>
    </w:pPr>
    <w:bookmarkStart w:id="37" w:name="Code2"/>
    <w:bookmarkEnd w:id="37"/>
    <w:r>
      <w:t>PCT/WG/18/19</w:t>
    </w:r>
  </w:p>
  <w:p w14:paraId="0D07F364" w14:textId="0F4D6B6C" w:rsidR="00F84474" w:rsidRDefault="00CE2E3D"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8B14EA">
      <w:rPr>
        <w:noProof/>
      </w:rPr>
      <w:t>2</w:t>
    </w:r>
    <w:r w:rsidR="00F84474">
      <w:fldChar w:fldCharType="end"/>
    </w:r>
  </w:p>
  <w:p w14:paraId="05110A97" w14:textId="77777777" w:rsidR="00F84474" w:rsidRDefault="00F84474" w:rsidP="00477D6B">
    <w:pPr>
      <w:jc w:val="right"/>
    </w:pPr>
  </w:p>
  <w:p w14:paraId="79CFEC5D"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5F0D" w14:textId="08B68632" w:rsidR="00CE2E3D" w:rsidRDefault="00CE2E3D" w:rsidP="00CE2E3D">
    <w:pPr>
      <w:pStyle w:val="Header"/>
      <w:jc w:val="right"/>
    </w:pPr>
    <w:r>
      <w:t>PCT/WG/18/19</w:t>
    </w:r>
  </w:p>
  <w:p w14:paraId="0590AAA3" w14:textId="573802A1" w:rsidR="00CE2E3D" w:rsidRDefault="00CE2E3D" w:rsidP="00CE2E3D">
    <w:pPr>
      <w:pStyle w:val="Header"/>
      <w:jc w:val="right"/>
    </w:pPr>
    <w:r>
      <w:t>ANEXO</w:t>
    </w:r>
  </w:p>
  <w:p w14:paraId="4B6D5A44" w14:textId="77777777" w:rsidR="00CE2E3D" w:rsidRDefault="00CE2E3D" w:rsidP="00CE2E3D">
    <w:pPr>
      <w:pStyle w:val="Header"/>
      <w:jc w:val="right"/>
    </w:pPr>
  </w:p>
  <w:p w14:paraId="7B4C4F81" w14:textId="77777777" w:rsidR="00CE2E3D" w:rsidRDefault="00CE2E3D" w:rsidP="00CE2E3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926726">
    <w:abstractNumId w:val="2"/>
  </w:num>
  <w:num w:numId="2" w16cid:durableId="158467622">
    <w:abstractNumId w:val="4"/>
  </w:num>
  <w:num w:numId="3" w16cid:durableId="1586037296">
    <w:abstractNumId w:val="0"/>
  </w:num>
  <w:num w:numId="4" w16cid:durableId="876890157">
    <w:abstractNumId w:val="5"/>
  </w:num>
  <w:num w:numId="5" w16cid:durableId="256257028">
    <w:abstractNumId w:val="1"/>
  </w:num>
  <w:num w:numId="6" w16cid:durableId="368336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FE"/>
    <w:rsid w:val="000006CC"/>
    <w:rsid w:val="00011CFD"/>
    <w:rsid w:val="00033742"/>
    <w:rsid w:val="000A2096"/>
    <w:rsid w:val="000D04D7"/>
    <w:rsid w:val="000E3BB3"/>
    <w:rsid w:val="000F5E56"/>
    <w:rsid w:val="00115E30"/>
    <w:rsid w:val="001362EE"/>
    <w:rsid w:val="00152CEA"/>
    <w:rsid w:val="001832A6"/>
    <w:rsid w:val="00186911"/>
    <w:rsid w:val="001C4DD3"/>
    <w:rsid w:val="00246F49"/>
    <w:rsid w:val="002634C4"/>
    <w:rsid w:val="00271BD1"/>
    <w:rsid w:val="0028131F"/>
    <w:rsid w:val="002C6DFE"/>
    <w:rsid w:val="002F4E68"/>
    <w:rsid w:val="0030177F"/>
    <w:rsid w:val="00307787"/>
    <w:rsid w:val="00313272"/>
    <w:rsid w:val="00323EB5"/>
    <w:rsid w:val="00334582"/>
    <w:rsid w:val="00354647"/>
    <w:rsid w:val="00377273"/>
    <w:rsid w:val="003845C1"/>
    <w:rsid w:val="00387287"/>
    <w:rsid w:val="0039457D"/>
    <w:rsid w:val="003A58BA"/>
    <w:rsid w:val="003C3C27"/>
    <w:rsid w:val="003D37C4"/>
    <w:rsid w:val="003D41D4"/>
    <w:rsid w:val="00412AFD"/>
    <w:rsid w:val="00423E3E"/>
    <w:rsid w:val="0042486A"/>
    <w:rsid w:val="00427AF4"/>
    <w:rsid w:val="0045231F"/>
    <w:rsid w:val="004647DA"/>
    <w:rsid w:val="00477D6B"/>
    <w:rsid w:val="004A6C37"/>
    <w:rsid w:val="004F7418"/>
    <w:rsid w:val="00521410"/>
    <w:rsid w:val="005472C7"/>
    <w:rsid w:val="0054745F"/>
    <w:rsid w:val="0055013B"/>
    <w:rsid w:val="0056224D"/>
    <w:rsid w:val="00571B99"/>
    <w:rsid w:val="0058633C"/>
    <w:rsid w:val="005A2BD7"/>
    <w:rsid w:val="005D1E2D"/>
    <w:rsid w:val="005D64EC"/>
    <w:rsid w:val="005E0BF5"/>
    <w:rsid w:val="00605827"/>
    <w:rsid w:val="00675021"/>
    <w:rsid w:val="00682CFB"/>
    <w:rsid w:val="006A06C6"/>
    <w:rsid w:val="006D4B6D"/>
    <w:rsid w:val="006E41C3"/>
    <w:rsid w:val="007543B0"/>
    <w:rsid w:val="00755BB7"/>
    <w:rsid w:val="00786293"/>
    <w:rsid w:val="007B6203"/>
    <w:rsid w:val="007E63AC"/>
    <w:rsid w:val="007E663E"/>
    <w:rsid w:val="00815082"/>
    <w:rsid w:val="00843582"/>
    <w:rsid w:val="00867E1C"/>
    <w:rsid w:val="008B14EA"/>
    <w:rsid w:val="008B2CC1"/>
    <w:rsid w:val="008D341C"/>
    <w:rsid w:val="008E7B2D"/>
    <w:rsid w:val="0090731E"/>
    <w:rsid w:val="00931E10"/>
    <w:rsid w:val="00966A22"/>
    <w:rsid w:val="00972F03"/>
    <w:rsid w:val="009A0C8B"/>
    <w:rsid w:val="009A7753"/>
    <w:rsid w:val="009B267D"/>
    <w:rsid w:val="009B6241"/>
    <w:rsid w:val="009D3ADB"/>
    <w:rsid w:val="00A025F7"/>
    <w:rsid w:val="00A16FC0"/>
    <w:rsid w:val="00A32C9E"/>
    <w:rsid w:val="00A7453D"/>
    <w:rsid w:val="00AB613D"/>
    <w:rsid w:val="00AC2FC7"/>
    <w:rsid w:val="00AD6B7B"/>
    <w:rsid w:val="00B65A0A"/>
    <w:rsid w:val="00B72D36"/>
    <w:rsid w:val="00BC4164"/>
    <w:rsid w:val="00BD2DCC"/>
    <w:rsid w:val="00BE1A8C"/>
    <w:rsid w:val="00C06472"/>
    <w:rsid w:val="00C84D1C"/>
    <w:rsid w:val="00C86CEB"/>
    <w:rsid w:val="00C87AA2"/>
    <w:rsid w:val="00C90559"/>
    <w:rsid w:val="00CC6A7A"/>
    <w:rsid w:val="00CE2E3D"/>
    <w:rsid w:val="00CF0C40"/>
    <w:rsid w:val="00D21340"/>
    <w:rsid w:val="00D36B79"/>
    <w:rsid w:val="00D40CF0"/>
    <w:rsid w:val="00D40DE4"/>
    <w:rsid w:val="00D56C7C"/>
    <w:rsid w:val="00D71B4D"/>
    <w:rsid w:val="00D90289"/>
    <w:rsid w:val="00D93D55"/>
    <w:rsid w:val="00DC4DB3"/>
    <w:rsid w:val="00E13BB0"/>
    <w:rsid w:val="00E41354"/>
    <w:rsid w:val="00E45C84"/>
    <w:rsid w:val="00E504E5"/>
    <w:rsid w:val="00E50CF5"/>
    <w:rsid w:val="00E51F34"/>
    <w:rsid w:val="00E73ABF"/>
    <w:rsid w:val="00E858D9"/>
    <w:rsid w:val="00EB7A3E"/>
    <w:rsid w:val="00EC401A"/>
    <w:rsid w:val="00EF530A"/>
    <w:rsid w:val="00EF6622"/>
    <w:rsid w:val="00F55408"/>
    <w:rsid w:val="00F66152"/>
    <w:rsid w:val="00F80845"/>
    <w:rsid w:val="00F84474"/>
    <w:rsid w:val="00FF41FE"/>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9D191"/>
  <w15:docId w15:val="{29B6AB73-7C3C-4EAE-9FFC-7DAF2186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LegTitle">
    <w:name w:val="Leg # Title"/>
    <w:basedOn w:val="Normal"/>
    <w:next w:val="Normal"/>
    <w:rsid w:val="002C6DFE"/>
    <w:pPr>
      <w:keepNext/>
      <w:keepLines/>
      <w:pageBreakBefore/>
      <w:spacing w:before="240" w:after="180" w:line="360" w:lineRule="auto"/>
      <w:ind w:left="567"/>
      <w:jc w:val="center"/>
    </w:pPr>
    <w:rPr>
      <w:rFonts w:eastAsia="Times New Roman"/>
      <w:b/>
      <w:snapToGrid w:val="0"/>
      <w:szCs w:val="22"/>
      <w:lang w:eastAsia="en-US"/>
    </w:rPr>
  </w:style>
  <w:style w:type="paragraph" w:customStyle="1" w:styleId="Lega">
    <w:name w:val="Leg (a)"/>
    <w:basedOn w:val="Normal"/>
    <w:link w:val="LegaChar"/>
    <w:rsid w:val="002C6DFE"/>
    <w:pPr>
      <w:tabs>
        <w:tab w:val="left" w:pos="454"/>
      </w:tabs>
      <w:spacing w:after="180" w:line="360" w:lineRule="auto"/>
      <w:ind w:left="567"/>
    </w:pPr>
    <w:rPr>
      <w:rFonts w:eastAsia="Times New Roman"/>
      <w:snapToGrid w:val="0"/>
      <w:szCs w:val="22"/>
      <w:lang w:eastAsia="en-US"/>
    </w:rPr>
  </w:style>
  <w:style w:type="paragraph" w:customStyle="1" w:styleId="Legi">
    <w:name w:val="Leg (i)"/>
    <w:basedOn w:val="Normal"/>
    <w:rsid w:val="002C6DFE"/>
    <w:pPr>
      <w:tabs>
        <w:tab w:val="right" w:pos="1560"/>
        <w:tab w:val="left" w:pos="1843"/>
      </w:tabs>
      <w:spacing w:after="180" w:line="360" w:lineRule="auto"/>
      <w:ind w:left="567"/>
    </w:pPr>
    <w:rPr>
      <w:rFonts w:eastAsia="Times New Roman"/>
      <w:snapToGrid w:val="0"/>
      <w:szCs w:val="22"/>
      <w:lang w:eastAsia="en-US"/>
    </w:rPr>
  </w:style>
  <w:style w:type="paragraph" w:customStyle="1" w:styleId="LegSubRule">
    <w:name w:val="Leg SubRule #"/>
    <w:basedOn w:val="Normal"/>
    <w:rsid w:val="002C6DFE"/>
    <w:pPr>
      <w:keepNext/>
      <w:tabs>
        <w:tab w:val="left" w:pos="510"/>
      </w:tabs>
      <w:spacing w:after="180" w:line="360" w:lineRule="auto"/>
      <w:ind w:left="567"/>
      <w:outlineLvl w:val="0"/>
    </w:pPr>
    <w:rPr>
      <w:rFonts w:eastAsia="Times New Roman"/>
      <w:snapToGrid w:val="0"/>
      <w:szCs w:val="22"/>
      <w:lang w:eastAsia="en-US"/>
    </w:rPr>
  </w:style>
  <w:style w:type="character" w:customStyle="1" w:styleId="LegInsertedText">
    <w:name w:val="LegInsertedText"/>
    <w:rsid w:val="002C6DFE"/>
    <w:rPr>
      <w:color w:val="0000FF"/>
      <w:u w:val="single"/>
    </w:rPr>
  </w:style>
  <w:style w:type="character" w:customStyle="1" w:styleId="LegaChar">
    <w:name w:val="Leg (a) Char"/>
    <w:link w:val="Lega"/>
    <w:rsid w:val="002C6DFE"/>
    <w:rPr>
      <w:rFonts w:ascii="Arial" w:hAnsi="Arial" w:cs="Arial"/>
      <w:snapToGrid w:val="0"/>
      <w:sz w:val="22"/>
      <w:szCs w:val="22"/>
      <w:lang w:val="es-ES" w:eastAsia="en-US"/>
    </w:rPr>
  </w:style>
  <w:style w:type="paragraph" w:styleId="TOC1">
    <w:name w:val="toc 1"/>
    <w:basedOn w:val="Normal"/>
    <w:next w:val="Normal"/>
    <w:autoRedefine/>
    <w:uiPriority w:val="39"/>
    <w:unhideWhenUsed/>
    <w:rsid w:val="002C6DFE"/>
    <w:pPr>
      <w:spacing w:after="100"/>
    </w:pPr>
  </w:style>
  <w:style w:type="paragraph" w:styleId="TOC2">
    <w:name w:val="toc 2"/>
    <w:basedOn w:val="Normal"/>
    <w:next w:val="Normal"/>
    <w:autoRedefine/>
    <w:uiPriority w:val="39"/>
    <w:unhideWhenUsed/>
    <w:rsid w:val="002C6DFE"/>
    <w:pPr>
      <w:spacing w:after="100"/>
      <w:ind w:left="220"/>
    </w:pPr>
  </w:style>
  <w:style w:type="character" w:styleId="FootnoteReference">
    <w:name w:val="footnote reference"/>
    <w:basedOn w:val="DefaultParagraphFont"/>
    <w:semiHidden/>
    <w:unhideWhenUsed/>
    <w:rsid w:val="002C6D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_WG_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(S)</Template>
  <TotalTime>1</TotalTime>
  <Pages>6</Pages>
  <Words>1046</Words>
  <Characters>6121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PCT/WG/17/</vt:lpstr>
    </vt:vector>
  </TitlesOfParts>
  <Company>WIPO</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PCT/WG/18/19</dc:title>
  <dc:creator>CEVALLOS DUQUE Nilo</dc:creator>
  <cp:keywords>FOR OFFICIAL USE ONLY</cp:keywords>
  <cp:lastModifiedBy>MARLOW Thomas</cp:lastModifiedBy>
  <cp:revision>2</cp:revision>
  <dcterms:created xsi:type="dcterms:W3CDTF">2025-02-11T10:40:00Z</dcterms:created>
  <dcterms:modified xsi:type="dcterms:W3CDTF">2025-02-11T10:40:00Z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