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2E871" w14:textId="77777777" w:rsidR="008B2CC1" w:rsidRPr="007D36EA" w:rsidRDefault="00DB0349" w:rsidP="00DB0349">
      <w:pPr>
        <w:spacing w:after="120"/>
        <w:jc w:val="right"/>
        <w:rPr>
          <w:lang w:val="fr-FR"/>
        </w:rPr>
      </w:pPr>
      <w:r w:rsidRPr="007D36EA">
        <w:rPr>
          <w:noProof/>
          <w:lang w:val="fr-FR" w:eastAsia="en-US"/>
        </w:rPr>
        <w:drawing>
          <wp:inline distT="0" distB="0" distL="0" distR="0" wp14:anchorId="1D399F7F" wp14:editId="46A89803">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D36EA">
        <w:rPr>
          <w:rFonts w:ascii="Arial Black" w:hAnsi="Arial Black"/>
          <w:caps/>
          <w:noProof/>
          <w:sz w:val="15"/>
          <w:szCs w:val="15"/>
          <w:lang w:val="fr-FR" w:eastAsia="en-US"/>
        </w:rPr>
        <mc:AlternateContent>
          <mc:Choice Requires="wps">
            <w:drawing>
              <wp:inline distT="0" distB="0" distL="0" distR="0" wp14:anchorId="4CDC92DD" wp14:editId="44FB181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376DD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42C049A" w14:textId="150DEFC7" w:rsidR="008B2CC1" w:rsidRPr="007D36EA" w:rsidRDefault="00FC45E7" w:rsidP="00DB0349">
      <w:pPr>
        <w:jc w:val="right"/>
        <w:rPr>
          <w:rFonts w:ascii="Arial Black" w:hAnsi="Arial Black"/>
          <w:caps/>
          <w:sz w:val="15"/>
          <w:szCs w:val="15"/>
          <w:lang w:val="fr-FR"/>
        </w:rPr>
      </w:pPr>
      <w:r w:rsidRPr="007D36EA">
        <w:rPr>
          <w:rFonts w:ascii="Arial Black" w:hAnsi="Arial Black"/>
          <w:caps/>
          <w:sz w:val="15"/>
          <w:szCs w:val="15"/>
          <w:lang w:val="fr-FR"/>
        </w:rPr>
        <w:t>pct</w:t>
      </w:r>
      <w:r w:rsidR="00AE7C04" w:rsidRPr="007D36EA">
        <w:rPr>
          <w:rFonts w:ascii="Arial Black" w:hAnsi="Arial Black"/>
          <w:caps/>
          <w:sz w:val="15"/>
          <w:szCs w:val="15"/>
          <w:lang w:val="fr-FR"/>
        </w:rPr>
        <w:t>/</w:t>
      </w:r>
      <w:r w:rsidRPr="007D36EA">
        <w:rPr>
          <w:rFonts w:ascii="Arial Black" w:hAnsi="Arial Black"/>
          <w:caps/>
          <w:sz w:val="15"/>
          <w:szCs w:val="15"/>
          <w:lang w:val="fr-FR"/>
        </w:rPr>
        <w:t>wg</w:t>
      </w:r>
      <w:r w:rsidR="00AE7C04" w:rsidRPr="007D36EA">
        <w:rPr>
          <w:rFonts w:ascii="Arial Black" w:hAnsi="Arial Black"/>
          <w:caps/>
          <w:sz w:val="15"/>
          <w:szCs w:val="15"/>
          <w:lang w:val="fr-FR"/>
        </w:rPr>
        <w:t>/</w:t>
      </w:r>
      <w:r w:rsidRPr="007D36EA">
        <w:rPr>
          <w:rFonts w:ascii="Arial Black" w:hAnsi="Arial Black"/>
          <w:caps/>
          <w:sz w:val="15"/>
          <w:szCs w:val="15"/>
          <w:lang w:val="fr-FR"/>
        </w:rPr>
        <w:t>1</w:t>
      </w:r>
      <w:r w:rsidR="003500BE" w:rsidRPr="007D36EA">
        <w:rPr>
          <w:rFonts w:ascii="Arial Black" w:hAnsi="Arial Black"/>
          <w:caps/>
          <w:sz w:val="15"/>
          <w:szCs w:val="15"/>
          <w:lang w:val="fr-FR"/>
        </w:rPr>
        <w:t>8</w:t>
      </w:r>
      <w:r w:rsidR="00D04414" w:rsidRPr="007D36EA">
        <w:rPr>
          <w:rFonts w:ascii="Arial Black" w:hAnsi="Arial Black"/>
          <w:caps/>
          <w:sz w:val="15"/>
          <w:szCs w:val="15"/>
          <w:lang w:val="fr-FR"/>
        </w:rPr>
        <w:t>/</w:t>
      </w:r>
      <w:bookmarkStart w:id="0" w:name="Code"/>
      <w:r w:rsidR="00833711" w:rsidRPr="007D36EA">
        <w:rPr>
          <w:rFonts w:ascii="Arial Black" w:hAnsi="Arial Black"/>
          <w:caps/>
          <w:sz w:val="15"/>
          <w:szCs w:val="15"/>
          <w:lang w:val="fr-FR"/>
        </w:rPr>
        <w:t>10</w:t>
      </w:r>
    </w:p>
    <w:bookmarkEnd w:id="0"/>
    <w:p w14:paraId="37B961B6" w14:textId="2FDAAB16" w:rsidR="008B2CC1" w:rsidRPr="007D36EA" w:rsidRDefault="00DB0349" w:rsidP="00DB0349">
      <w:pPr>
        <w:jc w:val="right"/>
        <w:rPr>
          <w:rFonts w:ascii="Arial Black" w:hAnsi="Arial Black"/>
          <w:caps/>
          <w:sz w:val="15"/>
          <w:szCs w:val="15"/>
          <w:lang w:val="fr-FR"/>
        </w:rPr>
      </w:pPr>
      <w:r w:rsidRPr="007D36EA">
        <w:rPr>
          <w:rFonts w:ascii="Arial Black" w:hAnsi="Arial Black"/>
          <w:caps/>
          <w:sz w:val="15"/>
          <w:szCs w:val="15"/>
          <w:lang w:val="fr-FR"/>
        </w:rPr>
        <w:t>Original</w:t>
      </w:r>
      <w:r w:rsidR="00B31A73" w:rsidRPr="007D36EA">
        <w:rPr>
          <w:rFonts w:ascii="Arial Black" w:hAnsi="Arial Black"/>
          <w:caps/>
          <w:sz w:val="15"/>
          <w:szCs w:val="15"/>
          <w:lang w:val="fr-FR"/>
        </w:rPr>
        <w:t> :</w:t>
      </w:r>
      <w:r w:rsidRPr="007D36EA">
        <w:rPr>
          <w:rFonts w:ascii="Arial Black" w:hAnsi="Arial Black"/>
          <w:caps/>
          <w:sz w:val="15"/>
          <w:szCs w:val="15"/>
          <w:lang w:val="fr-FR"/>
        </w:rPr>
        <w:t xml:space="preserve"> </w:t>
      </w:r>
      <w:bookmarkStart w:id="1" w:name="Original"/>
      <w:r w:rsidR="00833711" w:rsidRPr="007D36EA">
        <w:rPr>
          <w:rFonts w:ascii="Arial Black" w:hAnsi="Arial Black"/>
          <w:caps/>
          <w:sz w:val="15"/>
          <w:szCs w:val="15"/>
          <w:lang w:val="fr-FR"/>
        </w:rPr>
        <w:t>anglais</w:t>
      </w:r>
    </w:p>
    <w:bookmarkEnd w:id="1"/>
    <w:p w14:paraId="5DE64DD2" w14:textId="4470F3F2" w:rsidR="008B2CC1" w:rsidRPr="007D36EA" w:rsidRDefault="00DB0349" w:rsidP="00DB0349">
      <w:pPr>
        <w:spacing w:after="1200"/>
        <w:jc w:val="right"/>
        <w:rPr>
          <w:rFonts w:ascii="Arial Black" w:hAnsi="Arial Black"/>
          <w:caps/>
          <w:sz w:val="15"/>
          <w:szCs w:val="15"/>
          <w:lang w:val="fr-FR"/>
        </w:rPr>
      </w:pPr>
      <w:r w:rsidRPr="007D36EA">
        <w:rPr>
          <w:rFonts w:ascii="Arial Black" w:hAnsi="Arial Black"/>
          <w:caps/>
          <w:sz w:val="15"/>
          <w:szCs w:val="15"/>
          <w:lang w:val="fr-FR"/>
        </w:rPr>
        <w:t>date</w:t>
      </w:r>
      <w:r w:rsidR="00B31A73" w:rsidRPr="007D36EA">
        <w:rPr>
          <w:rFonts w:ascii="Arial Black" w:hAnsi="Arial Black"/>
          <w:caps/>
          <w:sz w:val="15"/>
          <w:szCs w:val="15"/>
          <w:lang w:val="fr-FR"/>
        </w:rPr>
        <w:t> :</w:t>
      </w:r>
      <w:r w:rsidRPr="007D36EA">
        <w:rPr>
          <w:rFonts w:ascii="Arial Black" w:hAnsi="Arial Black"/>
          <w:caps/>
          <w:sz w:val="15"/>
          <w:szCs w:val="15"/>
          <w:lang w:val="fr-FR"/>
        </w:rPr>
        <w:t xml:space="preserve"> </w:t>
      </w:r>
      <w:bookmarkStart w:id="2" w:name="Date"/>
      <w:r w:rsidR="00833711" w:rsidRPr="007D36EA">
        <w:rPr>
          <w:rFonts w:ascii="Arial Black" w:hAnsi="Arial Black"/>
          <w:caps/>
          <w:sz w:val="15"/>
          <w:szCs w:val="15"/>
          <w:lang w:val="fr-FR"/>
        </w:rPr>
        <w:t>15 </w:t>
      </w:r>
      <w:r w:rsidR="00B31A73" w:rsidRPr="007D36EA">
        <w:rPr>
          <w:rFonts w:ascii="Arial Black" w:hAnsi="Arial Black"/>
          <w:caps/>
          <w:sz w:val="15"/>
          <w:szCs w:val="15"/>
          <w:lang w:val="fr-FR"/>
        </w:rPr>
        <w:t>janvier 20</w:t>
      </w:r>
      <w:r w:rsidR="00833711" w:rsidRPr="007D36EA">
        <w:rPr>
          <w:rFonts w:ascii="Arial Black" w:hAnsi="Arial Black"/>
          <w:caps/>
          <w:sz w:val="15"/>
          <w:szCs w:val="15"/>
          <w:lang w:val="fr-FR"/>
        </w:rPr>
        <w:t>25</w:t>
      </w:r>
    </w:p>
    <w:bookmarkEnd w:id="2"/>
    <w:p w14:paraId="67444ECC" w14:textId="77777777" w:rsidR="00C40E15" w:rsidRPr="007D36EA" w:rsidRDefault="00BB16AB" w:rsidP="00A003A7">
      <w:pPr>
        <w:spacing w:after="600"/>
        <w:rPr>
          <w:b/>
          <w:sz w:val="28"/>
          <w:szCs w:val="28"/>
          <w:lang w:val="fr-FR"/>
        </w:rPr>
      </w:pPr>
      <w:r w:rsidRPr="007D36EA">
        <w:rPr>
          <w:b/>
          <w:sz w:val="28"/>
          <w:szCs w:val="28"/>
          <w:lang w:val="fr-FR"/>
        </w:rPr>
        <w:t>Groupe de travail du Traité de coopération en matière de brevets (PCT)</w:t>
      </w:r>
    </w:p>
    <w:p w14:paraId="428FDC53" w14:textId="351BFD58" w:rsidR="008B2CC1" w:rsidRPr="007D36EA" w:rsidRDefault="004010C2" w:rsidP="008B2CC1">
      <w:pPr>
        <w:rPr>
          <w:b/>
          <w:sz w:val="24"/>
          <w:szCs w:val="24"/>
          <w:lang w:val="fr-FR"/>
        </w:rPr>
      </w:pPr>
      <w:r w:rsidRPr="007D36EA">
        <w:rPr>
          <w:b/>
          <w:sz w:val="24"/>
          <w:szCs w:val="24"/>
          <w:lang w:val="fr-FR"/>
        </w:rPr>
        <w:t>Dix</w:t>
      </w:r>
      <w:r w:rsidR="007D36EA">
        <w:rPr>
          <w:b/>
          <w:sz w:val="24"/>
          <w:szCs w:val="24"/>
          <w:lang w:val="fr-FR"/>
        </w:rPr>
        <w:noBreakHyphen/>
      </w:r>
      <w:r w:rsidR="003500BE" w:rsidRPr="007D36EA">
        <w:rPr>
          <w:b/>
          <w:sz w:val="24"/>
          <w:szCs w:val="24"/>
          <w:lang w:val="fr-FR"/>
        </w:rPr>
        <w:t>huit</w:t>
      </w:r>
      <w:r w:rsidR="00B31A73" w:rsidRPr="007D36EA">
        <w:rPr>
          <w:b/>
          <w:sz w:val="24"/>
          <w:szCs w:val="24"/>
          <w:lang w:val="fr-FR"/>
        </w:rPr>
        <w:t>ième session</w:t>
      </w:r>
    </w:p>
    <w:p w14:paraId="24042B6E" w14:textId="77777777" w:rsidR="008B2CC1" w:rsidRPr="007D36EA" w:rsidRDefault="00BB16AB" w:rsidP="00DB0349">
      <w:pPr>
        <w:spacing w:after="720"/>
        <w:rPr>
          <w:b/>
          <w:sz w:val="24"/>
          <w:szCs w:val="24"/>
          <w:lang w:val="fr-FR"/>
        </w:rPr>
      </w:pPr>
      <w:r w:rsidRPr="007D36EA">
        <w:rPr>
          <w:b/>
          <w:sz w:val="24"/>
          <w:szCs w:val="24"/>
          <w:lang w:val="fr-FR"/>
        </w:rPr>
        <w:t xml:space="preserve">Genève, </w:t>
      </w:r>
      <w:r w:rsidR="004010C2" w:rsidRPr="007D36EA">
        <w:rPr>
          <w:b/>
          <w:sz w:val="24"/>
          <w:szCs w:val="24"/>
          <w:lang w:val="fr-FR"/>
        </w:rPr>
        <w:t>1</w:t>
      </w:r>
      <w:r w:rsidR="003500BE" w:rsidRPr="007D36EA">
        <w:rPr>
          <w:b/>
          <w:sz w:val="24"/>
          <w:szCs w:val="24"/>
          <w:lang w:val="fr-FR"/>
        </w:rPr>
        <w:t>8</w:t>
      </w:r>
      <w:r w:rsidR="004010C2" w:rsidRPr="007D36EA">
        <w:rPr>
          <w:b/>
          <w:sz w:val="24"/>
          <w:szCs w:val="24"/>
          <w:lang w:val="fr-FR"/>
        </w:rPr>
        <w:t xml:space="preserve"> – 2</w:t>
      </w:r>
      <w:r w:rsidR="003500BE" w:rsidRPr="007D36EA">
        <w:rPr>
          <w:b/>
          <w:sz w:val="24"/>
          <w:szCs w:val="24"/>
          <w:lang w:val="fr-FR"/>
        </w:rPr>
        <w:t>0</w:t>
      </w:r>
      <w:r w:rsidR="004010C2" w:rsidRPr="007D36EA">
        <w:rPr>
          <w:b/>
          <w:sz w:val="24"/>
          <w:szCs w:val="24"/>
          <w:lang w:val="fr-FR"/>
        </w:rPr>
        <w:t> février 202</w:t>
      </w:r>
      <w:r w:rsidR="003500BE" w:rsidRPr="007D36EA">
        <w:rPr>
          <w:b/>
          <w:sz w:val="24"/>
          <w:szCs w:val="24"/>
          <w:lang w:val="fr-FR"/>
        </w:rPr>
        <w:t>5</w:t>
      </w:r>
    </w:p>
    <w:p w14:paraId="4F02D52E" w14:textId="0E180CA3" w:rsidR="00AE7C04" w:rsidRPr="007D36EA" w:rsidRDefault="00833711" w:rsidP="00DB0349">
      <w:pPr>
        <w:spacing w:after="360"/>
        <w:rPr>
          <w:caps/>
          <w:sz w:val="24"/>
          <w:lang w:val="fr-FR"/>
        </w:rPr>
      </w:pPr>
      <w:bookmarkStart w:id="3" w:name="TitleOfDoc"/>
      <w:r w:rsidRPr="007D36EA">
        <w:rPr>
          <w:caps/>
          <w:sz w:val="24"/>
          <w:lang w:val="fr-FR"/>
        </w:rPr>
        <w:t>P</w:t>
      </w:r>
      <w:r w:rsidR="005237B7" w:rsidRPr="007D36EA">
        <w:rPr>
          <w:caps/>
          <w:sz w:val="24"/>
          <w:lang w:val="fr-FR"/>
        </w:rPr>
        <w:t>roposition relative à la transmission de la copie de la déclaration de retrait (formulaire</w:t>
      </w:r>
      <w:r w:rsidR="007D36EA">
        <w:rPr>
          <w:caps/>
          <w:sz w:val="24"/>
          <w:lang w:val="fr-FR"/>
        </w:rPr>
        <w:t> </w:t>
      </w:r>
      <w:r w:rsidR="005237B7" w:rsidRPr="007D36EA">
        <w:rPr>
          <w:caps/>
          <w:sz w:val="24"/>
          <w:lang w:val="fr-FR"/>
        </w:rPr>
        <w:t>PCT/RO/136) au déposant</w:t>
      </w:r>
    </w:p>
    <w:p w14:paraId="3AB924B8" w14:textId="38330723" w:rsidR="00525B63" w:rsidRPr="007D36EA" w:rsidRDefault="00833711" w:rsidP="00DB0349">
      <w:pPr>
        <w:spacing w:after="960"/>
        <w:rPr>
          <w:i/>
          <w:lang w:val="fr-FR"/>
        </w:rPr>
      </w:pPr>
      <w:bookmarkStart w:id="4" w:name="Prepared"/>
      <w:bookmarkEnd w:id="3"/>
      <w:r w:rsidRPr="007D36EA">
        <w:rPr>
          <w:i/>
          <w:lang w:val="fr-FR"/>
        </w:rPr>
        <w:t>Document présenté par la Chine</w:t>
      </w:r>
    </w:p>
    <w:bookmarkEnd w:id="4"/>
    <w:p w14:paraId="40A10C2D" w14:textId="77777777" w:rsidR="00833711" w:rsidRPr="007D36EA" w:rsidRDefault="00833711" w:rsidP="00833711">
      <w:pPr>
        <w:pStyle w:val="Heading1"/>
        <w:rPr>
          <w:lang w:val="fr-FR"/>
        </w:rPr>
      </w:pPr>
      <w:r w:rsidRPr="007D36EA">
        <w:rPr>
          <w:lang w:val="fr-FR"/>
        </w:rPr>
        <w:t>Résumé</w:t>
      </w:r>
    </w:p>
    <w:p w14:paraId="7D5CE054" w14:textId="4FA70514" w:rsidR="00833711" w:rsidRPr="007D36EA" w:rsidRDefault="00833711" w:rsidP="005237B7">
      <w:pPr>
        <w:pStyle w:val="ONUMFS"/>
        <w:rPr>
          <w:lang w:val="fr-FR"/>
        </w:rPr>
      </w:pPr>
      <w:r w:rsidRPr="007D36EA">
        <w:rPr>
          <w:lang w:val="fr-FR"/>
        </w:rPr>
        <w:t>Selon le règlement d</w:t>
      </w:r>
      <w:r w:rsidR="00B31A73" w:rsidRPr="007D36EA">
        <w:rPr>
          <w:lang w:val="fr-FR"/>
        </w:rPr>
        <w:t>’</w:t>
      </w:r>
      <w:r w:rsidRPr="007D36EA">
        <w:rPr>
          <w:lang w:val="fr-FR"/>
        </w:rPr>
        <w:t>exécution du Traité de coopération en matière de brevets (PCT) actuellement en vigueur, si un déposant présente à l</w:t>
      </w:r>
      <w:r w:rsidR="00B31A73" w:rsidRPr="007D36EA">
        <w:rPr>
          <w:lang w:val="fr-FR"/>
        </w:rPr>
        <w:t>’</w:t>
      </w:r>
      <w:r w:rsidRPr="007D36EA">
        <w:rPr>
          <w:lang w:val="fr-FR"/>
        </w:rPr>
        <w:t>office récepteur une déclaration de retrait de la demande internationale selon la règle 90</w:t>
      </w:r>
      <w:r w:rsidRPr="007D36EA">
        <w:rPr>
          <w:i/>
          <w:iCs/>
          <w:lang w:val="fr-FR"/>
        </w:rPr>
        <w:t>bis</w:t>
      </w:r>
      <w:r w:rsidRPr="007D36EA">
        <w:rPr>
          <w:lang w:val="fr-FR"/>
        </w:rPr>
        <w:t>.1, d</w:t>
      </w:r>
      <w:r w:rsidR="00B31A73" w:rsidRPr="007D36EA">
        <w:rPr>
          <w:lang w:val="fr-FR"/>
        </w:rPr>
        <w:t>’</w:t>
      </w:r>
      <w:r w:rsidRPr="007D36EA">
        <w:rPr>
          <w:lang w:val="fr-FR"/>
        </w:rPr>
        <w:t>une désignation selon la règle 90</w:t>
      </w:r>
      <w:r w:rsidRPr="007D36EA">
        <w:rPr>
          <w:i/>
          <w:iCs/>
          <w:lang w:val="fr-FR"/>
        </w:rPr>
        <w:t>bis</w:t>
      </w:r>
      <w:r w:rsidRPr="007D36EA">
        <w:rPr>
          <w:lang w:val="fr-FR"/>
        </w:rPr>
        <w:t>.2, ou d</w:t>
      </w:r>
      <w:r w:rsidR="00B31A73" w:rsidRPr="007D36EA">
        <w:rPr>
          <w:lang w:val="fr-FR"/>
        </w:rPr>
        <w:t>’</w:t>
      </w:r>
      <w:r w:rsidRPr="007D36EA">
        <w:rPr>
          <w:lang w:val="fr-FR"/>
        </w:rPr>
        <w:t>une revendication de priorité selon la règle 90</w:t>
      </w:r>
      <w:r w:rsidRPr="007D36EA">
        <w:rPr>
          <w:i/>
          <w:iCs/>
          <w:lang w:val="fr-FR"/>
        </w:rPr>
        <w:t>bis</w:t>
      </w:r>
      <w:r w:rsidRPr="007D36EA">
        <w:rPr>
          <w:lang w:val="fr-FR"/>
        </w:rPr>
        <w:t>.3, l</w:t>
      </w:r>
      <w:r w:rsidR="00B31A73" w:rsidRPr="007D36EA">
        <w:rPr>
          <w:lang w:val="fr-FR"/>
        </w:rPr>
        <w:t>’</w:t>
      </w:r>
      <w:r w:rsidRPr="007D36EA">
        <w:rPr>
          <w:lang w:val="fr-FR"/>
        </w:rPr>
        <w:t>office récepteur transmet, dès réception de la demande, une notification de retrait (formulaire PCT/RO/136) au Bureau international, qui en avise le déposant (formulaire PCT/IB/307).  Au cours de cette période, il est impossible pour le déposant de se tenir informé du traitement de la demande de retra</w:t>
      </w:r>
      <w:r w:rsidR="007D36EA" w:rsidRPr="007D36EA">
        <w:rPr>
          <w:lang w:val="fr-FR"/>
        </w:rPr>
        <w:t>it.  Co</w:t>
      </w:r>
      <w:r w:rsidRPr="007D36EA">
        <w:rPr>
          <w:lang w:val="fr-FR"/>
        </w:rPr>
        <w:t>nformément aux observations formulées par les utilisateurs</w:t>
      </w:r>
      <w:r w:rsidR="00B31A73" w:rsidRPr="007D36EA">
        <w:rPr>
          <w:lang w:val="fr-FR"/>
        </w:rPr>
        <w:t xml:space="preserve"> du PCT</w:t>
      </w:r>
      <w:r w:rsidRPr="007D36EA">
        <w:rPr>
          <w:lang w:val="fr-FR"/>
        </w:rPr>
        <w:t>, il est proposé de transmettre la copie de la notification de retrait au déposant, de sorte que les offices récepteurs désireux de fournir le service correspondant puissent choisir de transmettre le formulaire PCT/RO/136 au Bureau international et au déposant en même tem</w:t>
      </w:r>
      <w:r w:rsidR="007D36EA" w:rsidRPr="007D36EA">
        <w:rPr>
          <w:lang w:val="fr-FR"/>
        </w:rPr>
        <w:t>ps.  Po</w:t>
      </w:r>
      <w:r w:rsidRPr="007D36EA">
        <w:rPr>
          <w:lang w:val="fr-FR"/>
        </w:rPr>
        <w:t>ur ce faire, il est nécessaire de modifier le formulaire PCT/RO/136, l</w:t>
      </w:r>
      <w:r w:rsidR="00B31A73" w:rsidRPr="007D36EA">
        <w:rPr>
          <w:lang w:val="fr-FR"/>
        </w:rPr>
        <w:t>’</w:t>
      </w:r>
      <w:r w:rsidRPr="007D36EA">
        <w:rPr>
          <w:lang w:val="fr-FR"/>
        </w:rPr>
        <w:t>instruction 326 des instructions administratives du Traité de coopération en matière de brevets (ci</w:t>
      </w:r>
      <w:r w:rsidR="007D36EA">
        <w:rPr>
          <w:lang w:val="fr-FR"/>
        </w:rPr>
        <w:noBreakHyphen/>
      </w:r>
      <w:r w:rsidRPr="007D36EA">
        <w:rPr>
          <w:lang w:val="fr-FR"/>
        </w:rPr>
        <w:t>après dénommées “instructions administratives”) et le chapitre XVII des Directives à l</w:t>
      </w:r>
      <w:r w:rsidR="00B31A73" w:rsidRPr="007D36EA">
        <w:rPr>
          <w:lang w:val="fr-FR"/>
        </w:rPr>
        <w:t>’</w:t>
      </w:r>
      <w:r w:rsidRPr="007D36EA">
        <w:rPr>
          <w:lang w:val="fr-FR"/>
        </w:rPr>
        <w:t>usage des offices récepteurs du PCT.</w:t>
      </w:r>
    </w:p>
    <w:p w14:paraId="6F16E961" w14:textId="77777777" w:rsidR="00833711" w:rsidRPr="007D36EA" w:rsidRDefault="00833711" w:rsidP="00833711">
      <w:pPr>
        <w:pStyle w:val="Heading1"/>
        <w:rPr>
          <w:lang w:val="fr-FR"/>
        </w:rPr>
      </w:pPr>
      <w:r w:rsidRPr="007D36EA">
        <w:rPr>
          <w:lang w:val="fr-FR"/>
        </w:rPr>
        <w:t>Pratique actuelle concernant le retrait par le déposant</w:t>
      </w:r>
    </w:p>
    <w:p w14:paraId="5D04199C" w14:textId="60D09D77" w:rsidR="00833711" w:rsidRPr="007D36EA" w:rsidRDefault="00833711" w:rsidP="005237B7">
      <w:pPr>
        <w:pStyle w:val="ONUMFS"/>
        <w:rPr>
          <w:lang w:val="fr-FR"/>
        </w:rPr>
      </w:pPr>
      <w:r w:rsidRPr="007D36EA">
        <w:rPr>
          <w:lang w:val="fr-FR"/>
        </w:rPr>
        <w:t>Selon le règlement d</w:t>
      </w:r>
      <w:r w:rsidR="00B31A73" w:rsidRPr="007D36EA">
        <w:rPr>
          <w:lang w:val="fr-FR"/>
        </w:rPr>
        <w:t>’</w:t>
      </w:r>
      <w:r w:rsidRPr="007D36EA">
        <w:rPr>
          <w:lang w:val="fr-FR"/>
        </w:rPr>
        <w:t>exécution</w:t>
      </w:r>
      <w:r w:rsidR="00B31A73" w:rsidRPr="007D36EA">
        <w:rPr>
          <w:lang w:val="fr-FR"/>
        </w:rPr>
        <w:t xml:space="preserve"> du PCT</w:t>
      </w:r>
      <w:r w:rsidRPr="007D36EA">
        <w:rPr>
          <w:lang w:val="fr-FR"/>
        </w:rPr>
        <w:t xml:space="preserve"> actuellement en vigueur, si un déposant présente à l</w:t>
      </w:r>
      <w:r w:rsidR="00B31A73" w:rsidRPr="007D36EA">
        <w:rPr>
          <w:lang w:val="fr-FR"/>
        </w:rPr>
        <w:t>’</w:t>
      </w:r>
      <w:r w:rsidRPr="007D36EA">
        <w:rPr>
          <w:lang w:val="fr-FR"/>
        </w:rPr>
        <w:t>office récepteur une déclaration de retrait de la demande internationale selon la règle 90</w:t>
      </w:r>
      <w:r w:rsidRPr="007D36EA">
        <w:rPr>
          <w:i/>
          <w:iCs/>
          <w:lang w:val="fr-FR"/>
        </w:rPr>
        <w:t>bis</w:t>
      </w:r>
      <w:r w:rsidRPr="007D36EA">
        <w:rPr>
          <w:lang w:val="fr-FR"/>
        </w:rPr>
        <w:t>.1, d</w:t>
      </w:r>
      <w:r w:rsidR="00B31A73" w:rsidRPr="007D36EA">
        <w:rPr>
          <w:lang w:val="fr-FR"/>
        </w:rPr>
        <w:t>’</w:t>
      </w:r>
      <w:r w:rsidRPr="007D36EA">
        <w:rPr>
          <w:lang w:val="fr-FR"/>
        </w:rPr>
        <w:t>une désignation selon la règle 90</w:t>
      </w:r>
      <w:r w:rsidRPr="007D36EA">
        <w:rPr>
          <w:i/>
          <w:iCs/>
          <w:lang w:val="fr-FR"/>
        </w:rPr>
        <w:t>bis</w:t>
      </w:r>
      <w:r w:rsidRPr="007D36EA">
        <w:rPr>
          <w:lang w:val="fr-FR"/>
        </w:rPr>
        <w:t>.2, ou d</w:t>
      </w:r>
      <w:r w:rsidR="00B31A73" w:rsidRPr="007D36EA">
        <w:rPr>
          <w:lang w:val="fr-FR"/>
        </w:rPr>
        <w:t>’</w:t>
      </w:r>
      <w:r w:rsidRPr="007D36EA">
        <w:rPr>
          <w:lang w:val="fr-FR"/>
        </w:rPr>
        <w:t>une revendication de priorité selon la règle 90</w:t>
      </w:r>
      <w:r w:rsidRPr="007D36EA">
        <w:rPr>
          <w:i/>
          <w:iCs/>
          <w:lang w:val="fr-FR"/>
        </w:rPr>
        <w:t>bis</w:t>
      </w:r>
      <w:r w:rsidRPr="007D36EA">
        <w:rPr>
          <w:lang w:val="fr-FR"/>
        </w:rPr>
        <w:t>.3, l</w:t>
      </w:r>
      <w:r w:rsidR="00B31A73" w:rsidRPr="007D36EA">
        <w:rPr>
          <w:lang w:val="fr-FR"/>
        </w:rPr>
        <w:t>’</w:t>
      </w:r>
      <w:r w:rsidRPr="007D36EA">
        <w:rPr>
          <w:lang w:val="fr-FR"/>
        </w:rPr>
        <w:t xml:space="preserve">office récepteur transmet à bref délai une notification de retrait </w:t>
      </w:r>
      <w:r w:rsidRPr="007D36EA">
        <w:rPr>
          <w:lang w:val="fr-FR"/>
        </w:rPr>
        <w:lastRenderedPageBreak/>
        <w:t>(formulaire PCT/RO/136) au Bureau international, qui informe ensuite le déposant de sa décision (formulaire PCT/IB/307).  Les principales dispositions sont indiquées ci</w:t>
      </w:r>
      <w:r w:rsidR="007D36EA">
        <w:rPr>
          <w:lang w:val="fr-FR"/>
        </w:rPr>
        <w:noBreakHyphen/>
      </w:r>
      <w:r w:rsidRPr="007D36EA">
        <w:rPr>
          <w:lang w:val="fr-FR"/>
        </w:rPr>
        <w:t>après.</w:t>
      </w:r>
    </w:p>
    <w:p w14:paraId="01575AC1" w14:textId="77777777" w:rsidR="00833711" w:rsidRPr="007D36EA" w:rsidRDefault="00833711" w:rsidP="00833711">
      <w:pPr>
        <w:pStyle w:val="Heading2"/>
        <w:rPr>
          <w:lang w:val="fr-FR"/>
        </w:rPr>
      </w:pPr>
      <w:r w:rsidRPr="007D36EA">
        <w:rPr>
          <w:lang w:val="fr-FR"/>
        </w:rPr>
        <w:t>Notification de retrait (formulaire RO/PCT/136)</w:t>
      </w:r>
    </w:p>
    <w:p w14:paraId="0F4152DE" w14:textId="6F400064" w:rsidR="00833711" w:rsidRPr="007D36EA" w:rsidRDefault="00833711" w:rsidP="005237B7">
      <w:pPr>
        <w:pStyle w:val="ONUMFS"/>
        <w:rPr>
          <w:lang w:val="fr-FR"/>
        </w:rPr>
      </w:pPr>
      <w:r w:rsidRPr="007D36EA">
        <w:rPr>
          <w:lang w:val="fr-FR"/>
        </w:rPr>
        <w:t>La notification de retrait (formulaire PCT/RO/136) est une notification que l</w:t>
      </w:r>
      <w:r w:rsidR="00B31A73" w:rsidRPr="007D36EA">
        <w:rPr>
          <w:lang w:val="fr-FR"/>
        </w:rPr>
        <w:t>’</w:t>
      </w:r>
      <w:r w:rsidRPr="007D36EA">
        <w:rPr>
          <w:lang w:val="fr-FR"/>
        </w:rPr>
        <w:t>office récepteur transmet au Bureau international lorsqu</w:t>
      </w:r>
      <w:r w:rsidR="00B31A73" w:rsidRPr="007D36EA">
        <w:rPr>
          <w:lang w:val="fr-FR"/>
        </w:rPr>
        <w:t>’</w:t>
      </w:r>
      <w:r w:rsidRPr="007D36EA">
        <w:rPr>
          <w:lang w:val="fr-FR"/>
        </w:rPr>
        <w:t>un déposant dépose auprès de l</w:t>
      </w:r>
      <w:r w:rsidR="00B31A73" w:rsidRPr="007D36EA">
        <w:rPr>
          <w:lang w:val="fr-FR"/>
        </w:rPr>
        <w:t>’</w:t>
      </w:r>
      <w:r w:rsidRPr="007D36EA">
        <w:rPr>
          <w:lang w:val="fr-FR"/>
        </w:rPr>
        <w:t>office récepteur une déclaration de retrait de la demande internationale selon la règle 90</w:t>
      </w:r>
      <w:r w:rsidRPr="007D36EA">
        <w:rPr>
          <w:i/>
          <w:iCs/>
          <w:lang w:val="fr-FR"/>
        </w:rPr>
        <w:t>bis</w:t>
      </w:r>
      <w:r w:rsidRPr="007D36EA">
        <w:rPr>
          <w:lang w:val="fr-FR"/>
        </w:rPr>
        <w:t>.1, d</w:t>
      </w:r>
      <w:r w:rsidR="00B31A73" w:rsidRPr="007D36EA">
        <w:rPr>
          <w:lang w:val="fr-FR"/>
        </w:rPr>
        <w:t>’</w:t>
      </w:r>
      <w:r w:rsidRPr="007D36EA">
        <w:rPr>
          <w:lang w:val="fr-FR"/>
        </w:rPr>
        <w:t>une désignation selon la règle 90</w:t>
      </w:r>
      <w:r w:rsidRPr="007D36EA">
        <w:rPr>
          <w:i/>
          <w:iCs/>
          <w:lang w:val="fr-FR"/>
        </w:rPr>
        <w:t>bis</w:t>
      </w:r>
      <w:r w:rsidRPr="007D36EA">
        <w:rPr>
          <w:lang w:val="fr-FR"/>
        </w:rPr>
        <w:t>.2, ou d</w:t>
      </w:r>
      <w:r w:rsidR="00B31A73" w:rsidRPr="007D36EA">
        <w:rPr>
          <w:lang w:val="fr-FR"/>
        </w:rPr>
        <w:t>’</w:t>
      </w:r>
      <w:r w:rsidRPr="007D36EA">
        <w:rPr>
          <w:lang w:val="fr-FR"/>
        </w:rPr>
        <w:t>une revendication de priorité selon la règle 90</w:t>
      </w:r>
      <w:r w:rsidRPr="007D36EA">
        <w:rPr>
          <w:i/>
          <w:iCs/>
          <w:lang w:val="fr-FR"/>
        </w:rPr>
        <w:t>bis</w:t>
      </w:r>
      <w:r w:rsidRPr="007D36EA">
        <w:rPr>
          <w:lang w:val="fr-FR"/>
        </w:rPr>
        <w:t>.3.  Lorsqu</w:t>
      </w:r>
      <w:r w:rsidR="00B31A73" w:rsidRPr="007D36EA">
        <w:rPr>
          <w:lang w:val="fr-FR"/>
        </w:rPr>
        <w:t>’</w:t>
      </w:r>
      <w:r w:rsidRPr="007D36EA">
        <w:rPr>
          <w:lang w:val="fr-FR"/>
        </w:rPr>
        <w:t>il reçoit une telle déclaration, l</w:t>
      </w:r>
      <w:r w:rsidR="00B31A73" w:rsidRPr="007D36EA">
        <w:rPr>
          <w:lang w:val="fr-FR"/>
        </w:rPr>
        <w:t>’</w:t>
      </w:r>
      <w:r w:rsidRPr="007D36EA">
        <w:rPr>
          <w:lang w:val="fr-FR"/>
        </w:rPr>
        <w:t>office récepteur appose sur la déclaration de retrait la date de réception et vérifie que le retrait est effectif, c</w:t>
      </w:r>
      <w:r w:rsidR="00B31A73" w:rsidRPr="007D36EA">
        <w:rPr>
          <w:lang w:val="fr-FR"/>
        </w:rPr>
        <w:t>’</w:t>
      </w:r>
      <w:r w:rsidRPr="007D36EA">
        <w:rPr>
          <w:lang w:val="fr-FR"/>
        </w:rPr>
        <w:t>est</w:t>
      </w:r>
      <w:r w:rsidR="007D36EA">
        <w:rPr>
          <w:lang w:val="fr-FR"/>
        </w:rPr>
        <w:noBreakHyphen/>
      </w:r>
      <w:r w:rsidRPr="007D36EA">
        <w:rPr>
          <w:lang w:val="fr-FR"/>
        </w:rPr>
        <w:t>à</w:t>
      </w:r>
      <w:r w:rsidR="007D36EA">
        <w:rPr>
          <w:lang w:val="fr-FR"/>
        </w:rPr>
        <w:noBreakHyphen/>
      </w:r>
      <w:r w:rsidRPr="007D36EA">
        <w:rPr>
          <w:lang w:val="fr-FR"/>
        </w:rPr>
        <w:t>dire que</w:t>
      </w:r>
    </w:p>
    <w:p w14:paraId="5814BD54" w14:textId="7737DF88" w:rsidR="00833711" w:rsidRPr="007D36EA" w:rsidRDefault="005237B7" w:rsidP="005237B7">
      <w:pPr>
        <w:pStyle w:val="ONUMFS"/>
        <w:numPr>
          <w:ilvl w:val="1"/>
          <w:numId w:val="6"/>
        </w:numPr>
        <w:rPr>
          <w:lang w:val="fr-FR"/>
        </w:rPr>
      </w:pPr>
      <w:proofErr w:type="gramStart"/>
      <w:r w:rsidRPr="007D36EA">
        <w:rPr>
          <w:lang w:val="fr-FR"/>
        </w:rPr>
        <w:t>l</w:t>
      </w:r>
      <w:r w:rsidR="00833711" w:rsidRPr="007D36EA">
        <w:rPr>
          <w:lang w:val="fr-FR"/>
        </w:rPr>
        <w:t>a</w:t>
      </w:r>
      <w:proofErr w:type="gramEnd"/>
      <w:r w:rsidR="00833711" w:rsidRPr="007D36EA">
        <w:rPr>
          <w:lang w:val="fr-FR"/>
        </w:rPr>
        <w:t xml:space="preserve"> déclaration de retrait a été reçue dans le délai visé à la règle 90</w:t>
      </w:r>
      <w:r w:rsidR="00833711" w:rsidRPr="007D36EA">
        <w:rPr>
          <w:i/>
          <w:iCs/>
          <w:lang w:val="fr-FR"/>
        </w:rPr>
        <w:t>bis</w:t>
      </w:r>
      <w:r w:rsidR="00833711" w:rsidRPr="007D36EA">
        <w:rPr>
          <w:lang w:val="fr-FR"/>
        </w:rPr>
        <w:t>.1.a), 90</w:t>
      </w:r>
      <w:r w:rsidR="00833711" w:rsidRPr="007D36EA">
        <w:rPr>
          <w:i/>
          <w:iCs/>
          <w:lang w:val="fr-FR"/>
        </w:rPr>
        <w:t>bis</w:t>
      </w:r>
      <w:r w:rsidR="00833711" w:rsidRPr="007D36EA">
        <w:rPr>
          <w:lang w:val="fr-FR"/>
        </w:rPr>
        <w:t>.2.a) ou 90</w:t>
      </w:r>
      <w:r w:rsidR="00833711" w:rsidRPr="007D36EA">
        <w:rPr>
          <w:i/>
          <w:iCs/>
          <w:lang w:val="fr-FR"/>
        </w:rPr>
        <w:t>bis</w:t>
      </w:r>
      <w:r w:rsidR="00833711" w:rsidRPr="007D36EA">
        <w:rPr>
          <w:lang w:val="fr-FR"/>
        </w:rPr>
        <w:t xml:space="preserve">.3.a), selon le cas; </w:t>
      </w:r>
      <w:r w:rsidR="00A52177" w:rsidRPr="007D36EA">
        <w:rPr>
          <w:lang w:val="fr-FR"/>
        </w:rPr>
        <w:t xml:space="preserve"> </w:t>
      </w:r>
      <w:r w:rsidR="00833711" w:rsidRPr="007D36EA">
        <w:rPr>
          <w:lang w:val="fr-FR"/>
        </w:rPr>
        <w:t>et que</w:t>
      </w:r>
    </w:p>
    <w:p w14:paraId="2EB02B14" w14:textId="77777777" w:rsidR="00833711" w:rsidRPr="007D36EA" w:rsidRDefault="00833711" w:rsidP="005237B7">
      <w:pPr>
        <w:pStyle w:val="ONUMFS"/>
        <w:numPr>
          <w:ilvl w:val="1"/>
          <w:numId w:val="6"/>
        </w:numPr>
        <w:rPr>
          <w:lang w:val="fr-FR"/>
        </w:rPr>
      </w:pPr>
      <w:proofErr w:type="gramStart"/>
      <w:r w:rsidRPr="007D36EA">
        <w:rPr>
          <w:lang w:val="fr-FR"/>
        </w:rPr>
        <w:t>la</w:t>
      </w:r>
      <w:proofErr w:type="gramEnd"/>
      <w:r w:rsidRPr="007D36EA">
        <w:rPr>
          <w:lang w:val="fr-FR"/>
        </w:rPr>
        <w:t xml:space="preserve"> déclaration de retrait a été signée par tous les déposants ou au nom de tous les déposants.</w:t>
      </w:r>
    </w:p>
    <w:p w14:paraId="37715B1C" w14:textId="77777777" w:rsidR="00833711" w:rsidRPr="007D36EA" w:rsidRDefault="00833711" w:rsidP="00833711">
      <w:pPr>
        <w:pStyle w:val="Heading2"/>
        <w:rPr>
          <w:lang w:val="fr-FR"/>
        </w:rPr>
      </w:pPr>
      <w:r w:rsidRPr="007D36EA">
        <w:rPr>
          <w:lang w:val="fr-FR"/>
        </w:rPr>
        <w:t>Dispositions relatives à la transmission de la déclaration de retrait</w:t>
      </w:r>
    </w:p>
    <w:p w14:paraId="12C10788" w14:textId="209E028A" w:rsidR="00833711" w:rsidRPr="007D36EA" w:rsidRDefault="00833711" w:rsidP="005237B7">
      <w:pPr>
        <w:pStyle w:val="ONUMFS"/>
        <w:rPr>
          <w:lang w:val="fr-FR"/>
        </w:rPr>
      </w:pPr>
      <w:r w:rsidRPr="007D36EA">
        <w:rPr>
          <w:lang w:val="fr-FR"/>
        </w:rPr>
        <w:t>L</w:t>
      </w:r>
      <w:r w:rsidR="00B31A73" w:rsidRPr="007D36EA">
        <w:rPr>
          <w:lang w:val="fr-FR"/>
        </w:rPr>
        <w:t>’</w:t>
      </w:r>
      <w:r w:rsidRPr="007D36EA">
        <w:rPr>
          <w:lang w:val="fr-FR"/>
        </w:rPr>
        <w:t>instruction 326 des instructions administratives prévoit ce qui suit</w:t>
      </w:r>
      <w:r w:rsidR="00B31A73" w:rsidRPr="007D36EA">
        <w:rPr>
          <w:lang w:val="fr-FR"/>
        </w:rPr>
        <w:t> :</w:t>
      </w:r>
      <w:r w:rsidRPr="007D36EA">
        <w:rPr>
          <w:lang w:val="fr-FR"/>
        </w:rPr>
        <w:t xml:space="preserve"> “a) L</w:t>
      </w:r>
      <w:r w:rsidR="00B31A73" w:rsidRPr="007D36EA">
        <w:rPr>
          <w:lang w:val="fr-FR"/>
        </w:rPr>
        <w:t>’</w:t>
      </w:r>
      <w:r w:rsidRPr="007D36EA">
        <w:rPr>
          <w:lang w:val="fr-FR"/>
        </w:rPr>
        <w:t>office récepteur transmet à bref délai au Bureau international toute déclaration que le déposant lui a remise à l</w:t>
      </w:r>
      <w:r w:rsidR="00B31A73" w:rsidRPr="007D36EA">
        <w:rPr>
          <w:lang w:val="fr-FR"/>
        </w:rPr>
        <w:t>’</w:t>
      </w:r>
      <w:r w:rsidRPr="007D36EA">
        <w:rPr>
          <w:lang w:val="fr-FR"/>
        </w:rPr>
        <w:t>effet de retirer la demande internationale selon la règle 90</w:t>
      </w:r>
      <w:r w:rsidRPr="007D36EA">
        <w:rPr>
          <w:i/>
          <w:lang w:val="fr-FR"/>
        </w:rPr>
        <w:t>bis</w:t>
      </w:r>
      <w:r w:rsidRPr="007D36EA">
        <w:rPr>
          <w:lang w:val="fr-FR"/>
        </w:rPr>
        <w:t>.1, de retirer une désignation selon la règle 90</w:t>
      </w:r>
      <w:r w:rsidRPr="007D36EA">
        <w:rPr>
          <w:i/>
          <w:lang w:val="fr-FR"/>
        </w:rPr>
        <w:t>bis</w:t>
      </w:r>
      <w:r w:rsidRPr="007D36EA">
        <w:rPr>
          <w:lang w:val="fr-FR"/>
        </w:rPr>
        <w:t>.2 ou de retirer une revendication de priorité selon la règle 90</w:t>
      </w:r>
      <w:r w:rsidRPr="007D36EA">
        <w:rPr>
          <w:i/>
          <w:lang w:val="fr-FR"/>
        </w:rPr>
        <w:t>bis</w:t>
      </w:r>
      <w:r w:rsidRPr="007D36EA">
        <w:rPr>
          <w:lang w:val="fr-FR"/>
        </w:rPr>
        <w:t>.3, conjointement avec une indication de la date de réception de la déclarati</w:t>
      </w:r>
      <w:r w:rsidR="007D36EA" w:rsidRPr="007D36EA">
        <w:rPr>
          <w:lang w:val="fr-FR"/>
        </w:rPr>
        <w:t>on.  Si</w:t>
      </w:r>
      <w:r w:rsidRPr="007D36EA">
        <w:rPr>
          <w:lang w:val="fr-FR"/>
        </w:rPr>
        <w:t xml:space="preserve"> l</w:t>
      </w:r>
      <w:r w:rsidR="00B31A73" w:rsidRPr="007D36EA">
        <w:rPr>
          <w:lang w:val="fr-FR"/>
        </w:rPr>
        <w:t>’</w:t>
      </w:r>
      <w:r w:rsidRPr="007D36EA">
        <w:rPr>
          <w:lang w:val="fr-FR"/>
        </w:rPr>
        <w:t>exemplaire original n</w:t>
      </w:r>
      <w:r w:rsidR="00B31A73" w:rsidRPr="007D36EA">
        <w:rPr>
          <w:lang w:val="fr-FR"/>
        </w:rPr>
        <w:t>’</w:t>
      </w:r>
      <w:r w:rsidRPr="007D36EA">
        <w:rPr>
          <w:lang w:val="fr-FR"/>
        </w:rPr>
        <w:t>a pas encore été transmis au Bureau international, l</w:t>
      </w:r>
      <w:r w:rsidR="00B31A73" w:rsidRPr="007D36EA">
        <w:rPr>
          <w:lang w:val="fr-FR"/>
        </w:rPr>
        <w:t>’</w:t>
      </w:r>
      <w:r w:rsidRPr="007D36EA">
        <w:rPr>
          <w:lang w:val="fr-FR"/>
        </w:rPr>
        <w:t>office récepteur transmet ladite déclaration avec l</w:t>
      </w:r>
      <w:r w:rsidR="00B31A73" w:rsidRPr="007D36EA">
        <w:rPr>
          <w:lang w:val="fr-FR"/>
        </w:rPr>
        <w:t>’</w:t>
      </w:r>
      <w:r w:rsidRPr="007D36EA">
        <w:rPr>
          <w:lang w:val="fr-FR"/>
        </w:rPr>
        <w:t>exemplaire original”.</w:t>
      </w:r>
    </w:p>
    <w:p w14:paraId="124AB564" w14:textId="4C3C51E5" w:rsidR="00833711" w:rsidRPr="007D36EA" w:rsidRDefault="00833711" w:rsidP="005237B7">
      <w:pPr>
        <w:pStyle w:val="ONUMFS"/>
        <w:rPr>
          <w:lang w:val="fr-FR"/>
        </w:rPr>
      </w:pPr>
      <w:r w:rsidRPr="007D36EA">
        <w:rPr>
          <w:lang w:val="fr-FR"/>
        </w:rPr>
        <w:t>Le paragraphe 322 du chapitre XVII des Directives à l</w:t>
      </w:r>
      <w:r w:rsidR="00B31A73" w:rsidRPr="007D36EA">
        <w:rPr>
          <w:lang w:val="fr-FR"/>
        </w:rPr>
        <w:t>’</w:t>
      </w:r>
      <w:r w:rsidRPr="007D36EA">
        <w:rPr>
          <w:lang w:val="fr-FR"/>
        </w:rPr>
        <w:t>usage des offices récepteurs du PCT prévoit ce qui suit</w:t>
      </w:r>
      <w:r w:rsidR="00B31A73" w:rsidRPr="007D36EA">
        <w:rPr>
          <w:lang w:val="fr-FR"/>
        </w:rPr>
        <w:t> :</w:t>
      </w:r>
      <w:r w:rsidRPr="007D36EA">
        <w:rPr>
          <w:lang w:val="fr-FR"/>
        </w:rPr>
        <w:t xml:space="preserve"> “L</w:t>
      </w:r>
      <w:r w:rsidR="00B31A73" w:rsidRPr="007D36EA">
        <w:rPr>
          <w:lang w:val="fr-FR"/>
        </w:rPr>
        <w:t>’</w:t>
      </w:r>
      <w:r w:rsidRPr="007D36EA">
        <w:rPr>
          <w:lang w:val="fr-FR"/>
        </w:rPr>
        <w:t>office récepteur transmet à bref délai au Bureau international toute déclaration de retrait en vertu de la règle 90</w:t>
      </w:r>
      <w:r w:rsidRPr="007D36EA">
        <w:rPr>
          <w:i/>
          <w:lang w:val="fr-FR"/>
        </w:rPr>
        <w:t>bis</w:t>
      </w:r>
      <w:r w:rsidRPr="007D36EA">
        <w:rPr>
          <w:lang w:val="fr-FR"/>
        </w:rPr>
        <w:t>.1, 90</w:t>
      </w:r>
      <w:r w:rsidRPr="007D36EA">
        <w:rPr>
          <w:i/>
          <w:lang w:val="fr-FR"/>
        </w:rPr>
        <w:t>bis</w:t>
      </w:r>
      <w:r w:rsidRPr="007D36EA">
        <w:rPr>
          <w:lang w:val="fr-FR"/>
        </w:rPr>
        <w:t>.2 ou 90</w:t>
      </w:r>
      <w:r w:rsidRPr="007D36EA">
        <w:rPr>
          <w:i/>
          <w:lang w:val="fr-FR"/>
        </w:rPr>
        <w:t>bis</w:t>
      </w:r>
      <w:r w:rsidRPr="007D36EA">
        <w:rPr>
          <w:lang w:val="fr-FR"/>
        </w:rPr>
        <w:t>.3 (formulaire PCT/RO/136), ainsi que toute déclaration de retrait de certains types de protection (formulaire PCT/RO/132), en indiquant la date de réception de la déclaration”.</w:t>
      </w:r>
    </w:p>
    <w:p w14:paraId="571D6DA8" w14:textId="77777777" w:rsidR="00833711" w:rsidRPr="007D36EA" w:rsidRDefault="00833711" w:rsidP="00833711">
      <w:pPr>
        <w:pStyle w:val="Heading1"/>
        <w:rPr>
          <w:lang w:val="fr-FR"/>
        </w:rPr>
      </w:pPr>
      <w:r w:rsidRPr="007D36EA">
        <w:rPr>
          <w:lang w:val="fr-FR"/>
        </w:rPr>
        <w:t>Problèmes</w:t>
      </w:r>
    </w:p>
    <w:p w14:paraId="1F04A5F1" w14:textId="06979A90" w:rsidR="00833711" w:rsidRPr="007D36EA" w:rsidRDefault="00833711" w:rsidP="005237B7">
      <w:pPr>
        <w:pStyle w:val="ONUMFS"/>
        <w:rPr>
          <w:lang w:val="fr-FR"/>
        </w:rPr>
      </w:pPr>
      <w:r w:rsidRPr="007D36EA">
        <w:rPr>
          <w:lang w:val="fr-FR"/>
        </w:rPr>
        <w:t>Étant donné que le retrait a un impact important sur le statut juridique de la demande internationale selon</w:t>
      </w:r>
      <w:r w:rsidR="00B31A73" w:rsidRPr="007D36EA">
        <w:rPr>
          <w:lang w:val="fr-FR"/>
        </w:rPr>
        <w:t xml:space="preserve"> le PCT</w:t>
      </w:r>
      <w:r w:rsidRPr="007D36EA">
        <w:rPr>
          <w:lang w:val="fr-FR"/>
        </w:rPr>
        <w:t>, les déposants sont généralement préoccupés par le traitement de ces documen</w:t>
      </w:r>
      <w:r w:rsidR="007D36EA" w:rsidRPr="007D36EA">
        <w:rPr>
          <w:lang w:val="fr-FR"/>
        </w:rPr>
        <w:t xml:space="preserve">ts.  À </w:t>
      </w:r>
      <w:r w:rsidRPr="007D36EA">
        <w:rPr>
          <w:lang w:val="fr-FR"/>
        </w:rPr>
        <w:t>l</w:t>
      </w:r>
      <w:r w:rsidR="00B31A73" w:rsidRPr="007D36EA">
        <w:rPr>
          <w:lang w:val="fr-FR"/>
        </w:rPr>
        <w:t>’</w:t>
      </w:r>
      <w:r w:rsidRPr="007D36EA">
        <w:rPr>
          <w:lang w:val="fr-FR"/>
        </w:rPr>
        <w:t>heure actuelle, le formulaire PCT/RO/136 est uniquement transmis au Bureau international qui, dès réception du formulaire PCT/RO/136, émet le formulaire PCT/IB/307 pour informer le déposant et les autres offices concernés de la situation concernant le retra</w:t>
      </w:r>
      <w:r w:rsidR="007D36EA" w:rsidRPr="007D36EA">
        <w:rPr>
          <w:lang w:val="fr-FR"/>
        </w:rPr>
        <w:t>it.  Pe</w:t>
      </w:r>
      <w:r w:rsidRPr="007D36EA">
        <w:rPr>
          <w:lang w:val="fr-FR"/>
        </w:rPr>
        <w:t>ndant la période comprise entre la réception de la déclaration de retrait du déposant par l</w:t>
      </w:r>
      <w:r w:rsidR="00B31A73" w:rsidRPr="007D36EA">
        <w:rPr>
          <w:lang w:val="fr-FR"/>
        </w:rPr>
        <w:t>’</w:t>
      </w:r>
      <w:r w:rsidRPr="007D36EA">
        <w:rPr>
          <w:lang w:val="fr-FR"/>
        </w:rPr>
        <w:t>office récepteur et la transmission du formulaire PCT/RO/136 au Bureau international, le traitement des documents n</w:t>
      </w:r>
      <w:r w:rsidR="00B31A73" w:rsidRPr="007D36EA">
        <w:rPr>
          <w:lang w:val="fr-FR"/>
        </w:rPr>
        <w:t>’</w:t>
      </w:r>
      <w:r w:rsidRPr="007D36EA">
        <w:rPr>
          <w:lang w:val="fr-FR"/>
        </w:rPr>
        <w:t>est pas transpare</w:t>
      </w:r>
      <w:r w:rsidR="007D36EA" w:rsidRPr="007D36EA">
        <w:rPr>
          <w:lang w:val="fr-FR"/>
        </w:rPr>
        <w:t>nt.  Da</w:t>
      </w:r>
      <w:r w:rsidRPr="007D36EA">
        <w:rPr>
          <w:lang w:val="fr-FR"/>
        </w:rPr>
        <w:t>ns l</w:t>
      </w:r>
      <w:r w:rsidR="00B31A73" w:rsidRPr="007D36EA">
        <w:rPr>
          <w:lang w:val="fr-FR"/>
        </w:rPr>
        <w:t>’</w:t>
      </w:r>
      <w:r w:rsidRPr="007D36EA">
        <w:rPr>
          <w:lang w:val="fr-FR"/>
        </w:rPr>
        <w:t>enquête menée par l</w:t>
      </w:r>
      <w:r w:rsidR="00B31A73" w:rsidRPr="007D36EA">
        <w:rPr>
          <w:lang w:val="fr-FR"/>
        </w:rPr>
        <w:t>’</w:t>
      </w:r>
      <w:r w:rsidRPr="007D36EA">
        <w:rPr>
          <w:lang w:val="fr-FR"/>
        </w:rPr>
        <w:t>Administration nationale de propriété intellectuelle de la République populaire de Chine (CNIPA) auprès des utilisateurs</w:t>
      </w:r>
      <w:r w:rsidR="00B31A73" w:rsidRPr="007D36EA">
        <w:rPr>
          <w:lang w:val="fr-FR"/>
        </w:rPr>
        <w:t xml:space="preserve"> du PCT</w:t>
      </w:r>
      <w:r w:rsidRPr="007D36EA">
        <w:rPr>
          <w:lang w:val="fr-FR"/>
        </w:rPr>
        <w:t>, certaines entreprises ont soulevé cette question et déclaré qu</w:t>
      </w:r>
      <w:r w:rsidR="00B31A73" w:rsidRPr="007D36EA">
        <w:rPr>
          <w:lang w:val="fr-FR"/>
        </w:rPr>
        <w:t>’</w:t>
      </w:r>
      <w:r w:rsidRPr="007D36EA">
        <w:rPr>
          <w:lang w:val="fr-FR"/>
        </w:rPr>
        <w:t>elles espéraient qu</w:t>
      </w:r>
      <w:r w:rsidR="00B31A73" w:rsidRPr="007D36EA">
        <w:rPr>
          <w:lang w:val="fr-FR"/>
        </w:rPr>
        <w:t>’</w:t>
      </w:r>
      <w:r w:rsidRPr="007D36EA">
        <w:rPr>
          <w:lang w:val="fr-FR"/>
        </w:rPr>
        <w:t>il serait possible de transmettre la copie de la déclaration de retrait (formulaire PCT/RO/136) au déposant.</w:t>
      </w:r>
    </w:p>
    <w:p w14:paraId="105ED536" w14:textId="77777777" w:rsidR="00833711" w:rsidRPr="007D36EA" w:rsidRDefault="00833711" w:rsidP="00833711">
      <w:pPr>
        <w:pStyle w:val="Heading1"/>
        <w:rPr>
          <w:lang w:val="fr-FR"/>
        </w:rPr>
      </w:pPr>
      <w:r w:rsidRPr="007D36EA">
        <w:rPr>
          <w:lang w:val="fr-FR"/>
        </w:rPr>
        <w:t>Proposition relative à la transmission de la copie de la déclaration de retrait (formulaire PCT/RO/136) au déposant</w:t>
      </w:r>
    </w:p>
    <w:p w14:paraId="2126371C" w14:textId="6ACF7265" w:rsidR="00833711" w:rsidRPr="007D36EA" w:rsidRDefault="00833711" w:rsidP="005237B7">
      <w:pPr>
        <w:pStyle w:val="ONUMFS"/>
        <w:rPr>
          <w:lang w:val="fr-FR"/>
        </w:rPr>
      </w:pPr>
      <w:r w:rsidRPr="007D36EA">
        <w:rPr>
          <w:lang w:val="fr-FR"/>
        </w:rPr>
        <w:t>Il est donc proposé de transmettre la copie de la déclaration de retrait (formulaire PCT/RO/136) au déposa</w:t>
      </w:r>
      <w:r w:rsidR="007D36EA" w:rsidRPr="007D36EA">
        <w:rPr>
          <w:lang w:val="fr-FR"/>
        </w:rPr>
        <w:t>nt.  Le</w:t>
      </w:r>
      <w:r w:rsidRPr="007D36EA">
        <w:rPr>
          <w:lang w:val="fr-FR"/>
        </w:rPr>
        <w:t>s offices récepteurs qui sont disposés à fournir les services correspondants peuvent choisir d</w:t>
      </w:r>
      <w:r w:rsidR="00B31A73" w:rsidRPr="007D36EA">
        <w:rPr>
          <w:lang w:val="fr-FR"/>
        </w:rPr>
        <w:t>’</w:t>
      </w:r>
      <w:r w:rsidRPr="007D36EA">
        <w:rPr>
          <w:lang w:val="fr-FR"/>
        </w:rPr>
        <w:t>envoyer le formulaire PCT/RO/136 qu</w:t>
      </w:r>
      <w:r w:rsidR="00B31A73" w:rsidRPr="007D36EA">
        <w:rPr>
          <w:lang w:val="fr-FR"/>
        </w:rPr>
        <w:t>’</w:t>
      </w:r>
      <w:r w:rsidRPr="007D36EA">
        <w:rPr>
          <w:lang w:val="fr-FR"/>
        </w:rPr>
        <w:t>ils ont établi au Bureau international et au déposant en même temps.</w:t>
      </w:r>
    </w:p>
    <w:p w14:paraId="521CF361" w14:textId="45064B1E" w:rsidR="00833711" w:rsidRPr="007D36EA" w:rsidRDefault="00833711" w:rsidP="005237B7">
      <w:pPr>
        <w:pStyle w:val="ONUMFS"/>
        <w:rPr>
          <w:lang w:val="fr-FR"/>
        </w:rPr>
      </w:pPr>
      <w:r w:rsidRPr="007D36EA">
        <w:rPr>
          <w:lang w:val="fr-FR"/>
        </w:rPr>
        <w:lastRenderedPageBreak/>
        <w:t>À cette fin, il est proposé de modifier le formulaire PCT/RO/136, l</w:t>
      </w:r>
      <w:r w:rsidR="00B31A73" w:rsidRPr="007D36EA">
        <w:rPr>
          <w:lang w:val="fr-FR"/>
        </w:rPr>
        <w:t>’</w:t>
      </w:r>
      <w:r w:rsidRPr="007D36EA">
        <w:rPr>
          <w:lang w:val="fr-FR"/>
        </w:rPr>
        <w:t>instruction 326 des instructions administratives et le chapitre XVII des Directives à l</w:t>
      </w:r>
      <w:r w:rsidR="00B31A73" w:rsidRPr="007D36EA">
        <w:rPr>
          <w:lang w:val="fr-FR"/>
        </w:rPr>
        <w:t>’</w:t>
      </w:r>
      <w:r w:rsidRPr="007D36EA">
        <w:rPr>
          <w:lang w:val="fr-FR"/>
        </w:rPr>
        <w:t>usage des offices récepteurs du PCT comme suit</w:t>
      </w:r>
      <w:r w:rsidR="00B31A73" w:rsidRPr="007D36EA">
        <w:rPr>
          <w:lang w:val="fr-FR"/>
        </w:rPr>
        <w:t> :</w:t>
      </w:r>
    </w:p>
    <w:p w14:paraId="3BB1B1A5" w14:textId="411E93FC" w:rsidR="00833711" w:rsidRPr="007D36EA" w:rsidRDefault="005237B7" w:rsidP="005237B7">
      <w:pPr>
        <w:pStyle w:val="ONUMFS"/>
        <w:numPr>
          <w:ilvl w:val="1"/>
          <w:numId w:val="6"/>
        </w:numPr>
        <w:rPr>
          <w:lang w:val="fr-FR"/>
        </w:rPr>
      </w:pPr>
      <w:proofErr w:type="gramStart"/>
      <w:r w:rsidRPr="007D36EA">
        <w:rPr>
          <w:lang w:val="fr-FR"/>
        </w:rPr>
        <w:t>r</w:t>
      </w:r>
      <w:r w:rsidR="00833711" w:rsidRPr="007D36EA">
        <w:rPr>
          <w:lang w:val="fr-FR"/>
        </w:rPr>
        <w:t>éviser</w:t>
      </w:r>
      <w:proofErr w:type="gramEnd"/>
      <w:r w:rsidR="00833711" w:rsidRPr="007D36EA">
        <w:rPr>
          <w:lang w:val="fr-FR"/>
        </w:rPr>
        <w:t xml:space="preserve"> le formulaire PCT/RO/136.  Il est proposé d</w:t>
      </w:r>
      <w:r w:rsidR="00B31A73" w:rsidRPr="007D36EA">
        <w:rPr>
          <w:lang w:val="fr-FR"/>
        </w:rPr>
        <w:t>’</w:t>
      </w:r>
      <w:r w:rsidR="00833711" w:rsidRPr="007D36EA">
        <w:rPr>
          <w:lang w:val="fr-FR"/>
        </w:rPr>
        <w:t>ajouter une case facultative à cocher par les offices récepteurs souhaitant fournir les services correspondants</w:t>
      </w:r>
      <w:r w:rsidR="00B31A73" w:rsidRPr="007D36EA">
        <w:rPr>
          <w:lang w:val="fr-FR"/>
        </w:rPr>
        <w:t> :</w:t>
      </w:r>
      <w:r w:rsidR="00833711" w:rsidRPr="007D36EA">
        <w:rPr>
          <w:lang w:val="fr-FR"/>
        </w:rPr>
        <w:t xml:space="preserve"> </w:t>
      </w:r>
      <w:r w:rsidR="00833711" w:rsidRPr="000E5676">
        <w:rPr>
          <w:lang w:val="fr-FR"/>
        </w:rPr>
        <w:t xml:space="preserve">“4. </w:t>
      </w:r>
      <w:r w:rsidR="00A52177" w:rsidRPr="000E5676">
        <w:rPr>
          <w:lang w:val="fr-FR"/>
        </w:rPr>
        <w:t xml:space="preserve"> </w:t>
      </w:r>
      <w:r w:rsidR="00833711" w:rsidRPr="000E5676">
        <w:rPr>
          <w:lang w:val="fr-FR"/>
        </w:rPr>
        <w:t>Une copie de cette déclaration est transmise au déposant” au bas du formulai</w:t>
      </w:r>
      <w:r w:rsidR="007D36EA" w:rsidRPr="000E5676">
        <w:rPr>
          <w:lang w:val="fr-FR"/>
        </w:rPr>
        <w:t>re.  Un</w:t>
      </w:r>
      <w:r w:rsidR="00833711" w:rsidRPr="000E5676">
        <w:rPr>
          <w:lang w:val="fr-FR"/>
        </w:rPr>
        <w:t>e remarque peut également être ajoutée</w:t>
      </w:r>
      <w:r w:rsidR="00B31A73" w:rsidRPr="000E5676">
        <w:rPr>
          <w:lang w:val="fr-FR"/>
        </w:rPr>
        <w:t> :</w:t>
      </w:r>
      <w:r w:rsidR="00833711" w:rsidRPr="000E5676">
        <w:rPr>
          <w:lang w:val="fr-FR"/>
        </w:rPr>
        <w:t xml:space="preserve"> “Il ne s</w:t>
      </w:r>
      <w:r w:rsidR="00B31A73" w:rsidRPr="000E5676">
        <w:rPr>
          <w:lang w:val="fr-FR"/>
        </w:rPr>
        <w:t>’</w:t>
      </w:r>
      <w:r w:rsidR="00833711" w:rsidRPr="000E5676">
        <w:rPr>
          <w:lang w:val="fr-FR"/>
        </w:rPr>
        <w:t>agit pas d</w:t>
      </w:r>
      <w:r w:rsidR="00B31A73" w:rsidRPr="000E5676">
        <w:rPr>
          <w:lang w:val="fr-FR"/>
        </w:rPr>
        <w:t>’</w:t>
      </w:r>
      <w:r w:rsidR="00833711" w:rsidRPr="000E5676">
        <w:rPr>
          <w:lang w:val="fr-FR"/>
        </w:rPr>
        <w:t>une notification définitive et la décision définitive est subordonnée à la notification faite par le Bureau international</w:t>
      </w:r>
      <w:proofErr w:type="gramStart"/>
      <w:r w:rsidR="00833711" w:rsidRPr="000E5676">
        <w:rPr>
          <w:lang w:val="fr-FR"/>
        </w:rPr>
        <w:t>”;</w:t>
      </w:r>
      <w:proofErr w:type="gramEnd"/>
    </w:p>
    <w:p w14:paraId="2AF8E5E1" w14:textId="4CAC6DF7" w:rsidR="00833711" w:rsidRPr="007D36EA" w:rsidRDefault="005237B7" w:rsidP="005237B7">
      <w:pPr>
        <w:pStyle w:val="ONUMFS"/>
        <w:numPr>
          <w:ilvl w:val="1"/>
          <w:numId w:val="6"/>
        </w:numPr>
        <w:rPr>
          <w:lang w:val="fr-FR"/>
        </w:rPr>
      </w:pPr>
      <w:proofErr w:type="gramStart"/>
      <w:r w:rsidRPr="007D36EA">
        <w:rPr>
          <w:lang w:val="fr-FR"/>
        </w:rPr>
        <w:t>r</w:t>
      </w:r>
      <w:r w:rsidR="00833711" w:rsidRPr="007D36EA">
        <w:rPr>
          <w:lang w:val="fr-FR"/>
        </w:rPr>
        <w:t>éviser</w:t>
      </w:r>
      <w:proofErr w:type="gramEnd"/>
      <w:r w:rsidR="00833711" w:rsidRPr="007D36EA">
        <w:rPr>
          <w:lang w:val="fr-FR"/>
        </w:rPr>
        <w:t xml:space="preserve"> l</w:t>
      </w:r>
      <w:r w:rsidR="00B31A73" w:rsidRPr="007D36EA">
        <w:rPr>
          <w:lang w:val="fr-FR"/>
        </w:rPr>
        <w:t>’</w:t>
      </w:r>
      <w:r w:rsidR="00833711" w:rsidRPr="007D36EA">
        <w:rPr>
          <w:lang w:val="fr-FR"/>
        </w:rPr>
        <w:t>instruction 326 des instructions administrativ</w:t>
      </w:r>
      <w:r w:rsidR="007D36EA" w:rsidRPr="007D36EA">
        <w:rPr>
          <w:lang w:val="fr-FR"/>
        </w:rPr>
        <w:t>es.  Il</w:t>
      </w:r>
      <w:r w:rsidR="00833711" w:rsidRPr="007D36EA">
        <w:rPr>
          <w:lang w:val="fr-FR"/>
        </w:rPr>
        <w:t xml:space="preserve"> est proposé d</w:t>
      </w:r>
      <w:r w:rsidR="00B31A73" w:rsidRPr="007D36EA">
        <w:rPr>
          <w:lang w:val="fr-FR"/>
        </w:rPr>
        <w:t>’</w:t>
      </w:r>
      <w:r w:rsidR="00833711" w:rsidRPr="007D36EA">
        <w:rPr>
          <w:lang w:val="fr-FR"/>
        </w:rPr>
        <w:t>ajouter un nouveau paragraphe</w:t>
      </w:r>
      <w:r w:rsidR="00B31A73" w:rsidRPr="007D36EA">
        <w:rPr>
          <w:lang w:val="fr-FR"/>
        </w:rPr>
        <w:t> :</w:t>
      </w:r>
      <w:r w:rsidR="00833711" w:rsidRPr="007D36EA">
        <w:rPr>
          <w:lang w:val="fr-FR"/>
        </w:rPr>
        <w:t xml:space="preserve"> “e) Si l</w:t>
      </w:r>
      <w:r w:rsidR="00B31A73" w:rsidRPr="007D36EA">
        <w:rPr>
          <w:lang w:val="fr-FR"/>
        </w:rPr>
        <w:t>’</w:t>
      </w:r>
      <w:r w:rsidR="00833711" w:rsidRPr="007D36EA">
        <w:rPr>
          <w:lang w:val="fr-FR"/>
        </w:rPr>
        <w:t>office récepteur le souhaite, il peut transmettre le formulaire PCT/RO/136 au déposant en cochant la case correspondante du formulaire PCT/RO/136</w:t>
      </w:r>
      <w:proofErr w:type="gramStart"/>
      <w:r w:rsidR="00833711" w:rsidRPr="007D36EA">
        <w:rPr>
          <w:lang w:val="fr-FR"/>
        </w:rPr>
        <w:t>”;</w:t>
      </w:r>
      <w:proofErr w:type="gramEnd"/>
    </w:p>
    <w:p w14:paraId="2997A189" w14:textId="30BD6225" w:rsidR="00833711" w:rsidRPr="007D36EA" w:rsidRDefault="005237B7" w:rsidP="005237B7">
      <w:pPr>
        <w:pStyle w:val="ONUMFS"/>
        <w:numPr>
          <w:ilvl w:val="1"/>
          <w:numId w:val="6"/>
        </w:numPr>
        <w:rPr>
          <w:lang w:val="fr-FR"/>
        </w:rPr>
      </w:pPr>
      <w:proofErr w:type="gramStart"/>
      <w:r w:rsidRPr="007D36EA">
        <w:rPr>
          <w:lang w:val="fr-FR"/>
        </w:rPr>
        <w:t>r</w:t>
      </w:r>
      <w:r w:rsidR="00833711" w:rsidRPr="007D36EA">
        <w:rPr>
          <w:lang w:val="fr-FR"/>
        </w:rPr>
        <w:t>éviser</w:t>
      </w:r>
      <w:proofErr w:type="gramEnd"/>
      <w:r w:rsidR="00833711" w:rsidRPr="007D36EA">
        <w:rPr>
          <w:lang w:val="fr-FR"/>
        </w:rPr>
        <w:t xml:space="preserve"> le chapitre XVII des Directives à l</w:t>
      </w:r>
      <w:r w:rsidR="00B31A73" w:rsidRPr="007D36EA">
        <w:rPr>
          <w:lang w:val="fr-FR"/>
        </w:rPr>
        <w:t>’</w:t>
      </w:r>
      <w:r w:rsidR="00833711" w:rsidRPr="007D36EA">
        <w:rPr>
          <w:lang w:val="fr-FR"/>
        </w:rPr>
        <w:t>usage des offices récepteurs du </w:t>
      </w:r>
      <w:r w:rsidR="007D36EA" w:rsidRPr="007D36EA">
        <w:rPr>
          <w:lang w:val="fr-FR"/>
        </w:rPr>
        <w:t>PCT.  Il</w:t>
      </w:r>
      <w:r w:rsidR="00833711" w:rsidRPr="007D36EA">
        <w:rPr>
          <w:lang w:val="fr-FR"/>
        </w:rPr>
        <w:t xml:space="preserve"> est proposé d</w:t>
      </w:r>
      <w:r w:rsidR="00B31A73" w:rsidRPr="007D36EA">
        <w:rPr>
          <w:lang w:val="fr-FR"/>
        </w:rPr>
        <w:t>’</w:t>
      </w:r>
      <w:r w:rsidR="00833711" w:rsidRPr="007D36EA">
        <w:rPr>
          <w:lang w:val="fr-FR"/>
        </w:rPr>
        <w:t>ajouter un nouveau paragraphe</w:t>
      </w:r>
      <w:r w:rsidR="00B31A73" w:rsidRPr="007D36EA">
        <w:rPr>
          <w:lang w:val="fr-FR"/>
        </w:rPr>
        <w:t> :</w:t>
      </w:r>
      <w:r w:rsidR="00833711" w:rsidRPr="007D36EA">
        <w:rPr>
          <w:lang w:val="fr-FR"/>
        </w:rPr>
        <w:t xml:space="preserve"> “324A.  Si l</w:t>
      </w:r>
      <w:r w:rsidR="00B31A73" w:rsidRPr="007D36EA">
        <w:rPr>
          <w:lang w:val="fr-FR"/>
        </w:rPr>
        <w:t>’</w:t>
      </w:r>
      <w:r w:rsidR="00833711" w:rsidRPr="007D36EA">
        <w:rPr>
          <w:lang w:val="fr-FR"/>
        </w:rPr>
        <w:t>office récepteur est disposé à le faire, il peut cocher la colonne correspondante du formulaire PCT/RO/136 et transmettre la copie du formulaire PCT/RO/136 au déposant”.</w:t>
      </w:r>
    </w:p>
    <w:p w14:paraId="391CD279" w14:textId="77777777" w:rsidR="00833711" w:rsidRPr="007D36EA" w:rsidRDefault="00833711" w:rsidP="00833711">
      <w:pPr>
        <w:pStyle w:val="Heading1"/>
        <w:rPr>
          <w:lang w:val="fr-FR"/>
        </w:rPr>
      </w:pPr>
      <w:r w:rsidRPr="007D36EA">
        <w:rPr>
          <w:lang w:val="fr-FR"/>
        </w:rPr>
        <w:t>Avantages et faisabilité</w:t>
      </w:r>
    </w:p>
    <w:p w14:paraId="21C32D4C" w14:textId="792B2BD4" w:rsidR="00833711" w:rsidRPr="007D36EA" w:rsidRDefault="00833711" w:rsidP="005237B7">
      <w:pPr>
        <w:pStyle w:val="ONUMFS"/>
        <w:rPr>
          <w:lang w:val="fr-FR"/>
        </w:rPr>
      </w:pPr>
      <w:r w:rsidRPr="007D36EA">
        <w:rPr>
          <w:lang w:val="fr-FR"/>
        </w:rPr>
        <w:t>Au regard de la nécessité, la proposition découle d</w:t>
      </w:r>
      <w:r w:rsidR="00B31A73" w:rsidRPr="007D36EA">
        <w:rPr>
          <w:lang w:val="fr-FR"/>
        </w:rPr>
        <w:t>’</w:t>
      </w:r>
      <w:r w:rsidRPr="007D36EA">
        <w:rPr>
          <w:lang w:val="fr-FR"/>
        </w:rPr>
        <w:t>une demande formulée par les utilisateurs</w:t>
      </w:r>
      <w:r w:rsidR="00B31A73" w:rsidRPr="007D36EA">
        <w:rPr>
          <w:lang w:val="fr-FR"/>
        </w:rPr>
        <w:t xml:space="preserve"> du PCT</w:t>
      </w:r>
      <w:r w:rsidRPr="007D36EA">
        <w:rPr>
          <w:lang w:val="fr-FR"/>
        </w:rPr>
        <w:t>, ce qui peut permettre aux déposants d</w:t>
      </w:r>
      <w:r w:rsidR="00B31A73" w:rsidRPr="007D36EA">
        <w:rPr>
          <w:lang w:val="fr-FR"/>
        </w:rPr>
        <w:t>’</w:t>
      </w:r>
      <w:r w:rsidRPr="007D36EA">
        <w:rPr>
          <w:lang w:val="fr-FR"/>
        </w:rPr>
        <w:t>être informés en temps utile du traitement du retra</w:t>
      </w:r>
      <w:r w:rsidR="007D36EA" w:rsidRPr="007D36EA">
        <w:rPr>
          <w:lang w:val="fr-FR"/>
        </w:rPr>
        <w:t>it.  Ce</w:t>
      </w:r>
      <w:r w:rsidRPr="007D36EA">
        <w:rPr>
          <w:lang w:val="fr-FR"/>
        </w:rPr>
        <w:t>la accroît la transparence du traitement des demandes selon</w:t>
      </w:r>
      <w:r w:rsidR="00B31A73" w:rsidRPr="007D36EA">
        <w:rPr>
          <w:lang w:val="fr-FR"/>
        </w:rPr>
        <w:t xml:space="preserve"> le PCT</w:t>
      </w:r>
      <w:r w:rsidRPr="007D36EA">
        <w:rPr>
          <w:lang w:val="fr-FR"/>
        </w:rPr>
        <w:t xml:space="preserve"> et est conforme à l</w:t>
      </w:r>
      <w:r w:rsidR="00B31A73" w:rsidRPr="007D36EA">
        <w:rPr>
          <w:lang w:val="fr-FR"/>
        </w:rPr>
        <w:t>’</w:t>
      </w:r>
      <w:r w:rsidRPr="007D36EA">
        <w:rPr>
          <w:lang w:val="fr-FR"/>
        </w:rPr>
        <w:t>idée de fournir aux utilisateurs des services de haute qualité plus pratiques et plus efficaces dans le cadre du système</w:t>
      </w:r>
      <w:r w:rsidR="00B31A73" w:rsidRPr="007D36EA">
        <w:rPr>
          <w:lang w:val="fr-FR"/>
        </w:rPr>
        <w:t xml:space="preserve"> du PCT</w:t>
      </w:r>
      <w:r w:rsidRPr="007D36EA">
        <w:rPr>
          <w:lang w:val="fr-FR"/>
        </w:rPr>
        <w:t>.</w:t>
      </w:r>
    </w:p>
    <w:p w14:paraId="57AD7F12" w14:textId="4E26C628" w:rsidR="00833711" w:rsidRPr="007D36EA" w:rsidRDefault="00833711" w:rsidP="005237B7">
      <w:pPr>
        <w:pStyle w:val="ONUMFS"/>
        <w:rPr>
          <w:lang w:val="fr-FR"/>
        </w:rPr>
      </w:pPr>
      <w:r w:rsidRPr="007D36EA">
        <w:rPr>
          <w:lang w:val="fr-FR"/>
        </w:rPr>
        <w:t>Du point de vue de la faisabilité, la transmission du formulaire PCT/RO/136 au Bureau international et au déposant en même temps ne modifie en rien le travail du Bureau international en ce qui concerne la transmission du formulaire PCT/IB/307, et elle ne concerne que les offices récepteurs qui remplissent les conditions requises et souhaitent le fai</w:t>
      </w:r>
      <w:r w:rsidR="007D36EA" w:rsidRPr="007D36EA">
        <w:rPr>
          <w:lang w:val="fr-FR"/>
        </w:rPr>
        <w:t>re.  El</w:t>
      </w:r>
      <w:r w:rsidRPr="007D36EA">
        <w:rPr>
          <w:lang w:val="fr-FR"/>
        </w:rPr>
        <w:t>le n</w:t>
      </w:r>
      <w:r w:rsidR="00B31A73" w:rsidRPr="007D36EA">
        <w:rPr>
          <w:lang w:val="fr-FR"/>
        </w:rPr>
        <w:t>’</w:t>
      </w:r>
      <w:r w:rsidRPr="007D36EA">
        <w:rPr>
          <w:lang w:val="fr-FR"/>
        </w:rPr>
        <w:t>est pas obligatoire et n</w:t>
      </w:r>
      <w:r w:rsidR="00B31A73" w:rsidRPr="007D36EA">
        <w:rPr>
          <w:lang w:val="fr-FR"/>
        </w:rPr>
        <w:t>’</w:t>
      </w:r>
      <w:r w:rsidRPr="007D36EA">
        <w:rPr>
          <w:lang w:val="fr-FR"/>
        </w:rPr>
        <w:t>a donc pas d</w:t>
      </w:r>
      <w:r w:rsidR="00B31A73" w:rsidRPr="007D36EA">
        <w:rPr>
          <w:lang w:val="fr-FR"/>
        </w:rPr>
        <w:t>’</w:t>
      </w:r>
      <w:r w:rsidRPr="007D36EA">
        <w:rPr>
          <w:lang w:val="fr-FR"/>
        </w:rPr>
        <w:t>incidence sur d</w:t>
      </w:r>
      <w:r w:rsidR="00B31A73" w:rsidRPr="007D36EA">
        <w:rPr>
          <w:lang w:val="fr-FR"/>
        </w:rPr>
        <w:t>’</w:t>
      </w:r>
      <w:r w:rsidRPr="007D36EA">
        <w:rPr>
          <w:lang w:val="fr-FR"/>
        </w:rPr>
        <w:t>autres aspects du système</w:t>
      </w:r>
      <w:r w:rsidR="00B31A73" w:rsidRPr="007D36EA">
        <w:rPr>
          <w:lang w:val="fr-FR"/>
        </w:rPr>
        <w:t xml:space="preserve"> du PCT</w:t>
      </w:r>
      <w:r w:rsidRPr="007D36EA">
        <w:rPr>
          <w:lang w:val="fr-FR"/>
        </w:rPr>
        <w:t>.</w:t>
      </w:r>
    </w:p>
    <w:p w14:paraId="7C15851D" w14:textId="44B12A72" w:rsidR="00B31A73" w:rsidRPr="007D36EA" w:rsidRDefault="00833711" w:rsidP="005237B7">
      <w:pPr>
        <w:pStyle w:val="ONUMFS"/>
        <w:ind w:left="5533"/>
        <w:rPr>
          <w:i/>
          <w:lang w:val="fr-FR"/>
        </w:rPr>
      </w:pPr>
      <w:r w:rsidRPr="007D36EA">
        <w:rPr>
          <w:i/>
          <w:lang w:val="fr-FR"/>
        </w:rPr>
        <w:t>Le groupe de travail est invité à examiner</w:t>
      </w:r>
      <w:r w:rsidR="00B31A73" w:rsidRPr="007D36EA">
        <w:rPr>
          <w:i/>
          <w:lang w:val="fr-FR"/>
        </w:rPr>
        <w:t> :</w:t>
      </w:r>
    </w:p>
    <w:p w14:paraId="6E2E8647" w14:textId="7184543A" w:rsidR="00833711" w:rsidRPr="00A10533" w:rsidRDefault="00A10533" w:rsidP="00A10533">
      <w:pPr>
        <w:pStyle w:val="ONUMFS"/>
        <w:numPr>
          <w:ilvl w:val="2"/>
          <w:numId w:val="7"/>
        </w:numPr>
        <w:tabs>
          <w:tab w:val="left" w:pos="6101"/>
        </w:tabs>
        <w:ind w:left="5533"/>
        <w:rPr>
          <w:i/>
          <w:lang w:val="fr-FR"/>
        </w:rPr>
      </w:pPr>
      <w:proofErr w:type="gramStart"/>
      <w:r>
        <w:rPr>
          <w:i/>
          <w:lang w:val="fr-FR"/>
        </w:rPr>
        <w:t>l</w:t>
      </w:r>
      <w:r w:rsidR="00833711" w:rsidRPr="00A10533">
        <w:rPr>
          <w:i/>
          <w:lang w:val="fr-FR"/>
        </w:rPr>
        <w:t>es</w:t>
      </w:r>
      <w:proofErr w:type="gramEnd"/>
      <w:r w:rsidR="00833711" w:rsidRPr="00A10533">
        <w:rPr>
          <w:i/>
          <w:lang w:val="fr-FR"/>
        </w:rPr>
        <w:t xml:space="preserve"> propositions de modification du formulaire PCT/RO/136 figurant à l</w:t>
      </w:r>
      <w:r w:rsidR="00B31A73" w:rsidRPr="00A10533">
        <w:rPr>
          <w:i/>
          <w:lang w:val="fr-FR"/>
        </w:rPr>
        <w:t>’</w:t>
      </w:r>
      <w:r w:rsidR="00833711" w:rsidRPr="00A10533">
        <w:rPr>
          <w:i/>
          <w:lang w:val="fr-FR"/>
        </w:rPr>
        <w:t>annexe I du présent document;</w:t>
      </w:r>
    </w:p>
    <w:p w14:paraId="09E24496" w14:textId="22F56B68" w:rsidR="00833711" w:rsidRPr="00A10533" w:rsidRDefault="00833711" w:rsidP="00A10533">
      <w:pPr>
        <w:pStyle w:val="ONUMFS"/>
        <w:numPr>
          <w:ilvl w:val="1"/>
          <w:numId w:val="7"/>
        </w:numPr>
        <w:tabs>
          <w:tab w:val="left" w:pos="6101"/>
        </w:tabs>
        <w:ind w:left="5537" w:hanging="4"/>
        <w:rPr>
          <w:i/>
          <w:lang w:val="fr-FR"/>
        </w:rPr>
      </w:pPr>
      <w:proofErr w:type="gramStart"/>
      <w:r w:rsidRPr="00A10533">
        <w:rPr>
          <w:i/>
          <w:lang w:val="fr-FR"/>
        </w:rPr>
        <w:t>les</w:t>
      </w:r>
      <w:proofErr w:type="gramEnd"/>
      <w:r w:rsidRPr="00A10533">
        <w:rPr>
          <w:i/>
          <w:lang w:val="fr-FR"/>
        </w:rPr>
        <w:t xml:space="preserve"> propositions de modification des instructions administratives figurant à l</w:t>
      </w:r>
      <w:r w:rsidR="00B31A73" w:rsidRPr="00A10533">
        <w:rPr>
          <w:i/>
          <w:lang w:val="fr-FR"/>
        </w:rPr>
        <w:t>’</w:t>
      </w:r>
      <w:r w:rsidRPr="00A10533">
        <w:rPr>
          <w:i/>
          <w:lang w:val="fr-FR"/>
        </w:rPr>
        <w:t xml:space="preserve">annexe II du présent document; </w:t>
      </w:r>
      <w:r w:rsidR="00A52177" w:rsidRPr="00A10533">
        <w:rPr>
          <w:i/>
          <w:lang w:val="fr-FR"/>
        </w:rPr>
        <w:t xml:space="preserve"> </w:t>
      </w:r>
      <w:r w:rsidRPr="00A10533">
        <w:rPr>
          <w:i/>
          <w:lang w:val="fr-FR"/>
        </w:rPr>
        <w:t>et</w:t>
      </w:r>
    </w:p>
    <w:p w14:paraId="486DEC75" w14:textId="4E8D6283" w:rsidR="00833711" w:rsidRPr="00A10533" w:rsidRDefault="00833711" w:rsidP="00A10533">
      <w:pPr>
        <w:pStyle w:val="ONUMFS"/>
        <w:numPr>
          <w:ilvl w:val="1"/>
          <w:numId w:val="7"/>
        </w:numPr>
        <w:tabs>
          <w:tab w:val="left" w:pos="6101"/>
        </w:tabs>
        <w:ind w:left="5537" w:hanging="4"/>
        <w:rPr>
          <w:i/>
          <w:lang w:val="fr-FR"/>
        </w:rPr>
      </w:pPr>
      <w:proofErr w:type="gramStart"/>
      <w:r w:rsidRPr="00A10533">
        <w:rPr>
          <w:i/>
          <w:lang w:val="fr-FR"/>
        </w:rPr>
        <w:t>les</w:t>
      </w:r>
      <w:proofErr w:type="gramEnd"/>
      <w:r w:rsidRPr="00A10533">
        <w:rPr>
          <w:i/>
          <w:lang w:val="fr-FR"/>
        </w:rPr>
        <w:t xml:space="preserve"> propositions de modification des Directives à l</w:t>
      </w:r>
      <w:r w:rsidR="00B31A73" w:rsidRPr="00A10533">
        <w:rPr>
          <w:i/>
          <w:lang w:val="fr-FR"/>
        </w:rPr>
        <w:t>’</w:t>
      </w:r>
      <w:r w:rsidRPr="00A10533">
        <w:rPr>
          <w:i/>
          <w:lang w:val="fr-FR"/>
        </w:rPr>
        <w:t>usage des offices récepteurs figurant à l</w:t>
      </w:r>
      <w:r w:rsidR="00B31A73" w:rsidRPr="00A10533">
        <w:rPr>
          <w:i/>
          <w:lang w:val="fr-FR"/>
        </w:rPr>
        <w:t>’</w:t>
      </w:r>
      <w:r w:rsidRPr="00A10533">
        <w:rPr>
          <w:i/>
          <w:lang w:val="fr-FR"/>
        </w:rPr>
        <w:t>annexe III du présent document.</w:t>
      </w:r>
    </w:p>
    <w:p w14:paraId="3C1526A9" w14:textId="41EF616A" w:rsidR="00833711" w:rsidRPr="007D36EA" w:rsidRDefault="00833711" w:rsidP="005237B7">
      <w:pPr>
        <w:pStyle w:val="Endofdocument-Annex"/>
        <w:spacing w:before="720"/>
        <w:rPr>
          <w:lang w:val="fr-FR"/>
        </w:rPr>
        <w:sectPr w:rsidR="00833711" w:rsidRPr="007D36EA" w:rsidSect="0083371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7D36EA">
        <w:rPr>
          <w:lang w:val="fr-FR"/>
        </w:rPr>
        <w:t>[Les annexes suivent]</w:t>
      </w:r>
    </w:p>
    <w:p w14:paraId="1278F94A" w14:textId="3C8EEC78" w:rsidR="00833711" w:rsidRPr="007D36EA" w:rsidRDefault="00087157" w:rsidP="00C86F87">
      <w:pPr>
        <w:pStyle w:val="Endofdocument-Annex"/>
        <w:ind w:left="0"/>
        <w:jc w:val="center"/>
        <w:rPr>
          <w:lang w:val="fr-FR"/>
        </w:rPr>
      </w:pPr>
      <w:r>
        <w:rPr>
          <w:noProof/>
        </w:rPr>
        <w:drawing>
          <wp:inline distT="0" distB="0" distL="0" distR="0" wp14:anchorId="1F237EB5" wp14:editId="19258C79">
            <wp:extent cx="5762625" cy="8147754"/>
            <wp:effectExtent l="0" t="0" r="0" b="5715"/>
            <wp:docPr id="636104217" name="Picture 1" descr="a présente figure indique les modifications qu’il est proposé d’apporter au formulaire PCT/RO/136.  Il est proposé d’ajouter une case 4 que l’office récepteur vérifie lorsqu’il envoie une copie de la notification au dépo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04217" name="Picture 1" descr="a présente figure indique les modifications qu’il est proposé d’apporter au formulaire PCT/RO/136.  Il est proposé d’ajouter une case 4 que l’office récepteur vérifie lorsqu’il envoie une copie de la notification au déposa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5719" cy="8152129"/>
                    </a:xfrm>
                    <a:prstGeom prst="rect">
                      <a:avLst/>
                    </a:prstGeom>
                    <a:noFill/>
                    <a:ln>
                      <a:noFill/>
                    </a:ln>
                  </pic:spPr>
                </pic:pic>
              </a:graphicData>
            </a:graphic>
          </wp:inline>
        </w:drawing>
      </w:r>
    </w:p>
    <w:p w14:paraId="12EA59D4" w14:textId="72F2A0DD" w:rsidR="00833711" w:rsidRPr="007D36EA" w:rsidRDefault="00833711" w:rsidP="005237B7">
      <w:pPr>
        <w:pStyle w:val="Endofdocument-Annex"/>
        <w:spacing w:before="720"/>
        <w:rPr>
          <w:lang w:val="fr-FR"/>
        </w:rPr>
        <w:sectPr w:rsidR="00833711" w:rsidRPr="007D36EA" w:rsidSect="00833711">
          <w:headerReference w:type="first" r:id="rId16"/>
          <w:endnotePr>
            <w:numFmt w:val="decimal"/>
          </w:endnotePr>
          <w:pgSz w:w="11907" w:h="16840" w:code="9"/>
          <w:pgMar w:top="567" w:right="1134" w:bottom="1418" w:left="1418" w:header="510" w:footer="1021" w:gutter="0"/>
          <w:cols w:space="720"/>
          <w:titlePg/>
          <w:docGrid w:linePitch="299"/>
        </w:sectPr>
      </w:pPr>
      <w:r w:rsidRPr="007D36EA">
        <w:rPr>
          <w:lang w:val="fr-FR"/>
        </w:rPr>
        <w:t>[L</w:t>
      </w:r>
      <w:r w:rsidR="00B31A73" w:rsidRPr="007D36EA">
        <w:rPr>
          <w:lang w:val="fr-FR"/>
        </w:rPr>
        <w:t>’</w:t>
      </w:r>
      <w:r w:rsidRPr="007D36EA">
        <w:rPr>
          <w:lang w:val="fr-FR"/>
        </w:rPr>
        <w:t>annexe II suit]</w:t>
      </w:r>
    </w:p>
    <w:p w14:paraId="5B58AF16" w14:textId="426BC5F1" w:rsidR="00833711" w:rsidRPr="007D36EA" w:rsidRDefault="00833711" w:rsidP="005237B7">
      <w:pPr>
        <w:pStyle w:val="Endofdocument-Annex"/>
        <w:spacing w:after="240"/>
        <w:ind w:left="0"/>
        <w:jc w:val="center"/>
        <w:rPr>
          <w:caps/>
          <w:lang w:val="fr-FR"/>
        </w:rPr>
      </w:pPr>
      <w:r w:rsidRPr="007D36EA">
        <w:rPr>
          <w:caps/>
          <w:lang w:val="fr-FR"/>
        </w:rPr>
        <w:t>P</w:t>
      </w:r>
      <w:r w:rsidR="005237B7" w:rsidRPr="007D36EA">
        <w:rPr>
          <w:caps/>
          <w:lang w:val="fr-FR"/>
        </w:rPr>
        <w:t xml:space="preserve">ropositions de modification des instructions administratives </w:t>
      </w:r>
      <w:r w:rsidR="005237B7" w:rsidRPr="007D36EA">
        <w:rPr>
          <w:caps/>
          <w:lang w:val="fr-FR"/>
        </w:rPr>
        <w:br/>
        <w:t>du traité de coopération en matière de brevets</w:t>
      </w:r>
    </w:p>
    <w:p w14:paraId="1BD4CD17" w14:textId="77777777" w:rsidR="00833711" w:rsidRPr="007D36EA" w:rsidRDefault="00833711" w:rsidP="005237B7">
      <w:pPr>
        <w:pStyle w:val="LegTitle"/>
        <w:spacing w:after="240"/>
        <w:rPr>
          <w:rFonts w:cs="Arial"/>
          <w:szCs w:val="22"/>
        </w:rPr>
      </w:pPr>
      <w:r w:rsidRPr="007D36EA">
        <w:t xml:space="preserve">Instruction 326 </w:t>
      </w:r>
      <w:r w:rsidRPr="007D36EA">
        <w:br/>
        <w:t>Retrait effectué par le déposant selon les règles 90</w:t>
      </w:r>
      <w:r w:rsidRPr="007D36EA">
        <w:rPr>
          <w:i/>
        </w:rPr>
        <w:t>bis</w:t>
      </w:r>
      <w:r w:rsidRPr="007D36EA">
        <w:t>.1, 90</w:t>
      </w:r>
      <w:r w:rsidRPr="007D36EA">
        <w:rPr>
          <w:i/>
        </w:rPr>
        <w:t>bis</w:t>
      </w:r>
      <w:r w:rsidRPr="007D36EA">
        <w:t>.2 ou 90</w:t>
      </w:r>
      <w:r w:rsidRPr="007D36EA">
        <w:rPr>
          <w:i/>
        </w:rPr>
        <w:t>bis</w:t>
      </w:r>
      <w:r w:rsidRPr="007D36EA">
        <w:t>.3</w:t>
      </w:r>
    </w:p>
    <w:p w14:paraId="428AEE49" w14:textId="6634C565" w:rsidR="00833711" w:rsidRPr="007D36EA" w:rsidRDefault="00833711" w:rsidP="005237B7">
      <w:pPr>
        <w:pStyle w:val="Lega"/>
        <w:tabs>
          <w:tab w:val="clear" w:pos="426"/>
        </w:tabs>
        <w:ind w:firstLine="567"/>
        <w:rPr>
          <w:rFonts w:cs="Arial"/>
          <w:szCs w:val="22"/>
        </w:rPr>
      </w:pPr>
      <w:r w:rsidRPr="007D36EA">
        <w:t>a) à d) [Sans changement]</w:t>
      </w:r>
    </w:p>
    <w:p w14:paraId="66E44680" w14:textId="607296CD" w:rsidR="00833711" w:rsidRPr="007D36EA" w:rsidRDefault="00833711" w:rsidP="005237B7">
      <w:pPr>
        <w:pStyle w:val="Lega"/>
        <w:tabs>
          <w:tab w:val="clear" w:pos="426"/>
        </w:tabs>
        <w:ind w:firstLine="567"/>
        <w:jc w:val="left"/>
        <w:rPr>
          <w:rFonts w:cs="Arial"/>
          <w:color w:val="0000FF"/>
          <w:szCs w:val="22"/>
          <w:u w:val="single"/>
        </w:rPr>
      </w:pPr>
      <w:r w:rsidRPr="007D36EA">
        <w:rPr>
          <w:color w:val="0000FF"/>
          <w:u w:val="single"/>
        </w:rPr>
        <w:t>e) Si l</w:t>
      </w:r>
      <w:r w:rsidR="00B31A73" w:rsidRPr="007D36EA">
        <w:rPr>
          <w:color w:val="0000FF"/>
          <w:u w:val="single"/>
        </w:rPr>
        <w:t>’</w:t>
      </w:r>
      <w:r w:rsidRPr="007D36EA">
        <w:rPr>
          <w:color w:val="0000FF"/>
          <w:u w:val="single"/>
        </w:rPr>
        <w:t>office récepteur le souhaite, il peut transmettre le formulaire PCT/RO/136 au déposant en cochant la case correspondante du formulaire PCT/RO/</w:t>
      </w:r>
      <w:proofErr w:type="gramStart"/>
      <w:r w:rsidRPr="007D36EA">
        <w:rPr>
          <w:color w:val="0000FF"/>
          <w:u w:val="single"/>
        </w:rPr>
        <w:t>136;</w:t>
      </w:r>
      <w:proofErr w:type="gramEnd"/>
    </w:p>
    <w:p w14:paraId="15300E07" w14:textId="3CF2BA08" w:rsidR="00833711" w:rsidRPr="007D36EA" w:rsidRDefault="00833711" w:rsidP="005237B7">
      <w:pPr>
        <w:pStyle w:val="Endofdocument-Annex"/>
        <w:spacing w:before="720"/>
        <w:rPr>
          <w:lang w:val="fr-FR"/>
        </w:rPr>
        <w:sectPr w:rsidR="00833711" w:rsidRPr="007D36EA" w:rsidSect="00833711">
          <w:headerReference w:type="first" r:id="rId17"/>
          <w:endnotePr>
            <w:numFmt w:val="decimal"/>
          </w:endnotePr>
          <w:pgSz w:w="11907" w:h="16840" w:code="9"/>
          <w:pgMar w:top="567" w:right="1134" w:bottom="1418" w:left="1418" w:header="510" w:footer="1021" w:gutter="0"/>
          <w:cols w:space="720"/>
          <w:titlePg/>
          <w:docGrid w:linePitch="299"/>
        </w:sectPr>
      </w:pPr>
      <w:r w:rsidRPr="007D36EA">
        <w:rPr>
          <w:lang w:val="fr-FR"/>
        </w:rPr>
        <w:t>[L</w:t>
      </w:r>
      <w:r w:rsidR="00B31A73" w:rsidRPr="007D36EA">
        <w:rPr>
          <w:lang w:val="fr-FR"/>
        </w:rPr>
        <w:t>’</w:t>
      </w:r>
      <w:r w:rsidRPr="007D36EA">
        <w:rPr>
          <w:lang w:val="fr-FR"/>
        </w:rPr>
        <w:t>annexe III suit]</w:t>
      </w:r>
    </w:p>
    <w:p w14:paraId="09388882" w14:textId="2D2A7A8C" w:rsidR="00833711" w:rsidRPr="00A10533" w:rsidRDefault="00833711" w:rsidP="00833711">
      <w:pPr>
        <w:pStyle w:val="Endofdocument-Annex"/>
        <w:ind w:left="0"/>
        <w:jc w:val="center"/>
        <w:rPr>
          <w:caps/>
          <w:lang w:val="fr-FR"/>
        </w:rPr>
      </w:pPr>
      <w:r w:rsidRPr="00A10533">
        <w:rPr>
          <w:caps/>
          <w:lang w:val="fr-FR"/>
        </w:rPr>
        <w:t>P</w:t>
      </w:r>
      <w:r w:rsidR="00A10533" w:rsidRPr="00A10533">
        <w:rPr>
          <w:caps/>
          <w:lang w:val="fr-FR"/>
        </w:rPr>
        <w:t xml:space="preserve">ropositions de modification des directives </w:t>
      </w:r>
      <w:r w:rsidR="00A10533" w:rsidRPr="00A10533">
        <w:rPr>
          <w:caps/>
          <w:lang w:val="fr-FR"/>
        </w:rPr>
        <w:br/>
        <w:t>à l’usage des offices récepteurs du </w:t>
      </w:r>
      <w:r w:rsidR="00B31A73" w:rsidRPr="00A10533">
        <w:rPr>
          <w:caps/>
          <w:lang w:val="fr-FR"/>
        </w:rPr>
        <w:t>PCT</w:t>
      </w:r>
    </w:p>
    <w:p w14:paraId="58D99DE5" w14:textId="070A4981" w:rsidR="00833711" w:rsidRPr="00A10533" w:rsidRDefault="00833711" w:rsidP="00833711">
      <w:pPr>
        <w:pStyle w:val="RTitleMain"/>
        <w:rPr>
          <w:rFonts w:ascii="Arial" w:hAnsi="Arial" w:cs="Arial"/>
          <w:caps/>
          <w:szCs w:val="22"/>
        </w:rPr>
      </w:pPr>
      <w:r w:rsidRPr="00A10533">
        <w:rPr>
          <w:rFonts w:ascii="Arial" w:hAnsi="Arial"/>
          <w:caps/>
        </w:rPr>
        <w:t>C</w:t>
      </w:r>
      <w:r w:rsidR="00A10533" w:rsidRPr="00A10533">
        <w:rPr>
          <w:rFonts w:ascii="Arial" w:hAnsi="Arial"/>
          <w:caps/>
        </w:rPr>
        <w:t>hapitre XVII</w:t>
      </w:r>
      <w:r w:rsidR="00A10533" w:rsidRPr="00A10533">
        <w:rPr>
          <w:rFonts w:ascii="Arial" w:hAnsi="Arial"/>
          <w:caps/>
          <w:vanish/>
        </w:rPr>
        <w:t xml:space="preserve"> – </w:t>
      </w:r>
      <w:r w:rsidR="00A10533" w:rsidRPr="00A10533">
        <w:rPr>
          <w:rFonts w:ascii="Arial" w:hAnsi="Arial"/>
          <w:caps/>
        </w:rPr>
        <w:br/>
        <w:t>retrait de la demande internationale, d’une désignation ou d’une revendication de priorité</w:t>
      </w:r>
    </w:p>
    <w:p w14:paraId="2F8B3CA6" w14:textId="7F074874" w:rsidR="00833711" w:rsidRPr="007D36EA" w:rsidRDefault="00833711" w:rsidP="00833711">
      <w:pPr>
        <w:pStyle w:val="RSubHeading"/>
        <w:keepNext/>
        <w:jc w:val="both"/>
        <w:rPr>
          <w:rFonts w:ascii="Arial" w:hAnsi="Arial" w:cs="Arial"/>
          <w:bCs/>
          <w:szCs w:val="22"/>
        </w:rPr>
      </w:pPr>
      <w:r w:rsidRPr="007D36EA">
        <w:rPr>
          <w:rFonts w:ascii="Arial" w:hAnsi="Arial"/>
        </w:rPr>
        <w:t>Réception de la déclaration de retrait de la demande internationale, d</w:t>
      </w:r>
      <w:r w:rsidR="00B31A73" w:rsidRPr="007D36EA">
        <w:rPr>
          <w:rFonts w:ascii="Arial" w:hAnsi="Arial"/>
        </w:rPr>
        <w:t>’</w:t>
      </w:r>
      <w:r w:rsidRPr="007D36EA">
        <w:rPr>
          <w:rFonts w:ascii="Arial" w:hAnsi="Arial"/>
        </w:rPr>
        <w:t>une désignation ou d</w:t>
      </w:r>
      <w:r w:rsidR="00B31A73" w:rsidRPr="007D36EA">
        <w:rPr>
          <w:rFonts w:ascii="Arial" w:hAnsi="Arial"/>
        </w:rPr>
        <w:t>’</w:t>
      </w:r>
      <w:r w:rsidRPr="007D36EA">
        <w:rPr>
          <w:rFonts w:ascii="Arial" w:hAnsi="Arial"/>
        </w:rPr>
        <w:t>une revendication de priorité en vertu de la règle 90</w:t>
      </w:r>
      <w:r w:rsidRPr="007D36EA">
        <w:rPr>
          <w:rFonts w:ascii="Arial" w:hAnsi="Arial"/>
          <w:i/>
        </w:rPr>
        <w:t>bis</w:t>
      </w:r>
      <w:r w:rsidRPr="007D36EA">
        <w:rPr>
          <w:rFonts w:ascii="Arial" w:hAnsi="Arial"/>
        </w:rPr>
        <w:t>.1, 90</w:t>
      </w:r>
      <w:r w:rsidRPr="007D36EA">
        <w:rPr>
          <w:rFonts w:ascii="Arial" w:hAnsi="Arial"/>
          <w:i/>
        </w:rPr>
        <w:t>bis</w:t>
      </w:r>
      <w:r w:rsidRPr="007D36EA">
        <w:rPr>
          <w:rFonts w:ascii="Arial" w:hAnsi="Arial"/>
        </w:rPr>
        <w:t>.2 ou 90</w:t>
      </w:r>
      <w:r w:rsidRPr="007D36EA">
        <w:rPr>
          <w:rFonts w:ascii="Arial" w:hAnsi="Arial"/>
          <w:i/>
        </w:rPr>
        <w:t>bis</w:t>
      </w:r>
      <w:r w:rsidRPr="007D36EA">
        <w:rPr>
          <w:rFonts w:ascii="Arial" w:hAnsi="Arial"/>
        </w:rPr>
        <w:t>.3</w:t>
      </w:r>
    </w:p>
    <w:p w14:paraId="0BA279B6" w14:textId="1AF4007E" w:rsidR="00833711" w:rsidRPr="007D36EA" w:rsidRDefault="00833711" w:rsidP="005237B7">
      <w:pPr>
        <w:pStyle w:val="RPara"/>
        <w:tabs>
          <w:tab w:val="clear" w:pos="709"/>
          <w:tab w:val="clear" w:pos="851"/>
          <w:tab w:val="left" w:pos="1134"/>
        </w:tabs>
        <w:spacing w:after="120"/>
        <w:rPr>
          <w:rFonts w:ascii="Arial" w:hAnsi="Arial" w:cs="Arial"/>
          <w:i/>
          <w:iCs/>
          <w:szCs w:val="22"/>
        </w:rPr>
      </w:pPr>
      <w:r w:rsidRPr="007D36EA">
        <w:rPr>
          <w:rFonts w:ascii="Arial" w:hAnsi="Arial"/>
        </w:rPr>
        <w:t>314 à 321.</w:t>
      </w:r>
      <w:r w:rsidR="005237B7" w:rsidRPr="007D36EA">
        <w:rPr>
          <w:rFonts w:ascii="Arial" w:hAnsi="Arial"/>
        </w:rPr>
        <w:tab/>
      </w:r>
      <w:r w:rsidRPr="007D36EA">
        <w:rPr>
          <w:rFonts w:ascii="Arial" w:hAnsi="Arial"/>
          <w:i/>
        </w:rPr>
        <w:t>[Sans changement]</w:t>
      </w:r>
    </w:p>
    <w:p w14:paraId="7323E094" w14:textId="77777777" w:rsidR="00833711" w:rsidRPr="007D36EA" w:rsidRDefault="00833711" w:rsidP="00833711">
      <w:pPr>
        <w:pStyle w:val="RSubHeading"/>
        <w:keepNext/>
        <w:jc w:val="both"/>
        <w:rPr>
          <w:rFonts w:ascii="Arial" w:hAnsi="Arial" w:cs="Arial"/>
          <w:bCs/>
          <w:szCs w:val="22"/>
        </w:rPr>
      </w:pPr>
      <w:r w:rsidRPr="007D36EA">
        <w:rPr>
          <w:rFonts w:ascii="Arial" w:hAnsi="Arial"/>
        </w:rPr>
        <w:t>Transmission de la déclaration de retrait</w:t>
      </w:r>
    </w:p>
    <w:p w14:paraId="426B8713" w14:textId="16A01666" w:rsidR="00833711" w:rsidRPr="007D36EA" w:rsidRDefault="00833711" w:rsidP="005237B7">
      <w:pPr>
        <w:pStyle w:val="RPara"/>
        <w:tabs>
          <w:tab w:val="clear" w:pos="709"/>
          <w:tab w:val="clear" w:pos="851"/>
          <w:tab w:val="left" w:pos="1134"/>
        </w:tabs>
        <w:rPr>
          <w:rFonts w:ascii="Arial" w:hAnsi="Arial" w:cs="Arial"/>
          <w:szCs w:val="22"/>
        </w:rPr>
      </w:pPr>
      <w:r w:rsidRPr="007D36EA">
        <w:rPr>
          <w:rFonts w:ascii="Arial" w:hAnsi="Arial"/>
        </w:rPr>
        <w:t>322 à 324.</w:t>
      </w:r>
      <w:r w:rsidR="005237B7" w:rsidRPr="007D36EA">
        <w:rPr>
          <w:rFonts w:ascii="Arial" w:hAnsi="Arial"/>
        </w:rPr>
        <w:tab/>
      </w:r>
      <w:r w:rsidRPr="007D36EA">
        <w:rPr>
          <w:rFonts w:ascii="Arial" w:hAnsi="Arial"/>
          <w:i/>
        </w:rPr>
        <w:t>[Sans changement]</w:t>
      </w:r>
    </w:p>
    <w:p w14:paraId="3229C0BD" w14:textId="3AFB85C8" w:rsidR="00833711" w:rsidRPr="007D36EA" w:rsidRDefault="00833711" w:rsidP="005237B7">
      <w:pPr>
        <w:pStyle w:val="RPara"/>
        <w:tabs>
          <w:tab w:val="clear" w:pos="709"/>
          <w:tab w:val="clear" w:pos="851"/>
          <w:tab w:val="left" w:pos="1134"/>
          <w:tab w:val="left" w:pos="1701"/>
        </w:tabs>
        <w:jc w:val="left"/>
        <w:rPr>
          <w:rFonts w:ascii="Arial" w:hAnsi="Arial" w:cs="Arial"/>
          <w:color w:val="0000FF"/>
          <w:szCs w:val="22"/>
          <w:u w:val="single"/>
        </w:rPr>
      </w:pPr>
      <w:r w:rsidRPr="007D36EA">
        <w:rPr>
          <w:rFonts w:ascii="Arial" w:hAnsi="Arial"/>
          <w:color w:val="0000FF"/>
          <w:u w:val="single"/>
        </w:rPr>
        <w:t>324A.</w:t>
      </w:r>
      <w:r w:rsidR="005237B7" w:rsidRPr="007D36EA">
        <w:rPr>
          <w:rFonts w:ascii="Arial" w:hAnsi="Arial"/>
          <w:color w:val="0000FF"/>
          <w:u w:val="single"/>
        </w:rPr>
        <w:tab/>
      </w:r>
      <w:r w:rsidRPr="007D36EA">
        <w:rPr>
          <w:rFonts w:ascii="Arial" w:hAnsi="Arial"/>
          <w:color w:val="0000FF"/>
          <w:u w:val="single"/>
        </w:rPr>
        <w:t>Si l</w:t>
      </w:r>
      <w:r w:rsidR="00B31A73" w:rsidRPr="007D36EA">
        <w:rPr>
          <w:rFonts w:ascii="Arial" w:hAnsi="Arial"/>
          <w:color w:val="0000FF"/>
          <w:u w:val="single"/>
        </w:rPr>
        <w:t>’</w:t>
      </w:r>
      <w:r w:rsidRPr="007D36EA">
        <w:rPr>
          <w:rFonts w:ascii="Arial" w:hAnsi="Arial"/>
          <w:color w:val="0000FF"/>
          <w:u w:val="single"/>
        </w:rPr>
        <w:t>office récepteur est disposé à le faire, il peut cocher la colonne correspondante du formulaire PCT/RO/136 et transmettre la copie du formulaire PCT/RO/136 au déposant.</w:t>
      </w:r>
    </w:p>
    <w:p w14:paraId="0B7258AF" w14:textId="43D7B4FA" w:rsidR="00833711" w:rsidRPr="007D36EA" w:rsidRDefault="00833711" w:rsidP="005237B7">
      <w:pPr>
        <w:pStyle w:val="Endofdocument-Annex"/>
        <w:spacing w:before="720"/>
        <w:rPr>
          <w:lang w:val="fr-FR"/>
        </w:rPr>
      </w:pPr>
      <w:r w:rsidRPr="007D36EA">
        <w:rPr>
          <w:lang w:val="fr-FR"/>
        </w:rPr>
        <w:t>[Fin de l</w:t>
      </w:r>
      <w:r w:rsidR="00B31A73" w:rsidRPr="007D36EA">
        <w:rPr>
          <w:lang w:val="fr-FR"/>
        </w:rPr>
        <w:t>’</w:t>
      </w:r>
      <w:r w:rsidRPr="007D36EA">
        <w:rPr>
          <w:lang w:val="fr-FR"/>
        </w:rPr>
        <w:t>annexe III et du document]</w:t>
      </w:r>
    </w:p>
    <w:sectPr w:rsidR="00833711" w:rsidRPr="007D36EA" w:rsidSect="00833711">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C256F" w14:textId="77777777" w:rsidR="00DD0EB6" w:rsidRDefault="00DD0EB6">
      <w:r>
        <w:separator/>
      </w:r>
    </w:p>
  </w:endnote>
  <w:endnote w:type="continuationSeparator" w:id="0">
    <w:p w14:paraId="398E9CA8" w14:textId="77777777" w:rsidR="00DD0EB6" w:rsidRPr="009D30E6" w:rsidRDefault="00DD0EB6" w:rsidP="00D45252">
      <w:pPr>
        <w:rPr>
          <w:sz w:val="17"/>
          <w:szCs w:val="17"/>
        </w:rPr>
      </w:pPr>
      <w:r w:rsidRPr="009D30E6">
        <w:rPr>
          <w:sz w:val="17"/>
          <w:szCs w:val="17"/>
        </w:rPr>
        <w:separator/>
      </w:r>
    </w:p>
    <w:p w14:paraId="2F1CB74B" w14:textId="77777777" w:rsidR="00DD0EB6" w:rsidRPr="009D30E6" w:rsidRDefault="00DD0EB6" w:rsidP="00D45252">
      <w:pPr>
        <w:spacing w:after="60"/>
        <w:rPr>
          <w:sz w:val="17"/>
          <w:szCs w:val="17"/>
        </w:rPr>
      </w:pPr>
      <w:r w:rsidRPr="009D30E6">
        <w:rPr>
          <w:sz w:val="17"/>
          <w:szCs w:val="17"/>
        </w:rPr>
        <w:t>[Suite de la note de la page précédente]</w:t>
      </w:r>
    </w:p>
  </w:endnote>
  <w:endnote w:type="continuationNotice" w:id="1">
    <w:p w14:paraId="3D070883" w14:textId="77777777" w:rsidR="00DD0EB6" w:rsidRPr="009D30E6" w:rsidRDefault="00DD0EB6"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EB11" w14:textId="77777777" w:rsidR="007D36EA" w:rsidRDefault="007D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6A4FE" w14:textId="77777777" w:rsidR="007D36EA" w:rsidRDefault="007D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EB358" w14:textId="77777777" w:rsidR="007D36EA" w:rsidRDefault="007D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90BA" w14:textId="77777777" w:rsidR="00DD0EB6" w:rsidRDefault="00DD0EB6">
      <w:r>
        <w:separator/>
      </w:r>
    </w:p>
  </w:footnote>
  <w:footnote w:type="continuationSeparator" w:id="0">
    <w:p w14:paraId="3C3E4194" w14:textId="77777777" w:rsidR="00DD0EB6" w:rsidRDefault="00DD0EB6" w:rsidP="007461F1">
      <w:r>
        <w:separator/>
      </w:r>
    </w:p>
    <w:p w14:paraId="3B668DE7" w14:textId="77777777" w:rsidR="00DD0EB6" w:rsidRPr="009D30E6" w:rsidRDefault="00DD0EB6" w:rsidP="007461F1">
      <w:pPr>
        <w:spacing w:after="60"/>
        <w:rPr>
          <w:sz w:val="17"/>
          <w:szCs w:val="17"/>
        </w:rPr>
      </w:pPr>
      <w:r w:rsidRPr="009D30E6">
        <w:rPr>
          <w:sz w:val="17"/>
          <w:szCs w:val="17"/>
        </w:rPr>
        <w:t>[Suite de la note de la page précédente]</w:t>
      </w:r>
    </w:p>
  </w:footnote>
  <w:footnote w:type="continuationNotice" w:id="1">
    <w:p w14:paraId="123FE4B5" w14:textId="77777777" w:rsidR="00DD0EB6" w:rsidRPr="009D30E6" w:rsidRDefault="00DD0EB6"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A2C56" w14:textId="77777777" w:rsidR="007D36EA" w:rsidRDefault="007D3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9A28" w14:textId="77777777" w:rsidR="00833711" w:rsidRDefault="00833711" w:rsidP="00477D6B">
    <w:pPr>
      <w:jc w:val="right"/>
    </w:pPr>
    <w:r>
      <w:t>PCT/WG/18/10</w:t>
    </w:r>
  </w:p>
  <w:p w14:paraId="3304F5FB" w14:textId="77777777" w:rsidR="00833711" w:rsidRDefault="00833711" w:rsidP="005237B7">
    <w:pP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5349A" w14:textId="77777777" w:rsidR="007D36EA" w:rsidRDefault="007D36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1E18" w14:textId="77777777" w:rsidR="005237B7" w:rsidRDefault="00833711" w:rsidP="00D70E86">
    <w:pPr>
      <w:pStyle w:val="Header"/>
      <w:jc w:val="right"/>
    </w:pPr>
    <w:r>
      <w:t>PCT/WG/18/10</w:t>
    </w:r>
  </w:p>
  <w:p w14:paraId="681AE5BD" w14:textId="40CA41EE" w:rsidR="00833711" w:rsidRDefault="00833711" w:rsidP="005237B7">
    <w:pPr>
      <w:pStyle w:val="Header"/>
      <w:spacing w:after="480"/>
      <w:jc w:val="right"/>
    </w:pPr>
    <w:r>
      <w:t>ANNEXE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59CD" w14:textId="77777777" w:rsidR="005237B7" w:rsidRDefault="00833711" w:rsidP="00F41240">
    <w:pPr>
      <w:pStyle w:val="Header"/>
      <w:jc w:val="right"/>
    </w:pPr>
    <w:r>
      <w:t>PCT/WG/18/10</w:t>
    </w:r>
  </w:p>
  <w:p w14:paraId="0E4C49CE" w14:textId="0342C4FA" w:rsidR="00833711" w:rsidRDefault="00833711" w:rsidP="005237B7">
    <w:pPr>
      <w:pStyle w:val="Header"/>
      <w:spacing w:after="480"/>
      <w:jc w:val="right"/>
    </w:pPr>
    <w:r>
      <w:t>ANNEXE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3CB9" w14:textId="22081839" w:rsidR="00F16975" w:rsidRDefault="00833711" w:rsidP="00477D6B">
    <w:pPr>
      <w:jc w:val="right"/>
    </w:pPr>
    <w:bookmarkStart w:id="5" w:name="Code2"/>
    <w:bookmarkEnd w:id="5"/>
    <w:r>
      <w:t>PCT/WG/18/10</w:t>
    </w:r>
  </w:p>
  <w:p w14:paraId="56544771" w14:textId="430C2373" w:rsidR="00F16975" w:rsidRDefault="00F16975" w:rsidP="00477D6B">
    <w:pPr>
      <w:jc w:val="right"/>
    </w:pPr>
    <w:proofErr w:type="gramStart"/>
    <w:r>
      <w:t>page</w:t>
    </w:r>
    <w:proofErr w:type="gramEnd"/>
    <w:r w:rsidR="007D36EA">
      <w:t> </w:t>
    </w:r>
    <w:r>
      <w:fldChar w:fldCharType="begin"/>
    </w:r>
    <w:r>
      <w:instrText xml:space="preserve"> PAGE  \* MERGEFORMAT </w:instrText>
    </w:r>
    <w:r>
      <w:fldChar w:fldCharType="separate"/>
    </w:r>
    <w:r w:rsidR="004F4E31">
      <w:rPr>
        <w:noProof/>
      </w:rPr>
      <w:t>2</w:t>
    </w:r>
    <w:r>
      <w:fldChar w:fldCharType="end"/>
    </w:r>
  </w:p>
  <w:p w14:paraId="7A45A9C4" w14:textId="77777777" w:rsidR="00F16975" w:rsidRDefault="00F16975" w:rsidP="00477D6B">
    <w:pPr>
      <w:jc w:val="right"/>
    </w:pPr>
  </w:p>
  <w:p w14:paraId="5D8EBDBC" w14:textId="77777777" w:rsidR="004F4E31" w:rsidRDefault="004F4E31"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C3DE8" w14:textId="77777777" w:rsidR="005237B7" w:rsidRDefault="005237B7" w:rsidP="00F41240">
    <w:pPr>
      <w:pStyle w:val="Header"/>
      <w:jc w:val="right"/>
    </w:pPr>
    <w:r>
      <w:t>PCT/WG/18/10</w:t>
    </w:r>
  </w:p>
  <w:p w14:paraId="393FB909" w14:textId="5CAA5A3F" w:rsidR="005237B7" w:rsidRDefault="005237B7" w:rsidP="005237B7">
    <w:pPr>
      <w:pStyle w:val="Header"/>
      <w:spacing w:after="480"/>
      <w:jc w:val="right"/>
    </w:pPr>
    <w:r>
      <w:t>ANNEXE 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3756F3"/>
    <w:multiLevelType w:val="multilevel"/>
    <w:tmpl w:val="006C8B2E"/>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 w:numId="7" w16cid:durableId="15796303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11"/>
    <w:rsid w:val="00011B7D"/>
    <w:rsid w:val="00050E4E"/>
    <w:rsid w:val="00075432"/>
    <w:rsid w:val="00087157"/>
    <w:rsid w:val="000E5676"/>
    <w:rsid w:val="000F13F5"/>
    <w:rsid w:val="000F3F68"/>
    <w:rsid w:val="000F5E56"/>
    <w:rsid w:val="001362EE"/>
    <w:rsid w:val="001832A6"/>
    <w:rsid w:val="00192282"/>
    <w:rsid w:val="00195C6E"/>
    <w:rsid w:val="001B266A"/>
    <w:rsid w:val="001D3D56"/>
    <w:rsid w:val="001D4860"/>
    <w:rsid w:val="001F1657"/>
    <w:rsid w:val="00203268"/>
    <w:rsid w:val="00240654"/>
    <w:rsid w:val="002634C4"/>
    <w:rsid w:val="002D4918"/>
    <w:rsid w:val="002E4D1A"/>
    <w:rsid w:val="002F16BC"/>
    <w:rsid w:val="002F4E68"/>
    <w:rsid w:val="00315FCA"/>
    <w:rsid w:val="00322B15"/>
    <w:rsid w:val="003500BE"/>
    <w:rsid w:val="003806B5"/>
    <w:rsid w:val="003845C1"/>
    <w:rsid w:val="003A1BCD"/>
    <w:rsid w:val="003A2794"/>
    <w:rsid w:val="004008A2"/>
    <w:rsid w:val="004010C2"/>
    <w:rsid w:val="004025DF"/>
    <w:rsid w:val="00423E3E"/>
    <w:rsid w:val="00427AF4"/>
    <w:rsid w:val="004647DA"/>
    <w:rsid w:val="00477D6B"/>
    <w:rsid w:val="004D6471"/>
    <w:rsid w:val="004F4E31"/>
    <w:rsid w:val="005237B7"/>
    <w:rsid w:val="00525B63"/>
    <w:rsid w:val="00547476"/>
    <w:rsid w:val="00561DB8"/>
    <w:rsid w:val="00567A4C"/>
    <w:rsid w:val="00595CB5"/>
    <w:rsid w:val="005E6516"/>
    <w:rsid w:val="00605827"/>
    <w:rsid w:val="00636CE5"/>
    <w:rsid w:val="00676936"/>
    <w:rsid w:val="006B0DB5"/>
    <w:rsid w:val="006E4243"/>
    <w:rsid w:val="00703D74"/>
    <w:rsid w:val="007461F1"/>
    <w:rsid w:val="0075224E"/>
    <w:rsid w:val="007D0CB1"/>
    <w:rsid w:val="007D36EA"/>
    <w:rsid w:val="007D6961"/>
    <w:rsid w:val="007F07CB"/>
    <w:rsid w:val="00810CEF"/>
    <w:rsid w:val="0081208D"/>
    <w:rsid w:val="00833711"/>
    <w:rsid w:val="00842A13"/>
    <w:rsid w:val="00892E32"/>
    <w:rsid w:val="008B2CC1"/>
    <w:rsid w:val="008B33B3"/>
    <w:rsid w:val="008E7930"/>
    <w:rsid w:val="0090731E"/>
    <w:rsid w:val="00966A22"/>
    <w:rsid w:val="00974CD6"/>
    <w:rsid w:val="009D30E6"/>
    <w:rsid w:val="009E3F6F"/>
    <w:rsid w:val="009F499F"/>
    <w:rsid w:val="00A003A7"/>
    <w:rsid w:val="00A02BD3"/>
    <w:rsid w:val="00A10533"/>
    <w:rsid w:val="00A16BD6"/>
    <w:rsid w:val="00A52177"/>
    <w:rsid w:val="00AA1F20"/>
    <w:rsid w:val="00AC0AE4"/>
    <w:rsid w:val="00AD61DB"/>
    <w:rsid w:val="00AE7C04"/>
    <w:rsid w:val="00B266A3"/>
    <w:rsid w:val="00B31A73"/>
    <w:rsid w:val="00B41BCA"/>
    <w:rsid w:val="00B87BCF"/>
    <w:rsid w:val="00BA62D4"/>
    <w:rsid w:val="00BB16AB"/>
    <w:rsid w:val="00C05880"/>
    <w:rsid w:val="00C1194B"/>
    <w:rsid w:val="00C40E15"/>
    <w:rsid w:val="00C664C8"/>
    <w:rsid w:val="00C76A79"/>
    <w:rsid w:val="00C86F87"/>
    <w:rsid w:val="00CA15F5"/>
    <w:rsid w:val="00CF0460"/>
    <w:rsid w:val="00D04414"/>
    <w:rsid w:val="00D45252"/>
    <w:rsid w:val="00D71B4D"/>
    <w:rsid w:val="00D75C1E"/>
    <w:rsid w:val="00D93D55"/>
    <w:rsid w:val="00DB0349"/>
    <w:rsid w:val="00DD0EB6"/>
    <w:rsid w:val="00DD6A16"/>
    <w:rsid w:val="00E0091A"/>
    <w:rsid w:val="00E203AA"/>
    <w:rsid w:val="00E527A5"/>
    <w:rsid w:val="00E76456"/>
    <w:rsid w:val="00E905EA"/>
    <w:rsid w:val="00EC2B8E"/>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0C679"/>
  <w15:docId w15:val="{CF1DAD5E-286A-4DE1-A0AD-890C48C1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LegTitle">
    <w:name w:val="Leg # Title"/>
    <w:basedOn w:val="Normal"/>
    <w:next w:val="Normal"/>
    <w:rsid w:val="00833711"/>
    <w:pPr>
      <w:keepNext/>
      <w:keepLines/>
      <w:suppressAutoHyphens/>
      <w:spacing w:before="240"/>
      <w:jc w:val="center"/>
    </w:pPr>
    <w:rPr>
      <w:rFonts w:eastAsia="Times New Roman" w:cs="Times New Roman"/>
      <w:b/>
      <w:lang w:val="fr-FR" w:eastAsia="en-US"/>
    </w:rPr>
  </w:style>
  <w:style w:type="character" w:customStyle="1" w:styleId="Legbister">
    <w:name w:val="Leg bis/ter"/>
    <w:rsid w:val="00833711"/>
    <w:rPr>
      <w:i/>
    </w:rPr>
  </w:style>
  <w:style w:type="paragraph" w:customStyle="1" w:styleId="Lega">
    <w:name w:val="Leg (a)"/>
    <w:basedOn w:val="Normal"/>
    <w:link w:val="LegaChar"/>
    <w:rsid w:val="00833711"/>
    <w:pPr>
      <w:tabs>
        <w:tab w:val="left" w:pos="426"/>
      </w:tabs>
      <w:spacing w:before="120"/>
      <w:jc w:val="both"/>
    </w:pPr>
    <w:rPr>
      <w:rFonts w:eastAsia="Times New Roman" w:cs="Times New Roman"/>
      <w:lang w:val="fr-FR" w:eastAsia="en-US"/>
    </w:rPr>
  </w:style>
  <w:style w:type="character" w:customStyle="1" w:styleId="LegaChar">
    <w:name w:val="Leg (a) Char"/>
    <w:link w:val="Lega"/>
    <w:rsid w:val="00833711"/>
    <w:rPr>
      <w:rFonts w:ascii="Arial" w:hAnsi="Arial"/>
      <w:sz w:val="22"/>
      <w:lang w:val="fr-FR" w:eastAsia="en-US"/>
    </w:rPr>
  </w:style>
  <w:style w:type="paragraph" w:customStyle="1" w:styleId="RPara">
    <w:name w:val="RPar(a)"/>
    <w:basedOn w:val="Normal"/>
    <w:link w:val="RParaChar"/>
    <w:rsid w:val="00833711"/>
    <w:pPr>
      <w:tabs>
        <w:tab w:val="right" w:pos="709"/>
        <w:tab w:val="left" w:pos="851"/>
      </w:tabs>
      <w:spacing w:after="240"/>
      <w:jc w:val="both"/>
    </w:pPr>
    <w:rPr>
      <w:rFonts w:ascii="Times New Roman" w:eastAsia="Times New Roman" w:hAnsi="Times New Roman" w:cs="Times New Roman"/>
      <w:snapToGrid w:val="0"/>
      <w:color w:val="000000"/>
      <w:lang w:val="fr-FR" w:eastAsia="en-US"/>
    </w:rPr>
  </w:style>
  <w:style w:type="paragraph" w:customStyle="1" w:styleId="RTitleMain">
    <w:name w:val="RTitle(Main)"/>
    <w:basedOn w:val="Normal"/>
    <w:next w:val="RPara"/>
    <w:rsid w:val="00833711"/>
    <w:pPr>
      <w:keepNext/>
      <w:tabs>
        <w:tab w:val="left" w:pos="567"/>
      </w:tabs>
      <w:spacing w:before="480" w:after="240"/>
      <w:jc w:val="center"/>
    </w:pPr>
    <w:rPr>
      <w:rFonts w:ascii="Times New Roman" w:eastAsia="Times New Roman" w:hAnsi="Times New Roman" w:cs="Times New Roman"/>
      <w:b/>
      <w:lang w:val="fr-FR" w:eastAsia="en-US"/>
    </w:rPr>
  </w:style>
  <w:style w:type="paragraph" w:customStyle="1" w:styleId="RSubHeading">
    <w:name w:val="R(Sub)Heading"/>
    <w:basedOn w:val="Normal"/>
    <w:next w:val="RPara"/>
    <w:rsid w:val="00833711"/>
    <w:pPr>
      <w:tabs>
        <w:tab w:val="left" w:pos="567"/>
      </w:tabs>
      <w:spacing w:before="240" w:after="240"/>
    </w:pPr>
    <w:rPr>
      <w:rFonts w:ascii="Times New Roman" w:eastAsia="Times New Roman" w:hAnsi="Times New Roman" w:cs="Times New Roman"/>
      <w:b/>
      <w:lang w:val="fr-FR" w:eastAsia="en-US"/>
    </w:rPr>
  </w:style>
  <w:style w:type="character" w:customStyle="1" w:styleId="RParaChar">
    <w:name w:val="RPar(a) Char"/>
    <w:link w:val="RPara"/>
    <w:rsid w:val="00833711"/>
    <w:rPr>
      <w:snapToGrid w:val="0"/>
      <w:color w:val="000000"/>
      <w:sz w:val="22"/>
      <w:lang w:val="fr-FR" w:eastAsia="en-US"/>
    </w:rPr>
  </w:style>
  <w:style w:type="character" w:styleId="Hyperlink">
    <w:name w:val="Hyperlink"/>
    <w:basedOn w:val="DefaultParagraphFont"/>
    <w:semiHidden/>
    <w:unhideWhenUsed/>
    <w:rsid w:val="007D36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125C2-BC8A-4D7F-868C-348BF7E8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(F)</Template>
  <TotalTime>6</TotalTime>
  <Pages>6</Pages>
  <Words>1385</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PCT/WG/18/</vt:lpstr>
    </vt:vector>
  </TitlesOfParts>
  <Company>WIPO</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PCT/WG/18/10</dc:title>
  <dc:creator>LE GUEN Haude</dc:creator>
  <cp:keywords>FOR OFFICIAL USE ONLY</cp:keywords>
  <cp:lastModifiedBy>MARLOW Thomas</cp:lastModifiedBy>
  <cp:revision>4</cp:revision>
  <cp:lastPrinted>2011-05-19T12:37:00Z</cp:lastPrinted>
  <dcterms:created xsi:type="dcterms:W3CDTF">2025-01-24T09:17:00Z</dcterms:created>
  <dcterms:modified xsi:type="dcterms:W3CDTF">2025-01-24T09:21:00Z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