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8B2BE" w14:textId="77777777" w:rsidR="008B2CC1" w:rsidRPr="00947923" w:rsidRDefault="00DB0349" w:rsidP="00DB0349">
      <w:pPr>
        <w:spacing w:after="120"/>
        <w:jc w:val="right"/>
        <w:rPr>
          <w:lang w:val="fr-FR"/>
        </w:rPr>
      </w:pPr>
      <w:r w:rsidRPr="00947923">
        <w:rPr>
          <w:noProof/>
          <w:lang w:val="fr-FR" w:eastAsia="en-US"/>
        </w:rPr>
        <w:drawing>
          <wp:inline distT="0" distB="0" distL="0" distR="0" wp14:anchorId="516C56D4" wp14:editId="444BF582">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947923">
        <w:rPr>
          <w:rFonts w:ascii="Arial Black" w:hAnsi="Arial Black"/>
          <w:caps/>
          <w:noProof/>
          <w:sz w:val="15"/>
          <w:szCs w:val="15"/>
          <w:lang w:val="fr-FR" w:eastAsia="en-US"/>
        </w:rPr>
        <mc:AlternateContent>
          <mc:Choice Requires="wps">
            <w:drawing>
              <wp:inline distT="0" distB="0" distL="0" distR="0" wp14:anchorId="311644AF" wp14:editId="3E55B9DA">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319EE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1CE16F1" w14:textId="21FAA193" w:rsidR="008B2CC1" w:rsidRPr="00947923" w:rsidRDefault="00FC45E7" w:rsidP="00DB0349">
      <w:pPr>
        <w:jc w:val="right"/>
        <w:rPr>
          <w:rFonts w:ascii="Arial Black" w:hAnsi="Arial Black"/>
          <w:caps/>
          <w:sz w:val="15"/>
          <w:szCs w:val="15"/>
          <w:lang w:val="fr-FR"/>
        </w:rPr>
      </w:pPr>
      <w:r w:rsidRPr="00947923">
        <w:rPr>
          <w:rFonts w:ascii="Arial Black" w:hAnsi="Arial Black"/>
          <w:caps/>
          <w:sz w:val="15"/>
          <w:szCs w:val="15"/>
          <w:lang w:val="fr-FR"/>
        </w:rPr>
        <w:t>pct</w:t>
      </w:r>
      <w:r w:rsidR="00AE7C04" w:rsidRPr="00947923">
        <w:rPr>
          <w:rFonts w:ascii="Arial Black" w:hAnsi="Arial Black"/>
          <w:caps/>
          <w:sz w:val="15"/>
          <w:szCs w:val="15"/>
          <w:lang w:val="fr-FR"/>
        </w:rPr>
        <w:t>/</w:t>
      </w:r>
      <w:r w:rsidRPr="00947923">
        <w:rPr>
          <w:rFonts w:ascii="Arial Black" w:hAnsi="Arial Black"/>
          <w:caps/>
          <w:sz w:val="15"/>
          <w:szCs w:val="15"/>
          <w:lang w:val="fr-FR"/>
        </w:rPr>
        <w:t>wg</w:t>
      </w:r>
      <w:r w:rsidR="00AE7C04" w:rsidRPr="00947923">
        <w:rPr>
          <w:rFonts w:ascii="Arial Black" w:hAnsi="Arial Black"/>
          <w:caps/>
          <w:sz w:val="15"/>
          <w:szCs w:val="15"/>
          <w:lang w:val="fr-FR"/>
        </w:rPr>
        <w:t>/</w:t>
      </w:r>
      <w:r w:rsidRPr="00947923">
        <w:rPr>
          <w:rFonts w:ascii="Arial Black" w:hAnsi="Arial Black"/>
          <w:caps/>
          <w:sz w:val="15"/>
          <w:szCs w:val="15"/>
          <w:lang w:val="fr-FR"/>
        </w:rPr>
        <w:t>1</w:t>
      </w:r>
      <w:r w:rsidR="003500BE" w:rsidRPr="00947923">
        <w:rPr>
          <w:rFonts w:ascii="Arial Black" w:hAnsi="Arial Black"/>
          <w:caps/>
          <w:sz w:val="15"/>
          <w:szCs w:val="15"/>
          <w:lang w:val="fr-FR"/>
        </w:rPr>
        <w:t>8</w:t>
      </w:r>
      <w:r w:rsidR="00D04414" w:rsidRPr="00947923">
        <w:rPr>
          <w:rFonts w:ascii="Arial Black" w:hAnsi="Arial Black"/>
          <w:caps/>
          <w:sz w:val="15"/>
          <w:szCs w:val="15"/>
          <w:lang w:val="fr-FR"/>
        </w:rPr>
        <w:t>/</w:t>
      </w:r>
      <w:bookmarkStart w:id="0" w:name="Code"/>
      <w:r w:rsidR="009F2F0C" w:rsidRPr="00947923">
        <w:rPr>
          <w:rFonts w:ascii="Arial Black" w:hAnsi="Arial Black"/>
          <w:caps/>
          <w:sz w:val="15"/>
          <w:szCs w:val="15"/>
          <w:lang w:val="fr-FR"/>
        </w:rPr>
        <w:t>14</w:t>
      </w:r>
    </w:p>
    <w:bookmarkEnd w:id="0"/>
    <w:p w14:paraId="7A52CF06" w14:textId="0B641CDC" w:rsidR="008B2CC1" w:rsidRPr="00947923" w:rsidRDefault="00DB0349" w:rsidP="00DB0349">
      <w:pPr>
        <w:jc w:val="right"/>
        <w:rPr>
          <w:rFonts w:ascii="Arial Black" w:hAnsi="Arial Black"/>
          <w:caps/>
          <w:sz w:val="15"/>
          <w:szCs w:val="15"/>
          <w:lang w:val="fr-FR"/>
        </w:rPr>
      </w:pPr>
      <w:r w:rsidRPr="00947923">
        <w:rPr>
          <w:rFonts w:ascii="Arial Black" w:hAnsi="Arial Black"/>
          <w:caps/>
          <w:sz w:val="15"/>
          <w:szCs w:val="15"/>
          <w:lang w:val="fr-FR"/>
        </w:rPr>
        <w:t>Original</w:t>
      </w:r>
      <w:r w:rsidR="00E9531F" w:rsidRPr="00947923">
        <w:rPr>
          <w:rFonts w:ascii="Arial Black" w:hAnsi="Arial Black"/>
          <w:caps/>
          <w:sz w:val="15"/>
          <w:szCs w:val="15"/>
          <w:lang w:val="fr-FR"/>
        </w:rPr>
        <w:t> :</w:t>
      </w:r>
      <w:r w:rsidRPr="00947923">
        <w:rPr>
          <w:rFonts w:ascii="Arial Black" w:hAnsi="Arial Black"/>
          <w:caps/>
          <w:sz w:val="15"/>
          <w:szCs w:val="15"/>
          <w:lang w:val="fr-FR"/>
        </w:rPr>
        <w:t xml:space="preserve"> </w:t>
      </w:r>
      <w:bookmarkStart w:id="1" w:name="Original"/>
      <w:r w:rsidR="009F2F0C" w:rsidRPr="00947923">
        <w:rPr>
          <w:rFonts w:ascii="Arial Black" w:hAnsi="Arial Black"/>
          <w:caps/>
          <w:sz w:val="15"/>
          <w:szCs w:val="15"/>
          <w:lang w:val="fr-FR"/>
        </w:rPr>
        <w:t>anglais</w:t>
      </w:r>
    </w:p>
    <w:bookmarkEnd w:id="1"/>
    <w:p w14:paraId="55DD1137" w14:textId="380AF6AA" w:rsidR="008B2CC1" w:rsidRPr="00947923" w:rsidRDefault="00DB0349" w:rsidP="00DB0349">
      <w:pPr>
        <w:spacing w:after="1200"/>
        <w:jc w:val="right"/>
        <w:rPr>
          <w:rFonts w:ascii="Arial Black" w:hAnsi="Arial Black"/>
          <w:caps/>
          <w:sz w:val="15"/>
          <w:szCs w:val="15"/>
          <w:lang w:val="fr-FR"/>
        </w:rPr>
      </w:pPr>
      <w:r w:rsidRPr="00947923">
        <w:rPr>
          <w:rFonts w:ascii="Arial Black" w:hAnsi="Arial Black"/>
          <w:caps/>
          <w:sz w:val="15"/>
          <w:szCs w:val="15"/>
          <w:lang w:val="fr-FR"/>
        </w:rPr>
        <w:t>date</w:t>
      </w:r>
      <w:r w:rsidR="00E9531F" w:rsidRPr="00947923">
        <w:rPr>
          <w:rFonts w:ascii="Arial Black" w:hAnsi="Arial Black"/>
          <w:caps/>
          <w:sz w:val="15"/>
          <w:szCs w:val="15"/>
          <w:lang w:val="fr-FR"/>
        </w:rPr>
        <w:t> :</w:t>
      </w:r>
      <w:r w:rsidRPr="00947923">
        <w:rPr>
          <w:rFonts w:ascii="Arial Black" w:hAnsi="Arial Black"/>
          <w:caps/>
          <w:sz w:val="15"/>
          <w:szCs w:val="15"/>
          <w:lang w:val="fr-FR"/>
        </w:rPr>
        <w:t xml:space="preserve"> </w:t>
      </w:r>
      <w:bookmarkStart w:id="2" w:name="Date"/>
      <w:r w:rsidR="009F2F0C" w:rsidRPr="00947923">
        <w:rPr>
          <w:rFonts w:ascii="Arial Black" w:hAnsi="Arial Black"/>
          <w:caps/>
          <w:sz w:val="15"/>
          <w:szCs w:val="15"/>
          <w:lang w:val="fr-FR"/>
        </w:rPr>
        <w:t>17 </w:t>
      </w:r>
      <w:r w:rsidR="00E9531F" w:rsidRPr="00947923">
        <w:rPr>
          <w:rFonts w:ascii="Arial Black" w:hAnsi="Arial Black"/>
          <w:caps/>
          <w:sz w:val="15"/>
          <w:szCs w:val="15"/>
          <w:lang w:val="fr-FR"/>
        </w:rPr>
        <w:t>janvier 20</w:t>
      </w:r>
      <w:r w:rsidR="009F2F0C" w:rsidRPr="00947923">
        <w:rPr>
          <w:rFonts w:ascii="Arial Black" w:hAnsi="Arial Black"/>
          <w:caps/>
          <w:sz w:val="15"/>
          <w:szCs w:val="15"/>
          <w:lang w:val="fr-FR"/>
        </w:rPr>
        <w:t>25</w:t>
      </w:r>
    </w:p>
    <w:bookmarkEnd w:id="2"/>
    <w:p w14:paraId="1CEA4486" w14:textId="77777777" w:rsidR="00C40E15" w:rsidRPr="00947923" w:rsidRDefault="00BB16AB" w:rsidP="00A003A7">
      <w:pPr>
        <w:spacing w:after="600"/>
        <w:rPr>
          <w:b/>
          <w:sz w:val="28"/>
          <w:szCs w:val="28"/>
          <w:lang w:val="fr-FR"/>
        </w:rPr>
      </w:pPr>
      <w:r w:rsidRPr="00947923">
        <w:rPr>
          <w:b/>
          <w:sz w:val="28"/>
          <w:szCs w:val="28"/>
          <w:lang w:val="fr-FR"/>
        </w:rPr>
        <w:t>Groupe de travail du Traité de coopération en matière de brevets (PCT)</w:t>
      </w:r>
    </w:p>
    <w:p w14:paraId="62537E7A" w14:textId="5EC77625" w:rsidR="008B2CC1" w:rsidRPr="00947923" w:rsidRDefault="004010C2" w:rsidP="008B2CC1">
      <w:pPr>
        <w:rPr>
          <w:b/>
          <w:sz w:val="24"/>
          <w:szCs w:val="24"/>
          <w:lang w:val="fr-FR"/>
        </w:rPr>
      </w:pPr>
      <w:r w:rsidRPr="00947923">
        <w:rPr>
          <w:b/>
          <w:sz w:val="24"/>
          <w:szCs w:val="24"/>
          <w:lang w:val="fr-FR"/>
        </w:rPr>
        <w:t>Dix</w:t>
      </w:r>
      <w:r w:rsidR="00EC7A31" w:rsidRPr="00947923">
        <w:rPr>
          <w:b/>
          <w:sz w:val="24"/>
          <w:szCs w:val="24"/>
          <w:lang w:val="fr-FR"/>
        </w:rPr>
        <w:noBreakHyphen/>
      </w:r>
      <w:r w:rsidR="003500BE" w:rsidRPr="00947923">
        <w:rPr>
          <w:b/>
          <w:sz w:val="24"/>
          <w:szCs w:val="24"/>
          <w:lang w:val="fr-FR"/>
        </w:rPr>
        <w:t>huit</w:t>
      </w:r>
      <w:r w:rsidR="00E9531F" w:rsidRPr="00947923">
        <w:rPr>
          <w:b/>
          <w:sz w:val="24"/>
          <w:szCs w:val="24"/>
          <w:lang w:val="fr-FR"/>
        </w:rPr>
        <w:t>ième session</w:t>
      </w:r>
    </w:p>
    <w:p w14:paraId="3827F832" w14:textId="77777777" w:rsidR="008B2CC1" w:rsidRPr="00947923" w:rsidRDefault="00BB16AB" w:rsidP="00DB0349">
      <w:pPr>
        <w:spacing w:after="720"/>
        <w:rPr>
          <w:b/>
          <w:sz w:val="24"/>
          <w:szCs w:val="24"/>
          <w:lang w:val="fr-FR"/>
        </w:rPr>
      </w:pPr>
      <w:r w:rsidRPr="00947923">
        <w:rPr>
          <w:b/>
          <w:sz w:val="24"/>
          <w:szCs w:val="24"/>
          <w:lang w:val="fr-FR"/>
        </w:rPr>
        <w:t xml:space="preserve">Genève, </w:t>
      </w:r>
      <w:r w:rsidR="004010C2" w:rsidRPr="00947923">
        <w:rPr>
          <w:b/>
          <w:sz w:val="24"/>
          <w:szCs w:val="24"/>
          <w:lang w:val="fr-FR"/>
        </w:rPr>
        <w:t>1</w:t>
      </w:r>
      <w:r w:rsidR="003500BE" w:rsidRPr="00947923">
        <w:rPr>
          <w:b/>
          <w:sz w:val="24"/>
          <w:szCs w:val="24"/>
          <w:lang w:val="fr-FR"/>
        </w:rPr>
        <w:t>8</w:t>
      </w:r>
      <w:r w:rsidR="004010C2" w:rsidRPr="00947923">
        <w:rPr>
          <w:b/>
          <w:sz w:val="24"/>
          <w:szCs w:val="24"/>
          <w:lang w:val="fr-FR"/>
        </w:rPr>
        <w:t xml:space="preserve"> – 2</w:t>
      </w:r>
      <w:r w:rsidR="003500BE" w:rsidRPr="00947923">
        <w:rPr>
          <w:b/>
          <w:sz w:val="24"/>
          <w:szCs w:val="24"/>
          <w:lang w:val="fr-FR"/>
        </w:rPr>
        <w:t>0</w:t>
      </w:r>
      <w:r w:rsidR="004010C2" w:rsidRPr="00947923">
        <w:rPr>
          <w:b/>
          <w:sz w:val="24"/>
          <w:szCs w:val="24"/>
          <w:lang w:val="fr-FR"/>
        </w:rPr>
        <w:t> février 202</w:t>
      </w:r>
      <w:r w:rsidR="003500BE" w:rsidRPr="00947923">
        <w:rPr>
          <w:b/>
          <w:sz w:val="24"/>
          <w:szCs w:val="24"/>
          <w:lang w:val="fr-FR"/>
        </w:rPr>
        <w:t>5</w:t>
      </w:r>
    </w:p>
    <w:p w14:paraId="7D611CCD" w14:textId="77777777" w:rsidR="009F2F0C" w:rsidRPr="00947923" w:rsidRDefault="009F2F0C" w:rsidP="00DB0349">
      <w:pPr>
        <w:spacing w:after="360"/>
        <w:rPr>
          <w:caps/>
          <w:sz w:val="24"/>
          <w:lang w:val="fr-FR"/>
        </w:rPr>
      </w:pPr>
      <w:bookmarkStart w:id="3" w:name="TitleOfDoc"/>
      <w:r w:rsidRPr="00947923">
        <w:rPr>
          <w:caps/>
          <w:sz w:val="24"/>
          <w:lang w:val="fr-FR"/>
        </w:rPr>
        <w:t>Traitement des listages de séquences</w:t>
      </w:r>
    </w:p>
    <w:p w14:paraId="16039EAC" w14:textId="119AD41E" w:rsidR="00525B63" w:rsidRPr="00947923" w:rsidRDefault="009F2F0C" w:rsidP="00DB0349">
      <w:pPr>
        <w:spacing w:after="960"/>
        <w:rPr>
          <w:i/>
          <w:lang w:val="fr-FR"/>
        </w:rPr>
      </w:pPr>
      <w:bookmarkStart w:id="4" w:name="Prepared"/>
      <w:bookmarkEnd w:id="3"/>
      <w:r w:rsidRPr="00947923">
        <w:rPr>
          <w:i/>
          <w:lang w:val="fr-FR"/>
        </w:rPr>
        <w:t>Document établi par le Bureau international</w:t>
      </w:r>
    </w:p>
    <w:bookmarkEnd w:id="4"/>
    <w:p w14:paraId="5435B0F2" w14:textId="77777777" w:rsidR="009F2F0C" w:rsidRPr="00947923" w:rsidRDefault="009F2F0C" w:rsidP="009F2F0C">
      <w:pPr>
        <w:pStyle w:val="Heading1"/>
        <w:rPr>
          <w:lang w:val="fr-FR"/>
        </w:rPr>
      </w:pPr>
      <w:r w:rsidRPr="00947923">
        <w:rPr>
          <w:lang w:val="fr-FR"/>
        </w:rPr>
        <w:t>Résumé</w:t>
      </w:r>
    </w:p>
    <w:p w14:paraId="53A7B55B" w14:textId="6FAB1EB2" w:rsidR="00E9531F" w:rsidRPr="00947923" w:rsidRDefault="009F2F0C" w:rsidP="00472223">
      <w:pPr>
        <w:pStyle w:val="ONUMFS"/>
        <w:rPr>
          <w:lang w:val="fr-FR"/>
        </w:rPr>
      </w:pPr>
      <w:r w:rsidRPr="00947923">
        <w:rPr>
          <w:lang w:val="fr-FR"/>
        </w:rPr>
        <w:t>La norme ST.26 de l</w:t>
      </w:r>
      <w:r w:rsidR="00E9531F" w:rsidRPr="00947923">
        <w:rPr>
          <w:lang w:val="fr-FR"/>
        </w:rPr>
        <w:t>’</w:t>
      </w:r>
      <w:r w:rsidRPr="00947923">
        <w:rPr>
          <w:lang w:val="fr-FR"/>
        </w:rPr>
        <w:t>OMPI constitue le format requis pour les listages de séquences de nucléotides et d</w:t>
      </w:r>
      <w:r w:rsidR="00E9531F" w:rsidRPr="00947923">
        <w:rPr>
          <w:lang w:val="fr-FR"/>
        </w:rPr>
        <w:t>’</w:t>
      </w:r>
      <w:r w:rsidRPr="00947923">
        <w:rPr>
          <w:lang w:val="fr-FR"/>
        </w:rPr>
        <w:t>acides aminés figurant dans des demandes internationales déposées le 1</w:t>
      </w:r>
      <w:r w:rsidRPr="00947923">
        <w:rPr>
          <w:vertAlign w:val="superscript"/>
          <w:lang w:val="fr-FR"/>
        </w:rPr>
        <w:t>er</w:t>
      </w:r>
      <w:r w:rsidRPr="00947923">
        <w:rPr>
          <w:lang w:val="fr-FR"/>
        </w:rPr>
        <w:t> juillet 2022 ou après cette da</w:t>
      </w:r>
      <w:r w:rsidR="00EC7A31" w:rsidRPr="00947923">
        <w:rPr>
          <w:lang w:val="fr-FR"/>
        </w:rPr>
        <w:t>te.  Ap</w:t>
      </w:r>
      <w:r w:rsidRPr="00947923">
        <w:rPr>
          <w:lang w:val="fr-FR"/>
        </w:rPr>
        <w:t xml:space="preserve">rès un déploiement et </w:t>
      </w:r>
      <w:proofErr w:type="gramStart"/>
      <w:r w:rsidRPr="00947923">
        <w:rPr>
          <w:lang w:val="fr-FR"/>
        </w:rPr>
        <w:t>une transition couronnés</w:t>
      </w:r>
      <w:proofErr w:type="gramEnd"/>
      <w:r w:rsidRPr="00947923">
        <w:rPr>
          <w:lang w:val="fr-FR"/>
        </w:rPr>
        <w:t xml:space="preserve"> de succès, le système fonctionne pour l</w:t>
      </w:r>
      <w:r w:rsidR="00E9531F" w:rsidRPr="00947923">
        <w:rPr>
          <w:lang w:val="fr-FR"/>
        </w:rPr>
        <w:t>’</w:t>
      </w:r>
      <w:r w:rsidRPr="00947923">
        <w:rPr>
          <w:lang w:val="fr-FR"/>
        </w:rPr>
        <w:t>essentiel efficacement et comme prévu, et les travaux se poursuivent afin de mettre au point et d</w:t>
      </w:r>
      <w:r w:rsidR="00E9531F" w:rsidRPr="00947923">
        <w:rPr>
          <w:lang w:val="fr-FR"/>
        </w:rPr>
        <w:t>’</w:t>
      </w:r>
      <w:r w:rsidRPr="00947923">
        <w:rPr>
          <w:lang w:val="fr-FR"/>
        </w:rPr>
        <w:t>améliorer les outils et procédures de traitement des listages de séquences dans ce format.</w:t>
      </w:r>
    </w:p>
    <w:p w14:paraId="5A96D20E" w14:textId="64DF5769" w:rsidR="009F2F0C" w:rsidRPr="00947923" w:rsidRDefault="009F2F0C" w:rsidP="00472223">
      <w:pPr>
        <w:pStyle w:val="ONUMFS"/>
        <w:rPr>
          <w:lang w:val="fr-FR"/>
        </w:rPr>
      </w:pPr>
      <w:r w:rsidRPr="00947923">
        <w:rPr>
          <w:lang w:val="fr-FR"/>
        </w:rPr>
        <w:t>Le Bureau international souhaite néanmoins simplifier le traitement et s</w:t>
      </w:r>
      <w:r w:rsidR="00E9531F" w:rsidRPr="00947923">
        <w:rPr>
          <w:lang w:val="fr-FR"/>
        </w:rPr>
        <w:t>’</w:t>
      </w:r>
      <w:r w:rsidRPr="00947923">
        <w:rPr>
          <w:lang w:val="fr-FR"/>
        </w:rPr>
        <w:t>assurer que les résultats sont d</w:t>
      </w:r>
      <w:r w:rsidR="00E9531F" w:rsidRPr="00947923">
        <w:rPr>
          <w:lang w:val="fr-FR"/>
        </w:rPr>
        <w:t>’</w:t>
      </w:r>
      <w:r w:rsidRPr="00947923">
        <w:rPr>
          <w:lang w:val="fr-FR"/>
        </w:rPr>
        <w:t>excellente qualité, qu</w:t>
      </w:r>
      <w:r w:rsidR="00E9531F" w:rsidRPr="00947923">
        <w:rPr>
          <w:lang w:val="fr-FR"/>
        </w:rPr>
        <w:t>’</w:t>
      </w:r>
      <w:r w:rsidRPr="00947923">
        <w:rPr>
          <w:lang w:val="fr-FR"/>
        </w:rPr>
        <w:t>ils répondent aux exigences des déposants de demandes de brevet et sont adaptés à une utilisation par les administrations internationales, les offices désignés et les fournisseurs de base de donné</w:t>
      </w:r>
      <w:r w:rsidR="00EC7A31" w:rsidRPr="00947923">
        <w:rPr>
          <w:lang w:val="fr-FR"/>
        </w:rPr>
        <w:t>es.  Il</w:t>
      </w:r>
      <w:r w:rsidRPr="00947923">
        <w:rPr>
          <w:lang w:val="fr-FR"/>
        </w:rPr>
        <w:t xml:space="preserve"> pourrait, par exemple, être possible de réduire le nombre de types de docume</w:t>
      </w:r>
      <w:r w:rsidR="00EC7A31" w:rsidRPr="00947923">
        <w:rPr>
          <w:lang w:val="fr-FR"/>
        </w:rPr>
        <w:t>nt.  Le</w:t>
      </w:r>
      <w:r w:rsidRPr="00947923">
        <w:rPr>
          <w:lang w:val="fr-FR"/>
        </w:rPr>
        <w:t>s analyses se poursuivent en ce qui concerne les possibilités d</w:t>
      </w:r>
      <w:r w:rsidR="00E9531F" w:rsidRPr="00947923">
        <w:rPr>
          <w:lang w:val="fr-FR"/>
        </w:rPr>
        <w:t>’</w:t>
      </w:r>
      <w:r w:rsidRPr="00947923">
        <w:rPr>
          <w:lang w:val="fr-FR"/>
        </w:rPr>
        <w:t>amélioration des modalités de validation et afin de déterminer si les exigences linguistiques sont satisfaites de manière efficace.  L</w:t>
      </w:r>
      <w:r w:rsidR="00E9531F" w:rsidRPr="00947923">
        <w:rPr>
          <w:lang w:val="fr-FR"/>
        </w:rPr>
        <w:t>’</w:t>
      </w:r>
      <w:r w:rsidRPr="00947923">
        <w:rPr>
          <w:lang w:val="fr-FR"/>
        </w:rPr>
        <w:t>Équipe d</w:t>
      </w:r>
      <w:r w:rsidR="00E9531F" w:rsidRPr="00947923">
        <w:rPr>
          <w:lang w:val="fr-FR"/>
        </w:rPr>
        <w:t>’</w:t>
      </w:r>
      <w:r w:rsidRPr="00947923">
        <w:rPr>
          <w:lang w:val="fr-FR"/>
        </w:rPr>
        <w:t>experts chargée du listage des séquences du Comité des normes de l</w:t>
      </w:r>
      <w:r w:rsidR="00E9531F" w:rsidRPr="00947923">
        <w:rPr>
          <w:lang w:val="fr-FR"/>
        </w:rPr>
        <w:t>’</w:t>
      </w:r>
      <w:r w:rsidRPr="00947923">
        <w:rPr>
          <w:lang w:val="fr-FR"/>
        </w:rPr>
        <w:t>OMPI (CWS) envisage d</w:t>
      </w:r>
      <w:r w:rsidR="00E9531F" w:rsidRPr="00947923">
        <w:rPr>
          <w:lang w:val="fr-FR"/>
        </w:rPr>
        <w:t>’</w:t>
      </w:r>
      <w:r w:rsidRPr="00947923">
        <w:rPr>
          <w:lang w:val="fr-FR"/>
        </w:rPr>
        <w:t>apporter des modifications substantielles à la norme elle</w:t>
      </w:r>
      <w:r w:rsidR="00EC7A31" w:rsidRPr="00947923">
        <w:rPr>
          <w:lang w:val="fr-FR"/>
        </w:rPr>
        <w:noBreakHyphen/>
      </w:r>
      <w:r w:rsidRPr="00947923">
        <w:rPr>
          <w:lang w:val="fr-FR"/>
        </w:rPr>
        <w:t>même, en vue d</w:t>
      </w:r>
      <w:r w:rsidR="00E9531F" w:rsidRPr="00947923">
        <w:rPr>
          <w:lang w:val="fr-FR"/>
        </w:rPr>
        <w:t>’</w:t>
      </w:r>
      <w:r w:rsidRPr="00947923">
        <w:rPr>
          <w:lang w:val="fr-FR"/>
        </w:rPr>
        <w:t>élargir les exigences en matière de divulgation et d</w:t>
      </w:r>
      <w:r w:rsidR="00E9531F" w:rsidRPr="00947923">
        <w:rPr>
          <w:lang w:val="fr-FR"/>
        </w:rPr>
        <w:t>’</w:t>
      </w:r>
      <w:r w:rsidRPr="00947923">
        <w:rPr>
          <w:lang w:val="fr-FR"/>
        </w:rPr>
        <w:t>inclure les séquences courtes.</w:t>
      </w:r>
    </w:p>
    <w:p w14:paraId="67054F5B" w14:textId="77777777" w:rsidR="009F2F0C" w:rsidRPr="00947923" w:rsidRDefault="009F2F0C" w:rsidP="009F2F0C">
      <w:pPr>
        <w:pStyle w:val="Heading1"/>
        <w:rPr>
          <w:lang w:val="fr-FR"/>
        </w:rPr>
      </w:pPr>
      <w:r w:rsidRPr="00947923">
        <w:rPr>
          <w:lang w:val="fr-FR"/>
        </w:rPr>
        <w:t>Rappel</w:t>
      </w:r>
    </w:p>
    <w:p w14:paraId="707284F6" w14:textId="1550BE41" w:rsidR="00E9531F" w:rsidRPr="00947923" w:rsidRDefault="009F2F0C" w:rsidP="00472223">
      <w:pPr>
        <w:pStyle w:val="ONUMFS"/>
        <w:rPr>
          <w:lang w:val="fr-FR"/>
        </w:rPr>
      </w:pPr>
      <w:bookmarkStart w:id="5" w:name="_Ref153980082"/>
      <w:r w:rsidRPr="00947923">
        <w:rPr>
          <w:lang w:val="fr-FR"/>
        </w:rPr>
        <w:t>La norme ST.26 de l</w:t>
      </w:r>
      <w:r w:rsidR="00E9531F" w:rsidRPr="00947923">
        <w:rPr>
          <w:lang w:val="fr-FR"/>
        </w:rPr>
        <w:t>’</w:t>
      </w:r>
      <w:r w:rsidRPr="00947923">
        <w:rPr>
          <w:lang w:val="fr-FR"/>
        </w:rPr>
        <w:t>OMPI est la norme qui recommande le format XML pour la présentation de listages de séquences de nucléotides et d</w:t>
      </w:r>
      <w:r w:rsidR="00E9531F" w:rsidRPr="00947923">
        <w:rPr>
          <w:lang w:val="fr-FR"/>
        </w:rPr>
        <w:t>’</w:t>
      </w:r>
      <w:r w:rsidRPr="00947923">
        <w:rPr>
          <w:lang w:val="fr-FR"/>
        </w:rPr>
        <w:t>acides aminés dans les demandes de brev</w:t>
      </w:r>
      <w:r w:rsidR="00EC7A31" w:rsidRPr="00947923">
        <w:rPr>
          <w:lang w:val="fr-FR"/>
        </w:rPr>
        <w:t>et.  El</w:t>
      </w:r>
      <w:r w:rsidRPr="00947923">
        <w:rPr>
          <w:lang w:val="fr-FR"/>
        </w:rPr>
        <w:t>le est entrée en vigueur le</w:t>
      </w:r>
      <w:r w:rsidR="00E9531F" w:rsidRPr="00947923">
        <w:rPr>
          <w:lang w:val="fr-FR"/>
        </w:rPr>
        <w:t xml:space="preserve"> 1</w:t>
      </w:r>
      <w:r w:rsidR="00E9531F" w:rsidRPr="00947923">
        <w:rPr>
          <w:vertAlign w:val="superscript"/>
          <w:lang w:val="fr-FR"/>
        </w:rPr>
        <w:t>er</w:t>
      </w:r>
      <w:r w:rsidR="00E9531F" w:rsidRPr="00947923">
        <w:rPr>
          <w:lang w:val="fr-FR"/>
        </w:rPr>
        <w:t> </w:t>
      </w:r>
      <w:r w:rsidRPr="00947923">
        <w:rPr>
          <w:lang w:val="fr-FR"/>
        </w:rPr>
        <w:t>juillet 2022.  Des modifications du règlement d</w:t>
      </w:r>
      <w:r w:rsidR="00E9531F" w:rsidRPr="00947923">
        <w:rPr>
          <w:lang w:val="fr-FR"/>
        </w:rPr>
        <w:t>’</w:t>
      </w:r>
      <w:r w:rsidRPr="00947923">
        <w:rPr>
          <w:lang w:val="fr-FR"/>
        </w:rPr>
        <w:t xml:space="preserve">exécution du PCT et des instructions administratives, notamment des formulaires pertinents, </w:t>
      </w:r>
      <w:r w:rsidRPr="00947923">
        <w:rPr>
          <w:lang w:val="fr-FR"/>
        </w:rPr>
        <w:lastRenderedPageBreak/>
        <w:t>sont également entrées en vigueur à la même date et exigent que les divulgations des séquences soient présentées conformément à la norme ST.26 dans toute demande internationale déposée à cette date ou ultérieureme</w:t>
      </w:r>
      <w:bookmarkEnd w:id="5"/>
      <w:r w:rsidR="00EC7A31" w:rsidRPr="00947923">
        <w:rPr>
          <w:lang w:val="fr-FR"/>
        </w:rPr>
        <w:t>nt.  Ce</w:t>
      </w:r>
      <w:r w:rsidRPr="00947923">
        <w:rPr>
          <w:lang w:val="fr-FR"/>
        </w:rPr>
        <w:t xml:space="preserve"> document fait le point sur les récentes évolutions et présente certaines difficultés ainsi que les moyens possibles d</w:t>
      </w:r>
      <w:r w:rsidR="00E9531F" w:rsidRPr="00947923">
        <w:rPr>
          <w:lang w:val="fr-FR"/>
        </w:rPr>
        <w:t>’</w:t>
      </w:r>
      <w:r w:rsidRPr="00947923">
        <w:rPr>
          <w:lang w:val="fr-FR"/>
        </w:rPr>
        <w:t>améliorer les pratiques actuelles en matière de traitement des listages de séquences.</w:t>
      </w:r>
    </w:p>
    <w:p w14:paraId="24691D10" w14:textId="63E5581F" w:rsidR="009F2F0C" w:rsidRPr="00947923" w:rsidRDefault="009F2F0C" w:rsidP="009F2F0C">
      <w:pPr>
        <w:pStyle w:val="Heading1"/>
        <w:tabs>
          <w:tab w:val="center" w:pos="4677"/>
        </w:tabs>
        <w:rPr>
          <w:lang w:val="fr-FR"/>
        </w:rPr>
      </w:pPr>
      <w:r w:rsidRPr="00947923">
        <w:rPr>
          <w:lang w:val="fr-FR"/>
        </w:rPr>
        <w:t>Suite logicielle WIPO Sequence</w:t>
      </w:r>
      <w:r w:rsidRPr="00947923">
        <w:rPr>
          <w:lang w:val="fr-FR"/>
        </w:rPr>
        <w:tab/>
      </w:r>
    </w:p>
    <w:p w14:paraId="6F8CA61B" w14:textId="05933C1D" w:rsidR="009F2F0C" w:rsidRPr="00947923" w:rsidRDefault="009F2F0C" w:rsidP="00472223">
      <w:pPr>
        <w:pStyle w:val="ONUMFS"/>
        <w:rPr>
          <w:lang w:val="fr-FR"/>
        </w:rPr>
      </w:pPr>
      <w:r w:rsidRPr="00947923">
        <w:rPr>
          <w:lang w:val="fr-FR"/>
        </w:rPr>
        <w:t>Le Bureau international a mis au point une suite logicielle dénommée suite logicielle WIPO </w:t>
      </w:r>
      <w:proofErr w:type="spellStart"/>
      <w:r w:rsidRPr="00947923">
        <w:rPr>
          <w:lang w:val="fr-FR"/>
        </w:rPr>
        <w:t>Sequence</w:t>
      </w:r>
      <w:proofErr w:type="spellEnd"/>
      <w:r w:rsidRPr="00947923">
        <w:rPr>
          <w:lang w:val="fr-FR"/>
        </w:rPr>
        <w:t xml:space="preserve"> qui se compose des deux</w:t>
      </w:r>
      <w:r w:rsidR="00BA214F" w:rsidRPr="00947923">
        <w:rPr>
          <w:lang w:val="fr-FR"/>
        </w:rPr>
        <w:t> </w:t>
      </w:r>
      <w:r w:rsidRPr="00947923">
        <w:rPr>
          <w:lang w:val="fr-FR"/>
        </w:rPr>
        <w:t>éléments suivants</w:t>
      </w:r>
      <w:r w:rsidR="00E9531F" w:rsidRPr="00947923">
        <w:rPr>
          <w:lang w:val="fr-FR"/>
        </w:rPr>
        <w:t> :</w:t>
      </w:r>
    </w:p>
    <w:p w14:paraId="01CD5BF7" w14:textId="151EB54B" w:rsidR="009F2F0C" w:rsidRPr="00947923" w:rsidRDefault="009F2F0C" w:rsidP="00472223">
      <w:pPr>
        <w:pStyle w:val="ONUMFS"/>
        <w:numPr>
          <w:ilvl w:val="1"/>
          <w:numId w:val="6"/>
        </w:numPr>
        <w:rPr>
          <w:lang w:val="fr-FR"/>
        </w:rPr>
      </w:pPr>
      <w:r w:rsidRPr="00947923">
        <w:rPr>
          <w:lang w:val="fr-FR"/>
        </w:rPr>
        <w:t xml:space="preserve">WIPO </w:t>
      </w:r>
      <w:proofErr w:type="spellStart"/>
      <w:r w:rsidRPr="00947923">
        <w:rPr>
          <w:lang w:val="fr-FR"/>
        </w:rPr>
        <w:t>Sequence</w:t>
      </w:r>
      <w:proofErr w:type="spellEnd"/>
      <w:r w:rsidR="00E9531F" w:rsidRPr="00947923">
        <w:rPr>
          <w:lang w:val="fr-FR"/>
        </w:rPr>
        <w:t> :</w:t>
      </w:r>
      <w:r w:rsidRPr="00947923">
        <w:rPr>
          <w:lang w:val="fr-FR"/>
        </w:rPr>
        <w:t xml:space="preserve"> une application bureautique autonome, disponible pour Windows, Linux et </w:t>
      </w:r>
      <w:proofErr w:type="spellStart"/>
      <w:r w:rsidRPr="00947923">
        <w:rPr>
          <w:lang w:val="fr-FR"/>
        </w:rPr>
        <w:t>MacOS</w:t>
      </w:r>
      <w:proofErr w:type="spellEnd"/>
      <w:r w:rsidRPr="00947923">
        <w:rPr>
          <w:lang w:val="fr-FR"/>
        </w:rPr>
        <w:t xml:space="preserve">, qui permet aux déposants de créer et valider des listages de séquences conformément à la norme ST.26 de </w:t>
      </w:r>
      <w:proofErr w:type="gramStart"/>
      <w:r w:rsidRPr="00947923">
        <w:rPr>
          <w:lang w:val="fr-FR"/>
        </w:rPr>
        <w:t>l</w:t>
      </w:r>
      <w:r w:rsidR="00E9531F" w:rsidRPr="00947923">
        <w:rPr>
          <w:lang w:val="fr-FR"/>
        </w:rPr>
        <w:t>’</w:t>
      </w:r>
      <w:r w:rsidRPr="00947923">
        <w:rPr>
          <w:lang w:val="fr-FR"/>
        </w:rPr>
        <w:t>OMPI;  et</w:t>
      </w:r>
      <w:proofErr w:type="gramEnd"/>
    </w:p>
    <w:p w14:paraId="3E4DB379" w14:textId="4DB3524F" w:rsidR="009F2F0C" w:rsidRPr="00947923" w:rsidRDefault="009F2F0C" w:rsidP="00472223">
      <w:pPr>
        <w:pStyle w:val="ONUMFS"/>
        <w:numPr>
          <w:ilvl w:val="1"/>
          <w:numId w:val="6"/>
        </w:numPr>
        <w:rPr>
          <w:lang w:val="fr-FR"/>
        </w:rPr>
      </w:pPr>
      <w:r w:rsidRPr="00947923">
        <w:rPr>
          <w:lang w:val="fr-FR"/>
        </w:rPr>
        <w:t xml:space="preserve">WIPO </w:t>
      </w:r>
      <w:proofErr w:type="spellStart"/>
      <w:r w:rsidRPr="00947923">
        <w:rPr>
          <w:lang w:val="fr-FR"/>
        </w:rPr>
        <w:t>Sequence</w:t>
      </w:r>
      <w:proofErr w:type="spellEnd"/>
      <w:r w:rsidRPr="00947923">
        <w:rPr>
          <w:lang w:val="fr-FR"/>
        </w:rPr>
        <w:t xml:space="preserve"> </w:t>
      </w:r>
      <w:proofErr w:type="spellStart"/>
      <w:r w:rsidRPr="00947923">
        <w:rPr>
          <w:lang w:val="fr-FR"/>
        </w:rPr>
        <w:t>Validator</w:t>
      </w:r>
      <w:proofErr w:type="spellEnd"/>
      <w:r w:rsidR="00E9531F" w:rsidRPr="00947923">
        <w:rPr>
          <w:lang w:val="fr-FR"/>
        </w:rPr>
        <w:t> :</w:t>
      </w:r>
      <w:r w:rsidRPr="00947923">
        <w:rPr>
          <w:lang w:val="fr-FR"/>
        </w:rPr>
        <w:t xml:space="preserve"> un service Web qui fonctionne dans les environnements internes des offices de brevets pour vérifier que les listages de séquences déposés sont conformes à la norme ST.26 de l</w:t>
      </w:r>
      <w:r w:rsidR="00E9531F" w:rsidRPr="00947923">
        <w:rPr>
          <w:lang w:val="fr-FR"/>
        </w:rPr>
        <w:t>’</w:t>
      </w:r>
      <w:r w:rsidRPr="00947923">
        <w:rPr>
          <w:lang w:val="fr-FR"/>
        </w:rPr>
        <w:t>OMPI.</w:t>
      </w:r>
    </w:p>
    <w:p w14:paraId="30EAC823" w14:textId="36A3B3D6" w:rsidR="00E9531F" w:rsidRPr="00947923" w:rsidRDefault="009F2F0C" w:rsidP="00472223">
      <w:pPr>
        <w:pStyle w:val="ONUMFS"/>
        <w:rPr>
          <w:lang w:val="fr-FR"/>
        </w:rPr>
      </w:pPr>
      <w:r w:rsidRPr="00947923">
        <w:rPr>
          <w:lang w:val="fr-FR"/>
        </w:rPr>
        <w:t xml:space="preserve">Le développement et les essais de la suite logicielle WIPO </w:t>
      </w:r>
      <w:proofErr w:type="spellStart"/>
      <w:r w:rsidRPr="00947923">
        <w:rPr>
          <w:lang w:val="fr-FR"/>
        </w:rPr>
        <w:t>Sequence</w:t>
      </w:r>
      <w:proofErr w:type="spellEnd"/>
      <w:r w:rsidRPr="00947923">
        <w:rPr>
          <w:lang w:val="fr-FR"/>
        </w:rPr>
        <w:t xml:space="preserve"> sont une priorité et sont effectués en coordination avec l</w:t>
      </w:r>
      <w:r w:rsidR="00E9531F" w:rsidRPr="00947923">
        <w:rPr>
          <w:lang w:val="fr-FR"/>
        </w:rPr>
        <w:t>’</w:t>
      </w:r>
      <w:r w:rsidRPr="00947923">
        <w:rPr>
          <w:lang w:val="fr-FR"/>
        </w:rPr>
        <w:t>Équipe d</w:t>
      </w:r>
      <w:r w:rsidR="00E9531F" w:rsidRPr="00947923">
        <w:rPr>
          <w:lang w:val="fr-FR"/>
        </w:rPr>
        <w:t>’</w:t>
      </w:r>
      <w:r w:rsidRPr="00947923">
        <w:rPr>
          <w:lang w:val="fr-FR"/>
        </w:rPr>
        <w:t>experts chargée de la norme relative aux listages des séquences.</w:t>
      </w:r>
    </w:p>
    <w:p w14:paraId="1477EDF4" w14:textId="168D5EC0" w:rsidR="00E9531F" w:rsidRPr="00947923" w:rsidRDefault="009F2F0C" w:rsidP="00472223">
      <w:pPr>
        <w:pStyle w:val="ONUMFS"/>
        <w:rPr>
          <w:lang w:val="fr-FR"/>
        </w:rPr>
      </w:pPr>
      <w:r w:rsidRPr="00947923">
        <w:rPr>
          <w:lang w:val="fr-FR"/>
        </w:rPr>
        <w:t xml:space="preserve">La dernière version de WIPO </w:t>
      </w:r>
      <w:proofErr w:type="spellStart"/>
      <w:r w:rsidRPr="00947923">
        <w:rPr>
          <w:lang w:val="fr-FR"/>
        </w:rPr>
        <w:t>Sequence</w:t>
      </w:r>
      <w:proofErr w:type="spellEnd"/>
      <w:r w:rsidRPr="00947923">
        <w:rPr>
          <w:lang w:val="fr-FR"/>
        </w:rPr>
        <w:t xml:space="preserve"> </w:t>
      </w:r>
      <w:proofErr w:type="spellStart"/>
      <w:r w:rsidRPr="00947923">
        <w:rPr>
          <w:lang w:val="fr-FR"/>
        </w:rPr>
        <w:t>Validator</w:t>
      </w:r>
      <w:proofErr w:type="spellEnd"/>
      <w:r w:rsidRPr="00947923">
        <w:rPr>
          <w:lang w:val="fr-FR"/>
        </w:rPr>
        <w:t>, la version</w:t>
      </w:r>
      <w:r w:rsidR="00E9531F" w:rsidRPr="00947923">
        <w:rPr>
          <w:lang w:val="fr-FR"/>
        </w:rPr>
        <w:t> </w:t>
      </w:r>
      <w:r w:rsidRPr="00947923">
        <w:rPr>
          <w:lang w:val="fr-FR"/>
        </w:rPr>
        <w:t>3.0.0, a été mise à disposition en octobre 2024 et offre des performances nettement supérieures aux versions précédent</w:t>
      </w:r>
      <w:r w:rsidR="00EC7A31" w:rsidRPr="00947923">
        <w:rPr>
          <w:lang w:val="fr-FR"/>
        </w:rPr>
        <w:t>es.  El</w:t>
      </w:r>
      <w:r w:rsidRPr="00947923">
        <w:rPr>
          <w:lang w:val="fr-FR"/>
        </w:rPr>
        <w:t>le a notamment permis d</w:t>
      </w:r>
      <w:r w:rsidR="00E9531F" w:rsidRPr="00947923">
        <w:rPr>
          <w:lang w:val="fr-FR"/>
        </w:rPr>
        <w:t>’</w:t>
      </w:r>
      <w:r w:rsidRPr="00947923">
        <w:rPr>
          <w:lang w:val="fr-FR"/>
        </w:rPr>
        <w:t>éliminer les dépendances obsolèt</w:t>
      </w:r>
      <w:r w:rsidR="00EC7A31" w:rsidRPr="00947923">
        <w:rPr>
          <w:lang w:val="fr-FR"/>
        </w:rPr>
        <w:t>es.  Le</w:t>
      </w:r>
      <w:r w:rsidRPr="00947923">
        <w:rPr>
          <w:lang w:val="fr-FR"/>
        </w:rPr>
        <w:t xml:space="preserve"> manuel d</w:t>
      </w:r>
      <w:r w:rsidR="00E9531F" w:rsidRPr="00947923">
        <w:rPr>
          <w:lang w:val="fr-FR"/>
        </w:rPr>
        <w:t>’</w:t>
      </w:r>
      <w:r w:rsidRPr="00947923">
        <w:rPr>
          <w:lang w:val="fr-FR"/>
        </w:rPr>
        <w:t>utilisation a également été mis à disposition au format HTML dans10 langu</w:t>
      </w:r>
      <w:r w:rsidR="00EC7A31" w:rsidRPr="00947923">
        <w:rPr>
          <w:lang w:val="fr-FR"/>
        </w:rPr>
        <w:t>es.  Il</w:t>
      </w:r>
      <w:r w:rsidRPr="00947923">
        <w:rPr>
          <w:lang w:val="fr-FR"/>
        </w:rPr>
        <w:t xml:space="preserve"> constitue une ressource plus accessible et simplifiée pour les offices et permet le chargement de segments de codes pour faciliter un démarrage plus rapide et plus fiab</w:t>
      </w:r>
      <w:r w:rsidR="00EC7A31" w:rsidRPr="00947923">
        <w:rPr>
          <w:lang w:val="fr-FR"/>
        </w:rPr>
        <w:t>le.  De</w:t>
      </w:r>
      <w:r w:rsidRPr="00947923">
        <w:rPr>
          <w:lang w:val="fr-FR"/>
        </w:rPr>
        <w:t>puis sa publication, les offices ont signalé quelques bogues qui sont en cours de résoluti</w:t>
      </w:r>
      <w:r w:rsidR="00EC7A31" w:rsidRPr="00947923">
        <w:rPr>
          <w:lang w:val="fr-FR"/>
        </w:rPr>
        <w:t>on.  Un</w:t>
      </w:r>
      <w:r w:rsidRPr="00947923">
        <w:rPr>
          <w:lang w:val="fr-FR"/>
        </w:rPr>
        <w:t>e version corrective</w:t>
      </w:r>
      <w:r w:rsidR="00E9531F" w:rsidRPr="00947923">
        <w:rPr>
          <w:lang w:val="fr-FR"/>
        </w:rPr>
        <w:t> </w:t>
      </w:r>
      <w:r w:rsidRPr="00947923">
        <w:rPr>
          <w:lang w:val="fr-FR"/>
        </w:rPr>
        <w:t>3.0.1 devrait être mise à disposition en février 2025.</w:t>
      </w:r>
    </w:p>
    <w:p w14:paraId="7526A83D" w14:textId="21CF2749" w:rsidR="009F2F0C" w:rsidRPr="00947923" w:rsidRDefault="009F2F0C" w:rsidP="00472223">
      <w:pPr>
        <w:pStyle w:val="ONUMFS"/>
        <w:rPr>
          <w:lang w:val="fr-FR"/>
        </w:rPr>
      </w:pPr>
      <w:r w:rsidRPr="00947923">
        <w:rPr>
          <w:lang w:val="fr-FR"/>
        </w:rPr>
        <w:t>La version</w:t>
      </w:r>
      <w:r w:rsidR="00E9531F" w:rsidRPr="00947923">
        <w:rPr>
          <w:lang w:val="fr-FR"/>
        </w:rPr>
        <w:t> </w:t>
      </w:r>
      <w:r w:rsidRPr="00947923">
        <w:rPr>
          <w:lang w:val="fr-FR"/>
        </w:rPr>
        <w:t xml:space="preserve">3.0.0 de WIPO </w:t>
      </w:r>
      <w:proofErr w:type="spellStart"/>
      <w:r w:rsidRPr="00947923">
        <w:rPr>
          <w:lang w:val="fr-FR"/>
        </w:rPr>
        <w:t>Sequence</w:t>
      </w:r>
      <w:proofErr w:type="spellEnd"/>
      <w:r w:rsidRPr="00947923">
        <w:rPr>
          <w:lang w:val="fr-FR"/>
        </w:rPr>
        <w:t xml:space="preserve"> est encore en cours d</w:t>
      </w:r>
      <w:r w:rsidR="00E9531F" w:rsidRPr="00947923">
        <w:rPr>
          <w:lang w:val="fr-FR"/>
        </w:rPr>
        <w:t>’</w:t>
      </w:r>
      <w:r w:rsidRPr="00947923">
        <w:rPr>
          <w:lang w:val="fr-FR"/>
        </w:rPr>
        <w:t>ess</w:t>
      </w:r>
      <w:r w:rsidR="00EC7A31" w:rsidRPr="00947923">
        <w:rPr>
          <w:lang w:val="fr-FR"/>
        </w:rPr>
        <w:t>ai.  Le</w:t>
      </w:r>
      <w:r w:rsidRPr="00947923">
        <w:rPr>
          <w:lang w:val="fr-FR"/>
        </w:rPr>
        <w:t xml:space="preserve">s composantes obsolètes ont également été mises à niveau et WIPO </w:t>
      </w:r>
      <w:proofErr w:type="spellStart"/>
      <w:r w:rsidRPr="00947923">
        <w:rPr>
          <w:lang w:val="fr-FR"/>
        </w:rPr>
        <w:t>Sequence</w:t>
      </w:r>
      <w:proofErr w:type="spellEnd"/>
      <w:r w:rsidRPr="00947923">
        <w:rPr>
          <w:lang w:val="fr-FR"/>
        </w:rPr>
        <w:t xml:space="preserve"> </w:t>
      </w:r>
      <w:proofErr w:type="spellStart"/>
      <w:r w:rsidRPr="00947923">
        <w:rPr>
          <w:lang w:val="fr-FR"/>
        </w:rPr>
        <w:t>Validator</w:t>
      </w:r>
      <w:proofErr w:type="spellEnd"/>
      <w:r w:rsidRPr="00947923">
        <w:rPr>
          <w:lang w:val="fr-FR"/>
        </w:rPr>
        <w:t xml:space="preserve"> est désormais intégré, ce qui garantit une cohérence totale de la validation pour les déposants et leurs mandataires.</w:t>
      </w:r>
    </w:p>
    <w:p w14:paraId="67111D26" w14:textId="66209502" w:rsidR="009F2F0C" w:rsidRPr="00947923" w:rsidRDefault="009F2F0C" w:rsidP="009F2F0C">
      <w:pPr>
        <w:pStyle w:val="Heading1"/>
        <w:rPr>
          <w:lang w:val="fr-FR"/>
        </w:rPr>
      </w:pPr>
      <w:r w:rsidRPr="00947923">
        <w:rPr>
          <w:lang w:val="fr-FR"/>
        </w:rPr>
        <w:t>Élaboration de la norme ST.26 de l</w:t>
      </w:r>
      <w:r w:rsidR="00E9531F" w:rsidRPr="00947923">
        <w:rPr>
          <w:lang w:val="fr-FR"/>
        </w:rPr>
        <w:t>’</w:t>
      </w:r>
      <w:r w:rsidRPr="00947923">
        <w:rPr>
          <w:lang w:val="fr-FR"/>
        </w:rPr>
        <w:t>OMPI</w:t>
      </w:r>
    </w:p>
    <w:p w14:paraId="169837B7" w14:textId="338536FE" w:rsidR="009F2F0C" w:rsidRPr="00947923" w:rsidRDefault="009F2F0C" w:rsidP="00472223">
      <w:pPr>
        <w:pStyle w:val="ONUMFS"/>
        <w:rPr>
          <w:lang w:val="fr-FR"/>
        </w:rPr>
      </w:pPr>
      <w:r w:rsidRPr="00947923">
        <w:rPr>
          <w:lang w:val="fr-FR"/>
        </w:rPr>
        <w:t>La dernière version de la norme ST.26 de l</w:t>
      </w:r>
      <w:r w:rsidR="00E9531F" w:rsidRPr="00947923">
        <w:rPr>
          <w:lang w:val="fr-FR"/>
        </w:rPr>
        <w:t>’</w:t>
      </w:r>
      <w:r w:rsidRPr="00947923">
        <w:rPr>
          <w:lang w:val="fr-FR"/>
        </w:rPr>
        <w:t>OMPI, la version 1.7, est entrée en vigueur le</w:t>
      </w:r>
      <w:r w:rsidR="00E9531F" w:rsidRPr="00947923">
        <w:rPr>
          <w:lang w:val="fr-FR"/>
        </w:rPr>
        <w:t xml:space="preserve"> 1</w:t>
      </w:r>
      <w:r w:rsidR="00E9531F" w:rsidRPr="00947923">
        <w:rPr>
          <w:vertAlign w:val="superscript"/>
          <w:lang w:val="fr-FR"/>
        </w:rPr>
        <w:t>er</w:t>
      </w:r>
      <w:r w:rsidR="00E9531F" w:rsidRPr="00947923">
        <w:rPr>
          <w:lang w:val="fr-FR"/>
        </w:rPr>
        <w:t> </w:t>
      </w:r>
      <w:r w:rsidRPr="00947923">
        <w:rPr>
          <w:lang w:val="fr-FR"/>
        </w:rPr>
        <w:t>juillet 2024 et doit être utilisée pour toutes les demandes internationales, nationales et régionales déposées à cette date ou ultérieureme</w:t>
      </w:r>
      <w:r w:rsidR="00EC7A31" w:rsidRPr="00947923">
        <w:rPr>
          <w:lang w:val="fr-FR"/>
        </w:rPr>
        <w:t>nt.  Le</w:t>
      </w:r>
      <w:r w:rsidRPr="00947923">
        <w:rPr>
          <w:lang w:val="fr-FR"/>
        </w:rPr>
        <w:t>s modifications au regard de la version 1.6 sont essentiellement des clarifications et l</w:t>
      </w:r>
      <w:r w:rsidR="00E9531F" w:rsidRPr="00947923">
        <w:rPr>
          <w:lang w:val="fr-FR"/>
        </w:rPr>
        <w:t>’</w:t>
      </w:r>
      <w:r w:rsidRPr="00947923">
        <w:rPr>
          <w:lang w:val="fr-FR"/>
        </w:rPr>
        <w:t>ajout de plusieurs nouveaux exemples dans le guide.  L</w:t>
      </w:r>
      <w:r w:rsidR="00E9531F" w:rsidRPr="00947923">
        <w:rPr>
          <w:lang w:val="fr-FR"/>
        </w:rPr>
        <w:t>’</w:t>
      </w:r>
      <w:r w:rsidRPr="00947923">
        <w:rPr>
          <w:lang w:val="fr-FR"/>
        </w:rPr>
        <w:t>Équipe d</w:t>
      </w:r>
      <w:r w:rsidR="00E9531F" w:rsidRPr="00947923">
        <w:rPr>
          <w:lang w:val="fr-FR"/>
        </w:rPr>
        <w:t>’</w:t>
      </w:r>
      <w:r w:rsidRPr="00947923">
        <w:rPr>
          <w:lang w:val="fr-FR"/>
        </w:rPr>
        <w:t>experts chargée du listage des séquences étudie actuellement deux</w:t>
      </w:r>
      <w:r w:rsidR="00BA214F" w:rsidRPr="00947923">
        <w:rPr>
          <w:lang w:val="fr-FR"/>
        </w:rPr>
        <w:t> </w:t>
      </w:r>
      <w:r w:rsidRPr="00947923">
        <w:rPr>
          <w:lang w:val="fr-FR"/>
        </w:rPr>
        <w:t>révisions majeures qui doivent être présentées pour examen au CWS à sa treiz</w:t>
      </w:r>
      <w:r w:rsidR="00E9531F" w:rsidRPr="00947923">
        <w:rPr>
          <w:lang w:val="fr-FR"/>
        </w:rPr>
        <w:t>ième session</w:t>
      </w:r>
      <w:r w:rsidRPr="00947923">
        <w:rPr>
          <w:lang w:val="fr-FR"/>
        </w:rPr>
        <w:t>, qui se tiendra en novembre 2025.  La première, proposée par l</w:t>
      </w:r>
      <w:r w:rsidR="00E9531F" w:rsidRPr="00947923">
        <w:rPr>
          <w:lang w:val="fr-FR"/>
        </w:rPr>
        <w:t>’</w:t>
      </w:r>
      <w:r w:rsidRPr="00947923">
        <w:rPr>
          <w:lang w:val="fr-FR"/>
        </w:rPr>
        <w:t>Office européen des brevets, consisterait à supprimer l</w:t>
      </w:r>
      <w:r w:rsidR="00E9531F" w:rsidRPr="00947923">
        <w:rPr>
          <w:lang w:val="fr-FR"/>
        </w:rPr>
        <w:t>’</w:t>
      </w:r>
      <w:r w:rsidRPr="00947923">
        <w:rPr>
          <w:lang w:val="fr-FR"/>
        </w:rPr>
        <w:t>exigence de longueur minimale qui ne permet pas d</w:t>
      </w:r>
      <w:r w:rsidR="00E9531F" w:rsidRPr="00947923">
        <w:rPr>
          <w:lang w:val="fr-FR"/>
        </w:rPr>
        <w:t>’</w:t>
      </w:r>
      <w:r w:rsidRPr="00947923">
        <w:rPr>
          <w:lang w:val="fr-FR"/>
        </w:rPr>
        <w:t>inclure les séquences courtes dans un listage de séquenc</w:t>
      </w:r>
      <w:r w:rsidR="00EC7A31" w:rsidRPr="00947923">
        <w:rPr>
          <w:lang w:val="fr-FR"/>
        </w:rPr>
        <w:t>es.  La</w:t>
      </w:r>
      <w:r w:rsidRPr="00947923">
        <w:rPr>
          <w:lang w:val="fr-FR"/>
        </w:rPr>
        <w:t xml:space="preserve"> deuxième, proposée par l</w:t>
      </w:r>
      <w:r w:rsidR="00E9531F" w:rsidRPr="00947923">
        <w:rPr>
          <w:lang w:val="fr-FR"/>
        </w:rPr>
        <w:t>’</w:t>
      </w:r>
      <w:r w:rsidRPr="00947923">
        <w:rPr>
          <w:lang w:val="fr-FR"/>
        </w:rPr>
        <w:t>Office des brevets et des marques des États</w:t>
      </w:r>
      <w:r w:rsidR="00EC7A31" w:rsidRPr="00947923">
        <w:rPr>
          <w:lang w:val="fr-FR"/>
        </w:rPr>
        <w:noBreakHyphen/>
      </w:r>
      <w:r w:rsidRPr="00947923">
        <w:rPr>
          <w:lang w:val="fr-FR"/>
        </w:rPr>
        <w:t>Unis d</w:t>
      </w:r>
      <w:r w:rsidR="00E9531F" w:rsidRPr="00947923">
        <w:rPr>
          <w:lang w:val="fr-FR"/>
        </w:rPr>
        <w:t>’</w:t>
      </w:r>
      <w:r w:rsidRPr="00947923">
        <w:rPr>
          <w:lang w:val="fr-FR"/>
        </w:rPr>
        <w:t>Amérique, exigerait l</w:t>
      </w:r>
      <w:r w:rsidR="00E9531F" w:rsidRPr="00947923">
        <w:rPr>
          <w:lang w:val="fr-FR"/>
        </w:rPr>
        <w:t>’</w:t>
      </w:r>
      <w:r w:rsidRPr="00947923">
        <w:rPr>
          <w:lang w:val="fr-FR"/>
        </w:rPr>
        <w:t>inclusion de certains analogues peptidiques et nucléotidiques dans un listage de séquenc</w:t>
      </w:r>
      <w:r w:rsidR="00EC7A31" w:rsidRPr="00947923">
        <w:rPr>
          <w:lang w:val="fr-FR"/>
        </w:rPr>
        <w:t>es.  Si</w:t>
      </w:r>
      <w:r w:rsidRPr="00947923">
        <w:rPr>
          <w:lang w:val="fr-FR"/>
        </w:rPr>
        <w:t xml:space="preserve"> ces deux modifications de fond sont approuvées, la nouvelle version de la norme ST.26 de l</w:t>
      </w:r>
      <w:r w:rsidR="00E9531F" w:rsidRPr="00947923">
        <w:rPr>
          <w:lang w:val="fr-FR"/>
        </w:rPr>
        <w:t>’</w:t>
      </w:r>
      <w:r w:rsidRPr="00947923">
        <w:rPr>
          <w:lang w:val="fr-FR"/>
        </w:rPr>
        <w:t xml:space="preserve">OMPI sera la version 2.0.  La première de ces modifications nécessitera également des mises à jour importantes de la suite logicielle WIPO </w:t>
      </w:r>
      <w:proofErr w:type="spellStart"/>
      <w:r w:rsidRPr="00947923">
        <w:rPr>
          <w:lang w:val="fr-FR"/>
        </w:rPr>
        <w:t>Sequence</w:t>
      </w:r>
      <w:proofErr w:type="spellEnd"/>
      <w:r w:rsidRPr="00947923">
        <w:rPr>
          <w:lang w:val="fr-FR"/>
        </w:rPr>
        <w:t xml:space="preserve"> avant la date d</w:t>
      </w:r>
      <w:r w:rsidR="00E9531F" w:rsidRPr="00947923">
        <w:rPr>
          <w:lang w:val="fr-FR"/>
        </w:rPr>
        <w:t>’</w:t>
      </w:r>
      <w:r w:rsidRPr="00947923">
        <w:rPr>
          <w:lang w:val="fr-FR"/>
        </w:rPr>
        <w:t>entrée en vigueur de la nouvelle version de la norme.</w:t>
      </w:r>
    </w:p>
    <w:p w14:paraId="689E1316" w14:textId="4050A7D4" w:rsidR="009F2F0C" w:rsidRPr="00947923" w:rsidRDefault="009F2F0C" w:rsidP="009F2F0C">
      <w:pPr>
        <w:pStyle w:val="Heading1"/>
        <w:tabs>
          <w:tab w:val="center" w:pos="4677"/>
        </w:tabs>
        <w:rPr>
          <w:lang w:val="fr-FR"/>
        </w:rPr>
      </w:pPr>
      <w:r w:rsidRPr="00947923">
        <w:rPr>
          <w:lang w:val="fr-FR"/>
        </w:rPr>
        <w:lastRenderedPageBreak/>
        <w:t>F</w:t>
      </w:r>
      <w:r w:rsidR="00472223" w:rsidRPr="00947923">
        <w:rPr>
          <w:lang w:val="fr-FR"/>
        </w:rPr>
        <w:t>ormat des paquets de données pour l</w:t>
      </w:r>
      <w:r w:rsidR="00E9531F" w:rsidRPr="00947923">
        <w:rPr>
          <w:lang w:val="fr-FR"/>
        </w:rPr>
        <w:t>’</w:t>
      </w:r>
      <w:r w:rsidR="00472223" w:rsidRPr="00947923">
        <w:rPr>
          <w:lang w:val="fr-FR"/>
        </w:rPr>
        <w:t>échange électronique de documents de priorité</w:t>
      </w:r>
    </w:p>
    <w:p w14:paraId="3C33CDEE" w14:textId="463F34DD" w:rsidR="00E9531F" w:rsidRPr="00947923" w:rsidRDefault="009F2F0C" w:rsidP="00472223">
      <w:pPr>
        <w:pStyle w:val="ONUMFS"/>
        <w:rPr>
          <w:lang w:val="fr-FR"/>
        </w:rPr>
      </w:pPr>
      <w:r w:rsidRPr="00947923">
        <w:rPr>
          <w:lang w:val="fr-FR"/>
        </w:rPr>
        <w:t>À sa douz</w:t>
      </w:r>
      <w:r w:rsidR="00E9531F" w:rsidRPr="00947923">
        <w:rPr>
          <w:lang w:val="fr-FR"/>
        </w:rPr>
        <w:t>ième session</w:t>
      </w:r>
      <w:r w:rsidRPr="00947923">
        <w:rPr>
          <w:lang w:val="fr-FR"/>
        </w:rPr>
        <w:t>, tenue du 16 au 19 septembre 2024, le CWS a adopté la nouvelle norme ST.92 de l</w:t>
      </w:r>
      <w:r w:rsidR="00E9531F" w:rsidRPr="00947923">
        <w:rPr>
          <w:lang w:val="fr-FR"/>
        </w:rPr>
        <w:t>’</w:t>
      </w:r>
      <w:r w:rsidRPr="00947923">
        <w:rPr>
          <w:lang w:val="fr-FR"/>
        </w:rPr>
        <w:t>OMPI concernant le format des paquets de données pour l</w:t>
      </w:r>
      <w:r w:rsidR="00E9531F" w:rsidRPr="00947923">
        <w:rPr>
          <w:lang w:val="fr-FR"/>
        </w:rPr>
        <w:t>’</w:t>
      </w:r>
      <w:r w:rsidRPr="00947923">
        <w:rPr>
          <w:lang w:val="fr-FR"/>
        </w:rPr>
        <w:t>échange électronique des documents de priori</w:t>
      </w:r>
      <w:r w:rsidR="00EC7A31" w:rsidRPr="00947923">
        <w:rPr>
          <w:lang w:val="fr-FR"/>
        </w:rPr>
        <w:t>té.  Ce</w:t>
      </w:r>
      <w:r w:rsidRPr="00947923">
        <w:rPr>
          <w:lang w:val="fr-FR"/>
        </w:rPr>
        <w:t>tte norme vise à améliorer le traitement des documents de priorité en permettant l</w:t>
      </w:r>
      <w:r w:rsidR="00E9531F" w:rsidRPr="00947923">
        <w:rPr>
          <w:lang w:val="fr-FR"/>
        </w:rPr>
        <w:t>’</w:t>
      </w:r>
      <w:r w:rsidRPr="00947923">
        <w:rPr>
          <w:lang w:val="fr-FR"/>
        </w:rPr>
        <w:t>échange électronique de formats de texte structurés et en particulier de listages des séquences au format XML prescrit par la norme ST.26 de l</w:t>
      </w:r>
      <w:r w:rsidR="00E9531F" w:rsidRPr="00947923">
        <w:rPr>
          <w:lang w:val="fr-FR"/>
        </w:rPr>
        <w:t>’</w:t>
      </w:r>
      <w:r w:rsidRPr="00947923">
        <w:rPr>
          <w:lang w:val="fr-FR"/>
        </w:rPr>
        <w:t xml:space="preserve">OMPI, au lieu de se limiter à des fichiers </w:t>
      </w:r>
      <w:r w:rsidR="00EC7A31" w:rsidRPr="00947923">
        <w:rPr>
          <w:lang w:val="fr-FR"/>
        </w:rPr>
        <w:t>PDF.  La</w:t>
      </w:r>
      <w:r w:rsidRPr="00947923">
        <w:rPr>
          <w:lang w:val="fr-FR"/>
        </w:rPr>
        <w:t xml:space="preserve"> mise en œuvre de la nouvelle norme a été provisoirement arrêtée au</w:t>
      </w:r>
      <w:r w:rsidR="00E9531F" w:rsidRPr="00947923">
        <w:rPr>
          <w:lang w:val="fr-FR"/>
        </w:rPr>
        <w:t xml:space="preserve"> 1</w:t>
      </w:r>
      <w:r w:rsidR="00E9531F" w:rsidRPr="00947923">
        <w:rPr>
          <w:vertAlign w:val="superscript"/>
          <w:lang w:val="fr-FR"/>
        </w:rPr>
        <w:t>er</w:t>
      </w:r>
      <w:r w:rsidR="00E9531F" w:rsidRPr="00947923">
        <w:rPr>
          <w:lang w:val="fr-FR"/>
        </w:rPr>
        <w:t> </w:t>
      </w:r>
      <w:r w:rsidRPr="00947923">
        <w:rPr>
          <w:lang w:val="fr-FR"/>
        </w:rPr>
        <w:t>juillet 2027.  Elle nécessitera des travaux de développement informatique de la part du Bureau international pour les systèmes du PCT et le Service d</w:t>
      </w:r>
      <w:r w:rsidR="00E9531F" w:rsidRPr="00947923">
        <w:rPr>
          <w:lang w:val="fr-FR"/>
        </w:rPr>
        <w:t>’</w:t>
      </w:r>
      <w:r w:rsidRPr="00947923">
        <w:rPr>
          <w:lang w:val="fr-FR"/>
        </w:rPr>
        <w:t>accès numérique aux documents de priorité de l</w:t>
      </w:r>
      <w:r w:rsidR="00E9531F" w:rsidRPr="00947923">
        <w:rPr>
          <w:lang w:val="fr-FR"/>
        </w:rPr>
        <w:t>’</w:t>
      </w:r>
      <w:r w:rsidRPr="00947923">
        <w:rPr>
          <w:lang w:val="fr-FR"/>
        </w:rPr>
        <w:t>OMPI (DAS), ainsi que de la part des offices nationaux.</w:t>
      </w:r>
    </w:p>
    <w:p w14:paraId="5EC829B7" w14:textId="57F063DC" w:rsidR="009F2F0C" w:rsidRPr="00947923" w:rsidRDefault="009F2F0C" w:rsidP="009F2F0C">
      <w:pPr>
        <w:pStyle w:val="Heading1"/>
        <w:tabs>
          <w:tab w:val="center" w:pos="4677"/>
        </w:tabs>
        <w:rPr>
          <w:lang w:val="fr-FR"/>
        </w:rPr>
      </w:pPr>
      <w:r w:rsidRPr="00947923">
        <w:rPr>
          <w:lang w:val="fr-FR"/>
        </w:rPr>
        <w:t>Traitement des listages de séquences selon le PCT</w:t>
      </w:r>
    </w:p>
    <w:p w14:paraId="3FF54518" w14:textId="67DCB093" w:rsidR="009F2F0C" w:rsidRPr="00947923" w:rsidRDefault="009F2F0C" w:rsidP="00472223">
      <w:pPr>
        <w:pStyle w:val="ONUMFS"/>
        <w:rPr>
          <w:lang w:val="fr-FR"/>
        </w:rPr>
      </w:pPr>
      <w:r w:rsidRPr="00947923">
        <w:rPr>
          <w:lang w:val="fr-FR"/>
        </w:rPr>
        <w:t>Depuis juillet 2022, le Bureau international a reçu quelque 32 000 demandes internationales comportant un listage de séquenc</w:t>
      </w:r>
      <w:r w:rsidR="00EC7A31" w:rsidRPr="00947923">
        <w:rPr>
          <w:lang w:val="fr-FR"/>
        </w:rPr>
        <w:t>es.  Po</w:t>
      </w:r>
      <w:r w:rsidRPr="00947923">
        <w:rPr>
          <w:lang w:val="fr-FR"/>
        </w:rPr>
        <w:t>ur la plupart d</w:t>
      </w:r>
      <w:r w:rsidR="00E9531F" w:rsidRPr="00947923">
        <w:rPr>
          <w:lang w:val="fr-FR"/>
        </w:rPr>
        <w:t>’</w:t>
      </w:r>
      <w:r w:rsidRPr="00947923">
        <w:rPr>
          <w:lang w:val="fr-FR"/>
        </w:rPr>
        <w:t>entre elles, le traitement a été simple et conforme aux prévisions, mais un nombre important d</w:t>
      </w:r>
      <w:r w:rsidR="00E9531F" w:rsidRPr="00947923">
        <w:rPr>
          <w:lang w:val="fr-FR"/>
        </w:rPr>
        <w:t>’</w:t>
      </w:r>
      <w:r w:rsidRPr="00947923">
        <w:rPr>
          <w:lang w:val="fr-FR"/>
        </w:rPr>
        <w:t>entre elles a posé des problèmes qui nécessiteraient des interventions plus poussées de la part du personnel.</w:t>
      </w:r>
    </w:p>
    <w:p w14:paraId="3F688DF9" w14:textId="77777777" w:rsidR="009F2F0C" w:rsidRPr="00947923" w:rsidRDefault="009F2F0C" w:rsidP="009F2F0C">
      <w:pPr>
        <w:pStyle w:val="Heading3"/>
        <w:rPr>
          <w:lang w:val="fr-FR"/>
        </w:rPr>
      </w:pPr>
      <w:r w:rsidRPr="00947923">
        <w:rPr>
          <w:lang w:val="fr-FR"/>
        </w:rPr>
        <w:t>Validation du listage des séquences</w:t>
      </w:r>
    </w:p>
    <w:p w14:paraId="291B64A6" w14:textId="4F6E4274" w:rsidR="009F2F0C" w:rsidRPr="00947923" w:rsidRDefault="009F2F0C" w:rsidP="00472223">
      <w:pPr>
        <w:pStyle w:val="ONUMFS"/>
        <w:rPr>
          <w:lang w:val="fr-FR"/>
        </w:rPr>
      </w:pPr>
      <w:r w:rsidRPr="00947923">
        <w:rPr>
          <w:lang w:val="fr-FR"/>
        </w:rPr>
        <w:t xml:space="preserve">WIPO </w:t>
      </w:r>
      <w:proofErr w:type="spellStart"/>
      <w:r w:rsidRPr="00947923">
        <w:rPr>
          <w:lang w:val="fr-FR"/>
        </w:rPr>
        <w:t>Sequence</w:t>
      </w:r>
      <w:proofErr w:type="spellEnd"/>
      <w:r w:rsidRPr="00947923">
        <w:rPr>
          <w:lang w:val="fr-FR"/>
        </w:rPr>
        <w:t xml:space="preserve"> </w:t>
      </w:r>
      <w:proofErr w:type="spellStart"/>
      <w:r w:rsidRPr="00947923">
        <w:rPr>
          <w:lang w:val="fr-FR"/>
        </w:rPr>
        <w:t>Validator</w:t>
      </w:r>
      <w:proofErr w:type="spellEnd"/>
      <w:r w:rsidRPr="00947923">
        <w:rPr>
          <w:lang w:val="fr-FR"/>
        </w:rPr>
        <w:t xml:space="preserve"> propose deux types de validation</w:t>
      </w:r>
      <w:r w:rsidR="00E9531F" w:rsidRPr="00947923">
        <w:rPr>
          <w:lang w:val="fr-FR"/>
        </w:rPr>
        <w:t> :</w:t>
      </w:r>
      <w:r w:rsidRPr="00947923">
        <w:rPr>
          <w:lang w:val="fr-FR"/>
        </w:rPr>
        <w:t xml:space="preserve"> une validation “de formalité” et une validation “complète”. </w:t>
      </w:r>
      <w:r w:rsidR="00E9531F" w:rsidRPr="00947923">
        <w:rPr>
          <w:lang w:val="fr-FR"/>
        </w:rPr>
        <w:t xml:space="preserve"> </w:t>
      </w:r>
      <w:r w:rsidRPr="00947923">
        <w:rPr>
          <w:lang w:val="fr-FR"/>
        </w:rPr>
        <w:t>La validation “de formalité” consiste à vérifier que le fichier est bien dans un format XML et qu</w:t>
      </w:r>
      <w:r w:rsidR="00E9531F" w:rsidRPr="00947923">
        <w:rPr>
          <w:lang w:val="fr-FR"/>
        </w:rPr>
        <w:t>’</w:t>
      </w:r>
      <w:r w:rsidRPr="00947923">
        <w:rPr>
          <w:lang w:val="fr-FR"/>
        </w:rPr>
        <w:t>il est conforme à la Définition de type de document (DTD) de la norme</w:t>
      </w:r>
      <w:r w:rsidR="00E9531F" w:rsidRPr="00947923">
        <w:rPr>
          <w:lang w:val="fr-FR"/>
        </w:rPr>
        <w:t> </w:t>
      </w:r>
      <w:r w:rsidRPr="00947923">
        <w:rPr>
          <w:lang w:val="fr-FR"/>
        </w:rPr>
        <w:t>ST.26 de l</w:t>
      </w:r>
      <w:r w:rsidR="00E9531F" w:rsidRPr="00947923">
        <w:rPr>
          <w:lang w:val="fr-FR"/>
        </w:rPr>
        <w:t>’</w:t>
      </w:r>
      <w:r w:rsidRPr="00947923">
        <w:rPr>
          <w:lang w:val="fr-FR"/>
        </w:rPr>
        <w:t>OMPI.</w:t>
      </w:r>
      <w:r w:rsidR="00BA214F" w:rsidRPr="00947923">
        <w:rPr>
          <w:lang w:val="fr-FR"/>
        </w:rPr>
        <w:t xml:space="preserve"> </w:t>
      </w:r>
      <w:r w:rsidRPr="00947923">
        <w:rPr>
          <w:lang w:val="fr-FR"/>
        </w:rPr>
        <w:t xml:space="preserve"> La validation “complète” commence par la validation de formalité puis se poursuit par un contrôle de la conformité à un ensemble de règles de vérification déduites du corps de la norme ST.26 de l</w:t>
      </w:r>
      <w:r w:rsidR="00E9531F" w:rsidRPr="00947923">
        <w:rPr>
          <w:lang w:val="fr-FR"/>
        </w:rPr>
        <w:t>’</w:t>
      </w:r>
      <w:r w:rsidRPr="00947923">
        <w:rPr>
          <w:lang w:val="fr-FR"/>
        </w:rPr>
        <w:t>O</w:t>
      </w:r>
      <w:r w:rsidR="00EC7A31" w:rsidRPr="00947923">
        <w:rPr>
          <w:lang w:val="fr-FR"/>
        </w:rPr>
        <w:t>MPI.  En</w:t>
      </w:r>
      <w:r w:rsidRPr="00947923">
        <w:rPr>
          <w:lang w:val="fr-FR"/>
        </w:rPr>
        <w:t xml:space="preserve"> dépit de l</w:t>
      </w:r>
      <w:r w:rsidR="00E9531F" w:rsidRPr="00947923">
        <w:rPr>
          <w:lang w:val="fr-FR"/>
        </w:rPr>
        <w:t>’</w:t>
      </w:r>
      <w:r w:rsidRPr="00947923">
        <w:rPr>
          <w:lang w:val="fr-FR"/>
        </w:rPr>
        <w:t>amélioration des performances de la nouvelle version, le manuel d</w:t>
      </w:r>
      <w:r w:rsidR="00E9531F" w:rsidRPr="00947923">
        <w:rPr>
          <w:lang w:val="fr-FR"/>
        </w:rPr>
        <w:t>’</w:t>
      </w:r>
      <w:r w:rsidRPr="00947923">
        <w:rPr>
          <w:lang w:val="fr-FR"/>
        </w:rPr>
        <w:t xml:space="preserve">utilisation de WIPO </w:t>
      </w:r>
      <w:proofErr w:type="spellStart"/>
      <w:r w:rsidRPr="00947923">
        <w:rPr>
          <w:lang w:val="fr-FR"/>
        </w:rPr>
        <w:t>Sequence</w:t>
      </w:r>
      <w:proofErr w:type="spellEnd"/>
      <w:r w:rsidRPr="00947923">
        <w:rPr>
          <w:lang w:val="fr-FR"/>
        </w:rPr>
        <w:t xml:space="preserve"> </w:t>
      </w:r>
      <w:proofErr w:type="spellStart"/>
      <w:r w:rsidRPr="00947923">
        <w:rPr>
          <w:lang w:val="fr-FR"/>
        </w:rPr>
        <w:t>Validator</w:t>
      </w:r>
      <w:proofErr w:type="spellEnd"/>
      <w:r w:rsidRPr="00947923">
        <w:rPr>
          <w:lang w:val="fr-FR"/>
        </w:rPr>
        <w:t xml:space="preserve"> recommande d</w:t>
      </w:r>
      <w:r w:rsidR="00E9531F" w:rsidRPr="00947923">
        <w:rPr>
          <w:lang w:val="fr-FR"/>
        </w:rPr>
        <w:t>’</w:t>
      </w:r>
      <w:r w:rsidRPr="00947923">
        <w:rPr>
          <w:lang w:val="fr-FR"/>
        </w:rPr>
        <w:t>utiliser la validation complète uniquement dans le cadre de traitement de lots, dans la mesure où cette validation prend plus de temps que la validation de formalité.</w:t>
      </w:r>
    </w:p>
    <w:p w14:paraId="1AF0E9F5" w14:textId="22BE86D4" w:rsidR="009F2F0C" w:rsidRPr="00947923" w:rsidRDefault="009F2F0C" w:rsidP="00472223">
      <w:pPr>
        <w:pStyle w:val="ONUMFS"/>
        <w:rPr>
          <w:lang w:val="fr-FR"/>
        </w:rPr>
      </w:pPr>
      <w:r w:rsidRPr="00947923">
        <w:rPr>
          <w:lang w:val="fr-FR"/>
        </w:rPr>
        <w:t>Les listages de séquences créés à l</w:t>
      </w:r>
      <w:r w:rsidR="00E9531F" w:rsidRPr="00947923">
        <w:rPr>
          <w:lang w:val="fr-FR"/>
        </w:rPr>
        <w:t>’</w:t>
      </w:r>
      <w:r w:rsidRPr="00947923">
        <w:rPr>
          <w:lang w:val="fr-FR"/>
        </w:rPr>
        <w:t>aide de WIPO </w:t>
      </w:r>
      <w:proofErr w:type="spellStart"/>
      <w:r w:rsidRPr="00947923">
        <w:rPr>
          <w:lang w:val="fr-FR"/>
        </w:rPr>
        <w:t>Sequence</w:t>
      </w:r>
      <w:proofErr w:type="spellEnd"/>
      <w:r w:rsidRPr="00947923">
        <w:rPr>
          <w:lang w:val="fr-FR"/>
        </w:rPr>
        <w:t xml:space="preserve"> ne doivent pas contenir d</w:t>
      </w:r>
      <w:r w:rsidR="00E9531F" w:rsidRPr="00947923">
        <w:rPr>
          <w:lang w:val="fr-FR"/>
        </w:rPr>
        <w:t>’</w:t>
      </w:r>
      <w:r w:rsidRPr="00947923">
        <w:rPr>
          <w:lang w:val="fr-FR"/>
        </w:rPr>
        <w:t xml:space="preserve">erreurs pouvant être identifiées par WIPO </w:t>
      </w:r>
      <w:proofErr w:type="spellStart"/>
      <w:r w:rsidRPr="00947923">
        <w:rPr>
          <w:lang w:val="fr-FR"/>
        </w:rPr>
        <w:t>Sequence</w:t>
      </w:r>
      <w:proofErr w:type="spellEnd"/>
      <w:r w:rsidRPr="00947923">
        <w:rPr>
          <w:lang w:val="fr-FR"/>
        </w:rPr>
        <w:t xml:space="preserve"> </w:t>
      </w:r>
      <w:proofErr w:type="spellStart"/>
      <w:r w:rsidRPr="00947923">
        <w:rPr>
          <w:lang w:val="fr-FR"/>
        </w:rPr>
        <w:t>Validator</w:t>
      </w:r>
      <w:proofErr w:type="spellEnd"/>
      <w:r w:rsidRPr="00947923">
        <w:rPr>
          <w:lang w:val="fr-FR"/>
        </w:rPr>
        <w:t xml:space="preserve"> (même s</w:t>
      </w:r>
      <w:r w:rsidR="00E9531F" w:rsidRPr="00947923">
        <w:rPr>
          <w:lang w:val="fr-FR"/>
        </w:rPr>
        <w:t>’</w:t>
      </w:r>
      <w:r w:rsidRPr="00947923">
        <w:rPr>
          <w:lang w:val="fr-FR"/>
        </w:rPr>
        <w:t>il peut y avoir des avertissements), puisque les mêmes règles de validation sont utilisées lorsque le listage des séquences est généré par le déposa</w:t>
      </w:r>
      <w:r w:rsidR="00EC7A31" w:rsidRPr="00947923">
        <w:rPr>
          <w:lang w:val="fr-FR"/>
        </w:rPr>
        <w:t>nt.  Ce</w:t>
      </w:r>
      <w:r w:rsidRPr="00947923">
        <w:rPr>
          <w:lang w:val="fr-FR"/>
        </w:rPr>
        <w:t>pendant, il a été reçu un nombre considérable de listages de séquences pour lesquels il apparaît que bien qu</w:t>
      </w:r>
      <w:r w:rsidR="00E9531F" w:rsidRPr="00947923">
        <w:rPr>
          <w:lang w:val="fr-FR"/>
        </w:rPr>
        <w:t>’</w:t>
      </w:r>
      <w:r w:rsidRPr="00947923">
        <w:rPr>
          <w:lang w:val="fr-FR"/>
        </w:rPr>
        <w:t>il soit indiqué que ces listages avaient été créés à l</w:t>
      </w:r>
      <w:r w:rsidR="00E9531F" w:rsidRPr="00947923">
        <w:rPr>
          <w:lang w:val="fr-FR"/>
        </w:rPr>
        <w:t>’</w:t>
      </w:r>
      <w:r w:rsidRPr="00947923">
        <w:rPr>
          <w:lang w:val="fr-FR"/>
        </w:rPr>
        <w:t xml:space="preserve">aide de WIPO </w:t>
      </w:r>
      <w:proofErr w:type="spellStart"/>
      <w:r w:rsidRPr="00947923">
        <w:rPr>
          <w:lang w:val="fr-FR"/>
        </w:rPr>
        <w:t>Sequence</w:t>
      </w:r>
      <w:proofErr w:type="spellEnd"/>
      <w:r w:rsidRPr="00947923">
        <w:rPr>
          <w:lang w:val="fr-FR"/>
        </w:rPr>
        <w:t>, un post</w:t>
      </w:r>
      <w:r w:rsidR="00EC7A31" w:rsidRPr="00947923">
        <w:rPr>
          <w:lang w:val="fr-FR"/>
        </w:rPr>
        <w:noBreakHyphen/>
      </w:r>
      <w:r w:rsidRPr="00947923">
        <w:rPr>
          <w:lang w:val="fr-FR"/>
        </w:rPr>
        <w:t>traitement manuel à l</w:t>
      </w:r>
      <w:r w:rsidR="00E9531F" w:rsidRPr="00947923">
        <w:rPr>
          <w:lang w:val="fr-FR"/>
        </w:rPr>
        <w:t>’</w:t>
      </w:r>
      <w:r w:rsidRPr="00947923">
        <w:rPr>
          <w:lang w:val="fr-FR"/>
        </w:rPr>
        <w:t>aide d</w:t>
      </w:r>
      <w:r w:rsidR="00E9531F" w:rsidRPr="00947923">
        <w:rPr>
          <w:lang w:val="fr-FR"/>
        </w:rPr>
        <w:t>’</w:t>
      </w:r>
      <w:r w:rsidRPr="00947923">
        <w:rPr>
          <w:lang w:val="fr-FR"/>
        </w:rPr>
        <w:t xml:space="preserve">un éditeur de texte avait été effectué sans que le résultat ne soit validé par WIPO </w:t>
      </w:r>
      <w:proofErr w:type="spellStart"/>
      <w:r w:rsidRPr="00947923">
        <w:rPr>
          <w:lang w:val="fr-FR"/>
        </w:rPr>
        <w:t>Sequence</w:t>
      </w:r>
      <w:proofErr w:type="spellEnd"/>
      <w:r w:rsidRPr="00947923">
        <w:rPr>
          <w:lang w:val="fr-FR"/>
        </w:rPr>
        <w:t xml:space="preserve"> en vue de s</w:t>
      </w:r>
      <w:r w:rsidR="00E9531F" w:rsidRPr="00947923">
        <w:rPr>
          <w:lang w:val="fr-FR"/>
        </w:rPr>
        <w:t>’</w:t>
      </w:r>
      <w:r w:rsidRPr="00947923">
        <w:rPr>
          <w:lang w:val="fr-FR"/>
        </w:rPr>
        <w:t>assurer que le listage obtenu restait conforme à la norme ST.26 de l</w:t>
      </w:r>
      <w:r w:rsidR="00E9531F" w:rsidRPr="00947923">
        <w:rPr>
          <w:lang w:val="fr-FR"/>
        </w:rPr>
        <w:t>’</w:t>
      </w:r>
      <w:r w:rsidRPr="00947923">
        <w:rPr>
          <w:lang w:val="fr-FR"/>
        </w:rPr>
        <w:t>OMPI.</w:t>
      </w:r>
    </w:p>
    <w:p w14:paraId="272CAF70" w14:textId="01B01E04" w:rsidR="00E9531F" w:rsidRPr="00947923" w:rsidRDefault="009F2F0C" w:rsidP="00472223">
      <w:pPr>
        <w:pStyle w:val="ONUMFS"/>
        <w:rPr>
          <w:lang w:val="fr-FR"/>
        </w:rPr>
      </w:pPr>
      <w:r w:rsidRPr="00947923">
        <w:rPr>
          <w:lang w:val="fr-FR"/>
        </w:rPr>
        <w:t>Pour l</w:t>
      </w:r>
      <w:r w:rsidR="00E9531F" w:rsidRPr="00947923">
        <w:rPr>
          <w:lang w:val="fr-FR"/>
        </w:rPr>
        <w:t>’</w:t>
      </w:r>
      <w:r w:rsidRPr="00947923">
        <w:rPr>
          <w:lang w:val="fr-FR"/>
        </w:rPr>
        <w:t>heure, les systèmes du Bureau international n</w:t>
      </w:r>
      <w:r w:rsidR="00E9531F" w:rsidRPr="00947923">
        <w:rPr>
          <w:lang w:val="fr-FR"/>
        </w:rPr>
        <w:t>’</w:t>
      </w:r>
      <w:r w:rsidRPr="00947923">
        <w:rPr>
          <w:lang w:val="fr-FR"/>
        </w:rPr>
        <w:t xml:space="preserve">utilisent pas la vérification de la validation complète effectuée par WIPO </w:t>
      </w:r>
      <w:proofErr w:type="spellStart"/>
      <w:r w:rsidRPr="00947923">
        <w:rPr>
          <w:lang w:val="fr-FR"/>
        </w:rPr>
        <w:t>Sequence</w:t>
      </w:r>
      <w:proofErr w:type="spellEnd"/>
      <w:r w:rsidRPr="00947923">
        <w:rPr>
          <w:lang w:val="fr-FR"/>
        </w:rPr>
        <w:t xml:space="preserve"> </w:t>
      </w:r>
      <w:proofErr w:type="spellStart"/>
      <w:r w:rsidRPr="00947923">
        <w:rPr>
          <w:lang w:val="fr-FR"/>
        </w:rPr>
        <w:t>Validator</w:t>
      </w:r>
      <w:proofErr w:type="spellEnd"/>
      <w:r w:rsidRPr="00947923">
        <w:rPr>
          <w:lang w:val="fr-FR"/>
        </w:rPr>
        <w:t xml:space="preserve"> lorsque les listages de séquences sont téléchargés dans le système </w:t>
      </w:r>
      <w:proofErr w:type="spellStart"/>
      <w:r w:rsidRPr="00947923">
        <w:rPr>
          <w:lang w:val="fr-FR"/>
        </w:rPr>
        <w:t>ePCT</w:t>
      </w:r>
      <w:proofErr w:type="spellEnd"/>
      <w:r w:rsidRPr="00947923">
        <w:rPr>
          <w:lang w:val="fr-FR"/>
        </w:rPr>
        <w:t xml:space="preserve"> ou lorsqu</w:t>
      </w:r>
      <w:r w:rsidR="00E9531F" w:rsidRPr="00947923">
        <w:rPr>
          <w:lang w:val="fr-FR"/>
        </w:rPr>
        <w:t>’</w:t>
      </w:r>
      <w:r w:rsidRPr="00947923">
        <w:rPr>
          <w:lang w:val="fr-FR"/>
        </w:rPr>
        <w:t>ils sont reçus d</w:t>
      </w:r>
      <w:r w:rsidR="00E9531F" w:rsidRPr="00947923">
        <w:rPr>
          <w:lang w:val="fr-FR"/>
        </w:rPr>
        <w:t>’</w:t>
      </w:r>
      <w:r w:rsidRPr="00947923">
        <w:rPr>
          <w:lang w:val="fr-FR"/>
        </w:rPr>
        <w:t>offices récepteurs et d</w:t>
      </w:r>
      <w:r w:rsidR="00E9531F" w:rsidRPr="00947923">
        <w:rPr>
          <w:lang w:val="fr-FR"/>
        </w:rPr>
        <w:t>’</w:t>
      </w:r>
      <w:r w:rsidRPr="00947923">
        <w:rPr>
          <w:lang w:val="fr-FR"/>
        </w:rPr>
        <w:t>administrations internationales par l</w:t>
      </w:r>
      <w:r w:rsidR="00E9531F" w:rsidRPr="00947923">
        <w:rPr>
          <w:lang w:val="fr-FR"/>
        </w:rPr>
        <w:t>’</w:t>
      </w:r>
      <w:r w:rsidRPr="00947923">
        <w:rPr>
          <w:lang w:val="fr-FR"/>
        </w:rPr>
        <w:t>intermédiaire du système PCT</w:t>
      </w:r>
      <w:r w:rsidR="00EC7A31" w:rsidRPr="00947923">
        <w:rPr>
          <w:lang w:val="fr-FR"/>
        </w:rPr>
        <w:noBreakHyphen/>
      </w:r>
      <w:r w:rsidRPr="00947923">
        <w:rPr>
          <w:lang w:val="fr-FR"/>
        </w:rPr>
        <w:t>EDI ou via d</w:t>
      </w:r>
      <w:r w:rsidR="00E9531F" w:rsidRPr="00947923">
        <w:rPr>
          <w:lang w:val="fr-FR"/>
        </w:rPr>
        <w:t>’</w:t>
      </w:r>
      <w:r w:rsidRPr="00947923">
        <w:rPr>
          <w:lang w:val="fr-FR"/>
        </w:rPr>
        <w:t xml:space="preserve">autres formes de </w:t>
      </w:r>
      <w:proofErr w:type="gramStart"/>
      <w:r w:rsidRPr="00947923">
        <w:rPr>
          <w:lang w:val="fr-FR"/>
        </w:rPr>
        <w:t>transmission;  ces</w:t>
      </w:r>
      <w:proofErr w:type="gramEnd"/>
      <w:r w:rsidRPr="00947923">
        <w:rPr>
          <w:lang w:val="fr-FR"/>
        </w:rPr>
        <w:t xml:space="preserve"> vérifications doivent être effectuées par les offices nationaux lorsqu</w:t>
      </w:r>
      <w:r w:rsidR="00E9531F" w:rsidRPr="00947923">
        <w:rPr>
          <w:lang w:val="fr-FR"/>
        </w:rPr>
        <w:t>’</w:t>
      </w:r>
      <w:r w:rsidRPr="00947923">
        <w:rPr>
          <w:lang w:val="fr-FR"/>
        </w:rPr>
        <w:t>ils ont besoin de ce type de détai</w:t>
      </w:r>
      <w:r w:rsidR="00EC7A31" w:rsidRPr="00947923">
        <w:rPr>
          <w:lang w:val="fr-FR"/>
        </w:rPr>
        <w:t>ls.  En</w:t>
      </w:r>
      <w:r w:rsidRPr="00947923">
        <w:rPr>
          <w:lang w:val="fr-FR"/>
        </w:rPr>
        <w:t xml:space="preserve"> outre, selon les directives à l</w:t>
      </w:r>
      <w:r w:rsidR="00E9531F" w:rsidRPr="00947923">
        <w:rPr>
          <w:lang w:val="fr-FR"/>
        </w:rPr>
        <w:t>’</w:t>
      </w:r>
      <w:r w:rsidRPr="00947923">
        <w:rPr>
          <w:lang w:val="fr-FR"/>
        </w:rPr>
        <w:t>usage des offices récepteurs du PCT et les Instructions administratives du PCT (annexe C), un office récepteur ou le Bureau international n</w:t>
      </w:r>
      <w:r w:rsidR="00E9531F" w:rsidRPr="00947923">
        <w:rPr>
          <w:lang w:val="fr-FR"/>
        </w:rPr>
        <w:t>’</w:t>
      </w:r>
      <w:r w:rsidRPr="00947923">
        <w:rPr>
          <w:lang w:val="fr-FR"/>
        </w:rPr>
        <w:t>est pas tenu de valider les listages des séquenc</w:t>
      </w:r>
      <w:r w:rsidR="00EC7A31" w:rsidRPr="00947923">
        <w:rPr>
          <w:lang w:val="fr-FR"/>
        </w:rPr>
        <w:t>es.  To</w:t>
      </w:r>
      <w:r w:rsidRPr="00947923">
        <w:rPr>
          <w:lang w:val="fr-FR"/>
        </w:rPr>
        <w:t>utefois, le Bureau international évalue actuellement la version</w:t>
      </w:r>
      <w:r w:rsidR="00E9531F" w:rsidRPr="00947923">
        <w:rPr>
          <w:lang w:val="fr-FR"/>
        </w:rPr>
        <w:t> </w:t>
      </w:r>
      <w:r w:rsidRPr="00947923">
        <w:rPr>
          <w:lang w:val="fr-FR"/>
        </w:rPr>
        <w:t xml:space="preserve">3.0.0 de WIPO </w:t>
      </w:r>
      <w:proofErr w:type="spellStart"/>
      <w:r w:rsidRPr="00947923">
        <w:rPr>
          <w:lang w:val="fr-FR"/>
        </w:rPr>
        <w:t>Sequence</w:t>
      </w:r>
      <w:proofErr w:type="spellEnd"/>
      <w:r w:rsidRPr="00947923">
        <w:rPr>
          <w:lang w:val="fr-FR"/>
        </w:rPr>
        <w:t xml:space="preserve"> </w:t>
      </w:r>
      <w:proofErr w:type="spellStart"/>
      <w:r w:rsidRPr="00947923">
        <w:rPr>
          <w:lang w:val="fr-FR"/>
        </w:rPr>
        <w:t>Validator</w:t>
      </w:r>
      <w:proofErr w:type="spellEnd"/>
      <w:r w:rsidRPr="00947923">
        <w:rPr>
          <w:lang w:val="fr-FR"/>
        </w:rPr>
        <w:t xml:space="preserve"> afin de déterminer si la validation complète peut être mise à disposition par l</w:t>
      </w:r>
      <w:r w:rsidR="00E9531F" w:rsidRPr="00947923">
        <w:rPr>
          <w:lang w:val="fr-FR"/>
        </w:rPr>
        <w:t>’</w:t>
      </w:r>
      <w:r w:rsidRPr="00947923">
        <w:rPr>
          <w:lang w:val="fr-FR"/>
        </w:rPr>
        <w:t xml:space="preserve">intermédiaire du portail </w:t>
      </w:r>
      <w:proofErr w:type="spellStart"/>
      <w:r w:rsidRPr="00947923">
        <w:rPr>
          <w:lang w:val="fr-FR"/>
        </w:rPr>
        <w:t>ePCT</w:t>
      </w:r>
      <w:proofErr w:type="spellEnd"/>
      <w:r w:rsidRPr="00947923">
        <w:rPr>
          <w:lang w:val="fr-FR"/>
        </w:rPr>
        <w:t xml:space="preserve"> et de PATENTSCOPE, soit dans le cadre d</w:t>
      </w:r>
      <w:r w:rsidR="00E9531F" w:rsidRPr="00947923">
        <w:rPr>
          <w:lang w:val="fr-FR"/>
        </w:rPr>
        <w:t>’</w:t>
      </w:r>
      <w:r w:rsidRPr="00947923">
        <w:rPr>
          <w:lang w:val="fr-FR"/>
        </w:rPr>
        <w:t>une action de routine effectuée à la réception d</w:t>
      </w:r>
      <w:r w:rsidR="00E9531F" w:rsidRPr="00947923">
        <w:rPr>
          <w:lang w:val="fr-FR"/>
        </w:rPr>
        <w:t>’</w:t>
      </w:r>
      <w:r w:rsidRPr="00947923">
        <w:rPr>
          <w:lang w:val="fr-FR"/>
        </w:rPr>
        <w:t>un listage de séquences, soit sur demande.</w:t>
      </w:r>
    </w:p>
    <w:p w14:paraId="2C4B2FBC" w14:textId="2A700997" w:rsidR="009F2F0C" w:rsidRPr="00947923" w:rsidRDefault="009F2F0C" w:rsidP="009F2F0C">
      <w:pPr>
        <w:pStyle w:val="Heading3"/>
        <w:rPr>
          <w:lang w:val="fr-FR"/>
        </w:rPr>
      </w:pPr>
      <w:r w:rsidRPr="00947923">
        <w:rPr>
          <w:lang w:val="fr-FR"/>
        </w:rPr>
        <w:t>Listage des séquences en vertu de la règle 13</w:t>
      </w:r>
      <w:r w:rsidRPr="00947923">
        <w:rPr>
          <w:i/>
          <w:iCs/>
          <w:lang w:val="fr-FR"/>
        </w:rPr>
        <w:t>ter</w:t>
      </w:r>
    </w:p>
    <w:p w14:paraId="5B731863" w14:textId="75F6A34B" w:rsidR="009F2F0C" w:rsidRPr="00947923" w:rsidRDefault="009F2F0C" w:rsidP="00472223">
      <w:pPr>
        <w:pStyle w:val="ONUMFS"/>
        <w:rPr>
          <w:lang w:val="fr-FR"/>
        </w:rPr>
      </w:pPr>
      <w:r w:rsidRPr="00947923">
        <w:rPr>
          <w:lang w:val="fr-FR"/>
        </w:rPr>
        <w:t>Le recours à la règle 13</w:t>
      </w:r>
      <w:r w:rsidRPr="00947923">
        <w:rPr>
          <w:i/>
          <w:lang w:val="fr-FR"/>
        </w:rPr>
        <w:t>ter</w:t>
      </w:r>
      <w:r w:rsidRPr="00947923">
        <w:rPr>
          <w:lang w:val="fr-FR"/>
        </w:rPr>
        <w:t xml:space="preserve"> pour demander des listages de séquences aux fins d</w:t>
      </w:r>
      <w:r w:rsidR="00E9531F" w:rsidRPr="00947923">
        <w:rPr>
          <w:lang w:val="fr-FR"/>
        </w:rPr>
        <w:t>’</w:t>
      </w:r>
      <w:r w:rsidRPr="00947923">
        <w:rPr>
          <w:lang w:val="fr-FR"/>
        </w:rPr>
        <w:t>une recherche internationale a diminué à la suite de la mise en place de la norme ST.26 de l</w:t>
      </w:r>
      <w:r w:rsidR="00E9531F" w:rsidRPr="00947923">
        <w:rPr>
          <w:lang w:val="fr-FR"/>
        </w:rPr>
        <w:t>’</w:t>
      </w:r>
      <w:r w:rsidRPr="00947923">
        <w:rPr>
          <w:lang w:val="fr-FR"/>
        </w:rPr>
        <w:t>OMPI, mais pas autant que pré</w:t>
      </w:r>
      <w:r w:rsidR="00EC7A31" w:rsidRPr="00947923">
        <w:rPr>
          <w:lang w:val="fr-FR"/>
        </w:rPr>
        <w:t>vu.  Il</w:t>
      </w:r>
      <w:r w:rsidRPr="00947923">
        <w:rPr>
          <w:lang w:val="fr-FR"/>
        </w:rPr>
        <w:t xml:space="preserve"> avait été espéré que les demandes internationales divulguant des séquences nécessitant un listage des séquences contiendraient toutes un listage des séquences conforme à la norme, validé avant transmission et considéré comme approprié pour une recherche internationa</w:t>
      </w:r>
      <w:r w:rsidR="00EC7A31" w:rsidRPr="00947923">
        <w:rPr>
          <w:lang w:val="fr-FR"/>
        </w:rPr>
        <w:t>le.  Or</w:t>
      </w:r>
      <w:r w:rsidRPr="00947923">
        <w:rPr>
          <w:lang w:val="fr-FR"/>
        </w:rPr>
        <w:t>, environ 14% des demandes internationales contenant un listage de séquences comprennent une transmission au titre de la règle 13</w:t>
      </w:r>
      <w:r w:rsidRPr="00947923">
        <w:rPr>
          <w:i/>
          <w:lang w:val="fr-FR"/>
        </w:rPr>
        <w:t>t</w:t>
      </w:r>
      <w:r w:rsidR="00EC7A31" w:rsidRPr="00947923">
        <w:rPr>
          <w:i/>
          <w:lang w:val="fr-FR"/>
        </w:rPr>
        <w:t xml:space="preserve">er.  </w:t>
      </w:r>
      <w:r w:rsidR="00EC7A31" w:rsidRPr="00947923">
        <w:rPr>
          <w:lang w:val="fr-FR"/>
        </w:rPr>
        <w:t>Il</w:t>
      </w:r>
      <w:r w:rsidRPr="00947923">
        <w:rPr>
          <w:lang w:val="fr-FR"/>
        </w:rPr>
        <w:t xml:space="preserve"> s</w:t>
      </w:r>
      <w:r w:rsidR="00E9531F" w:rsidRPr="00947923">
        <w:rPr>
          <w:lang w:val="fr-FR"/>
        </w:rPr>
        <w:t>’</w:t>
      </w:r>
      <w:r w:rsidRPr="00947923">
        <w:rPr>
          <w:lang w:val="fr-FR"/>
        </w:rPr>
        <w:t>agit</w:t>
      </w:r>
      <w:r w:rsidR="00E9531F" w:rsidRPr="00947923">
        <w:rPr>
          <w:lang w:val="fr-FR"/>
        </w:rPr>
        <w:t> :</w:t>
      </w:r>
    </w:p>
    <w:p w14:paraId="279BB75C" w14:textId="77777777" w:rsidR="00E9531F" w:rsidRPr="00947923" w:rsidRDefault="009F2F0C" w:rsidP="00472223">
      <w:pPr>
        <w:pStyle w:val="ONUMFS"/>
        <w:numPr>
          <w:ilvl w:val="1"/>
          <w:numId w:val="6"/>
        </w:numPr>
        <w:rPr>
          <w:lang w:val="fr-FR"/>
        </w:rPr>
      </w:pPr>
      <w:proofErr w:type="gramStart"/>
      <w:r w:rsidRPr="00947923">
        <w:rPr>
          <w:lang w:val="fr-FR"/>
        </w:rPr>
        <w:t>des</w:t>
      </w:r>
      <w:proofErr w:type="gramEnd"/>
      <w:r w:rsidRPr="00947923">
        <w:rPr>
          <w:lang w:val="fr-FR"/>
        </w:rPr>
        <w:t xml:space="preserve"> cas où les listages de séquences figurant dans la demande internationale telle que déposée ont été jugés imparfaits et comme nécessitant un listage conforme à la norme à des fins de recherche;  et</w:t>
      </w:r>
    </w:p>
    <w:p w14:paraId="667843D5" w14:textId="0A0B0AC4" w:rsidR="00E9531F" w:rsidRPr="00947923" w:rsidRDefault="009F2F0C" w:rsidP="00472223">
      <w:pPr>
        <w:pStyle w:val="ONUMFS"/>
        <w:numPr>
          <w:ilvl w:val="1"/>
          <w:numId w:val="6"/>
        </w:numPr>
        <w:rPr>
          <w:lang w:val="fr-FR"/>
        </w:rPr>
      </w:pPr>
      <w:proofErr w:type="gramStart"/>
      <w:r w:rsidRPr="00947923">
        <w:rPr>
          <w:lang w:val="fr-FR"/>
        </w:rPr>
        <w:t>des</w:t>
      </w:r>
      <w:proofErr w:type="gramEnd"/>
      <w:r w:rsidRPr="00947923">
        <w:rPr>
          <w:lang w:val="fr-FR"/>
        </w:rPr>
        <w:t xml:space="preserve"> cas où aucun listage n</w:t>
      </w:r>
      <w:r w:rsidR="00E9531F" w:rsidRPr="00947923">
        <w:rPr>
          <w:lang w:val="fr-FR"/>
        </w:rPr>
        <w:t>’</w:t>
      </w:r>
      <w:r w:rsidRPr="00947923">
        <w:rPr>
          <w:lang w:val="fr-FR"/>
        </w:rPr>
        <w:t>avait été initialement transmis, mais où la demande internationale divulguait des séquences qui auraient dû figurer dans un listage.</w:t>
      </w:r>
    </w:p>
    <w:p w14:paraId="45EDEF42" w14:textId="212B5A9F" w:rsidR="009F2F0C" w:rsidRPr="00947923" w:rsidRDefault="009F2F0C" w:rsidP="00472223">
      <w:pPr>
        <w:pStyle w:val="ONUMFS"/>
        <w:rPr>
          <w:lang w:val="fr-FR"/>
        </w:rPr>
      </w:pPr>
      <w:r w:rsidRPr="00947923">
        <w:rPr>
          <w:lang w:val="fr-FR"/>
        </w:rPr>
        <w:t>Le tableau 1 ci</w:t>
      </w:r>
      <w:r w:rsidR="00EC7A31" w:rsidRPr="00947923">
        <w:rPr>
          <w:lang w:val="fr-FR"/>
        </w:rPr>
        <w:noBreakHyphen/>
      </w:r>
      <w:r w:rsidRPr="00947923">
        <w:rPr>
          <w:lang w:val="fr-FR"/>
        </w:rPr>
        <w:t>dessous présente un aperçu à fin décembre 2024 du nombre de demandes internationales déposées le 1</w:t>
      </w:r>
      <w:r w:rsidRPr="00947923">
        <w:rPr>
          <w:vertAlign w:val="superscript"/>
          <w:lang w:val="fr-FR"/>
        </w:rPr>
        <w:t>er</w:t>
      </w:r>
      <w:r w:rsidRPr="00947923">
        <w:rPr>
          <w:lang w:val="fr-FR"/>
        </w:rPr>
        <w:t> juillet ou après cette date pour lesquelles le Bureau international avait reçu un listage de séquences d</w:t>
      </w:r>
      <w:r w:rsidR="00E9531F" w:rsidRPr="00947923">
        <w:rPr>
          <w:lang w:val="fr-FR"/>
        </w:rPr>
        <w:t>’</w:t>
      </w:r>
      <w:r w:rsidRPr="00947923">
        <w:rPr>
          <w:lang w:val="fr-FR"/>
        </w:rPr>
        <w:t>un type ou d</w:t>
      </w:r>
      <w:r w:rsidR="00E9531F" w:rsidRPr="00947923">
        <w:rPr>
          <w:lang w:val="fr-FR"/>
        </w:rPr>
        <w:t>’</w:t>
      </w:r>
      <w:r w:rsidRPr="00947923">
        <w:rPr>
          <w:lang w:val="fr-FR"/>
        </w:rPr>
        <w:t>un autre, ventilé par office récepte</w:t>
      </w:r>
      <w:r w:rsidR="00EC7A31" w:rsidRPr="00947923">
        <w:rPr>
          <w:lang w:val="fr-FR"/>
        </w:rPr>
        <w:t>ur.  Le</w:t>
      </w:r>
      <w:r w:rsidRPr="00947923">
        <w:rPr>
          <w:lang w:val="fr-FR"/>
        </w:rPr>
        <w:t>s colonnes deux</w:t>
      </w:r>
      <w:r w:rsidR="00BA214F" w:rsidRPr="00947923">
        <w:rPr>
          <w:lang w:val="fr-FR"/>
        </w:rPr>
        <w:t> </w:t>
      </w:r>
      <w:r w:rsidRPr="00947923">
        <w:rPr>
          <w:lang w:val="fr-FR"/>
        </w:rPr>
        <w:t>à quatre</w:t>
      </w:r>
      <w:r w:rsidR="00BA214F" w:rsidRPr="00947923">
        <w:rPr>
          <w:lang w:val="fr-FR"/>
        </w:rPr>
        <w:t> </w:t>
      </w:r>
      <w:r w:rsidRPr="00947923">
        <w:rPr>
          <w:lang w:val="fr-FR"/>
        </w:rPr>
        <w:t>indiquent</w:t>
      </w:r>
      <w:r w:rsidR="00E9531F" w:rsidRPr="00947923">
        <w:rPr>
          <w:lang w:val="fr-FR"/>
        </w:rPr>
        <w:t> :</w:t>
      </w:r>
    </w:p>
    <w:p w14:paraId="54007F95" w14:textId="618A4725" w:rsidR="009F2F0C" w:rsidRPr="00947923" w:rsidRDefault="009F2F0C" w:rsidP="00472223">
      <w:pPr>
        <w:pStyle w:val="ONUMFS"/>
        <w:numPr>
          <w:ilvl w:val="1"/>
          <w:numId w:val="6"/>
        </w:numPr>
        <w:rPr>
          <w:lang w:val="fr-FR"/>
        </w:rPr>
      </w:pPr>
      <w:proofErr w:type="gramStart"/>
      <w:r w:rsidRPr="00947923">
        <w:rPr>
          <w:lang w:val="fr-FR"/>
        </w:rPr>
        <w:t>le</w:t>
      </w:r>
      <w:proofErr w:type="gramEnd"/>
      <w:r w:rsidRPr="00947923">
        <w:rPr>
          <w:lang w:val="fr-FR"/>
        </w:rPr>
        <w:t xml:space="preserve"> nombre de demandes internationales comportant un type, quel qu</w:t>
      </w:r>
      <w:r w:rsidR="00E9531F" w:rsidRPr="00947923">
        <w:rPr>
          <w:lang w:val="fr-FR"/>
        </w:rPr>
        <w:t>’</w:t>
      </w:r>
      <w:r w:rsidRPr="00947923">
        <w:rPr>
          <w:lang w:val="fr-FR"/>
        </w:rPr>
        <w:t>il soit, de listage de séquences sur fichier;</w:t>
      </w:r>
    </w:p>
    <w:p w14:paraId="322B5158" w14:textId="522B3B88" w:rsidR="009F2F0C" w:rsidRPr="00947923" w:rsidRDefault="009F2F0C" w:rsidP="00472223">
      <w:pPr>
        <w:pStyle w:val="ONUMFS"/>
        <w:numPr>
          <w:ilvl w:val="1"/>
          <w:numId w:val="6"/>
        </w:numPr>
        <w:rPr>
          <w:lang w:val="fr-FR"/>
        </w:rPr>
      </w:pPr>
      <w:proofErr w:type="gramStart"/>
      <w:r w:rsidRPr="00947923">
        <w:rPr>
          <w:lang w:val="fr-FR"/>
        </w:rPr>
        <w:t>le</w:t>
      </w:r>
      <w:proofErr w:type="gramEnd"/>
      <w:r w:rsidRPr="00947923">
        <w:rPr>
          <w:lang w:val="fr-FR"/>
        </w:rPr>
        <w:t xml:space="preserve"> nombre de demandes internationales comprenant un listage de séquences en vertu de la règle 13</w:t>
      </w:r>
      <w:r w:rsidRPr="00947923">
        <w:rPr>
          <w:i/>
          <w:lang w:val="fr-FR"/>
        </w:rPr>
        <w:t>ter</w:t>
      </w:r>
      <w:r w:rsidRPr="00947923">
        <w:rPr>
          <w:lang w:val="fr-FR"/>
        </w:rPr>
        <w:t>, en sus d</w:t>
      </w:r>
      <w:r w:rsidR="00E9531F" w:rsidRPr="00947923">
        <w:rPr>
          <w:lang w:val="fr-FR"/>
        </w:rPr>
        <w:t>’</w:t>
      </w:r>
      <w:r w:rsidRPr="00947923">
        <w:rPr>
          <w:lang w:val="fr-FR"/>
        </w:rPr>
        <w:t>un listage qui avait été inclus dans la demande internationale telle que déposée;  et</w:t>
      </w:r>
    </w:p>
    <w:p w14:paraId="42DC6B1E" w14:textId="77777777" w:rsidR="009F2F0C" w:rsidRPr="00947923" w:rsidRDefault="009F2F0C" w:rsidP="00472223">
      <w:pPr>
        <w:pStyle w:val="ONUMFS"/>
        <w:numPr>
          <w:ilvl w:val="1"/>
          <w:numId w:val="6"/>
        </w:numPr>
        <w:rPr>
          <w:lang w:val="fr-FR"/>
        </w:rPr>
      </w:pPr>
      <w:proofErr w:type="gramStart"/>
      <w:r w:rsidRPr="00947923">
        <w:rPr>
          <w:lang w:val="fr-FR"/>
        </w:rPr>
        <w:t>le</w:t>
      </w:r>
      <w:proofErr w:type="gramEnd"/>
      <w:r w:rsidRPr="00947923">
        <w:rPr>
          <w:lang w:val="fr-FR"/>
        </w:rPr>
        <w:t xml:space="preserve"> nombre de demandes internationales comprenant un listage de séquences au titre de la règle 13</w:t>
      </w:r>
      <w:r w:rsidRPr="00947923">
        <w:rPr>
          <w:i/>
          <w:lang w:val="fr-FR"/>
        </w:rPr>
        <w:t>ter</w:t>
      </w:r>
      <w:r w:rsidRPr="00947923">
        <w:rPr>
          <w:lang w:val="fr-FR"/>
        </w:rPr>
        <w:t xml:space="preserve"> pour lequel la demande internationale ne contenait aucun listage de séquences.</w:t>
      </w:r>
    </w:p>
    <w:p w14:paraId="1D06490C" w14:textId="5B05E68E" w:rsidR="009F2F0C" w:rsidRPr="00947923" w:rsidRDefault="009F2F0C" w:rsidP="009F2F0C">
      <w:pPr>
        <w:rPr>
          <w:i/>
          <w:iCs/>
          <w:lang w:val="fr-FR"/>
        </w:rPr>
      </w:pPr>
      <w:r w:rsidRPr="00947923">
        <w:rPr>
          <w:i/>
          <w:lang w:val="fr-FR"/>
        </w:rPr>
        <w:t>Tableau</w:t>
      </w:r>
      <w:r w:rsidR="00E9531F" w:rsidRPr="00947923">
        <w:rPr>
          <w:i/>
          <w:lang w:val="fr-FR"/>
        </w:rPr>
        <w:t> </w:t>
      </w:r>
      <w:r w:rsidRPr="00947923">
        <w:rPr>
          <w:i/>
          <w:lang w:val="fr-FR"/>
        </w:rPr>
        <w:t>1</w:t>
      </w:r>
      <w:r w:rsidR="00E9531F" w:rsidRPr="00947923">
        <w:rPr>
          <w:i/>
          <w:lang w:val="fr-FR"/>
        </w:rPr>
        <w:t> :</w:t>
      </w:r>
      <w:r w:rsidRPr="00947923">
        <w:rPr>
          <w:i/>
          <w:lang w:val="fr-FR"/>
        </w:rPr>
        <w:t xml:space="preserve"> Nombre de demandes internationales contenant des listages de séquences réalisés par l</w:t>
      </w:r>
      <w:r w:rsidR="00E9531F" w:rsidRPr="00947923">
        <w:rPr>
          <w:i/>
          <w:lang w:val="fr-FR"/>
        </w:rPr>
        <w:t>’</w:t>
      </w:r>
      <w:r w:rsidRPr="00947923">
        <w:rPr>
          <w:i/>
          <w:lang w:val="fr-FR"/>
        </w:rPr>
        <w:t>office récepteur</w:t>
      </w:r>
    </w:p>
    <w:p w14:paraId="152D2176" w14:textId="77777777" w:rsidR="009F2F0C" w:rsidRPr="00947923" w:rsidRDefault="009F2F0C" w:rsidP="009F2F0C">
      <w:pPr>
        <w:rPr>
          <w:b/>
          <w:bCs/>
          <w:i/>
          <w:iCs/>
          <w:lang w:val="fr-FR"/>
        </w:rPr>
      </w:pPr>
    </w:p>
    <w:tbl>
      <w:tblPr>
        <w:tblStyle w:val="TableGrid"/>
        <w:tblW w:w="0" w:type="auto"/>
        <w:tblLook w:val="04A0" w:firstRow="1" w:lastRow="0" w:firstColumn="1" w:lastColumn="0" w:noHBand="0" w:noVBand="1"/>
      </w:tblPr>
      <w:tblGrid>
        <w:gridCol w:w="1415"/>
        <w:gridCol w:w="1426"/>
        <w:gridCol w:w="2835"/>
        <w:gridCol w:w="2977"/>
      </w:tblGrid>
      <w:tr w:rsidR="009F2F0C" w:rsidRPr="00947923" w14:paraId="08976C5B" w14:textId="77777777" w:rsidTr="001D2DC4">
        <w:trPr>
          <w:trHeight w:val="288"/>
          <w:tblHeader/>
        </w:trPr>
        <w:tc>
          <w:tcPr>
            <w:tcW w:w="1256" w:type="dxa"/>
            <w:noWrap/>
          </w:tcPr>
          <w:p w14:paraId="7F696602" w14:textId="77777777" w:rsidR="009F2F0C" w:rsidRPr="00947923" w:rsidRDefault="009F2F0C" w:rsidP="001D2DC4">
            <w:pPr>
              <w:jc w:val="center"/>
              <w:rPr>
                <w:b/>
                <w:bCs/>
                <w:color w:val="000000"/>
                <w:szCs w:val="22"/>
              </w:rPr>
            </w:pPr>
            <w:r w:rsidRPr="00947923">
              <w:rPr>
                <w:b/>
                <w:color w:val="000000"/>
              </w:rPr>
              <w:t>Office récepteur</w:t>
            </w:r>
          </w:p>
        </w:tc>
        <w:tc>
          <w:tcPr>
            <w:tcW w:w="1291" w:type="dxa"/>
            <w:noWrap/>
          </w:tcPr>
          <w:p w14:paraId="097B5922" w14:textId="77777777" w:rsidR="009F2F0C" w:rsidRPr="00947923" w:rsidRDefault="009F2F0C" w:rsidP="001D2DC4">
            <w:pPr>
              <w:jc w:val="center"/>
              <w:rPr>
                <w:b/>
                <w:bCs/>
                <w:color w:val="000000"/>
                <w:szCs w:val="22"/>
              </w:rPr>
            </w:pPr>
            <w:r w:rsidRPr="00947923">
              <w:rPr>
                <w:b/>
                <w:color w:val="000000"/>
              </w:rPr>
              <w:t>Total des demandes comportant des listages</w:t>
            </w:r>
          </w:p>
        </w:tc>
        <w:tc>
          <w:tcPr>
            <w:tcW w:w="2835" w:type="dxa"/>
            <w:noWrap/>
          </w:tcPr>
          <w:p w14:paraId="5C17314F" w14:textId="77777777" w:rsidR="009F2F0C" w:rsidRPr="00947923" w:rsidRDefault="009F2F0C" w:rsidP="001D2DC4">
            <w:pPr>
              <w:jc w:val="center"/>
              <w:rPr>
                <w:b/>
                <w:bCs/>
                <w:color w:val="000000"/>
                <w:szCs w:val="22"/>
              </w:rPr>
            </w:pPr>
            <w:r w:rsidRPr="00947923">
              <w:rPr>
                <w:b/>
                <w:color w:val="000000"/>
              </w:rPr>
              <w:t>Règle 13</w:t>
            </w:r>
            <w:r w:rsidRPr="00947923">
              <w:rPr>
                <w:b/>
                <w:i/>
                <w:color w:val="000000"/>
              </w:rPr>
              <w:t>ter</w:t>
            </w:r>
            <w:r w:rsidRPr="00947923">
              <w:rPr>
                <w:b/>
                <w:color w:val="000000"/>
              </w:rPr>
              <w:t xml:space="preserve"> en sus des listages présents au moment du dépôt</w:t>
            </w:r>
          </w:p>
        </w:tc>
        <w:tc>
          <w:tcPr>
            <w:tcW w:w="2977" w:type="dxa"/>
            <w:noWrap/>
          </w:tcPr>
          <w:p w14:paraId="7DE6DDF1" w14:textId="77777777" w:rsidR="00E9531F" w:rsidRPr="00947923" w:rsidRDefault="009F2F0C" w:rsidP="001D2DC4">
            <w:pPr>
              <w:jc w:val="center"/>
              <w:rPr>
                <w:b/>
                <w:color w:val="000000"/>
              </w:rPr>
            </w:pPr>
            <w:r w:rsidRPr="00947923">
              <w:rPr>
                <w:b/>
                <w:color w:val="000000"/>
              </w:rPr>
              <w:t>Remis postérieurement uniquement</w:t>
            </w:r>
          </w:p>
          <w:p w14:paraId="1DE8D746" w14:textId="1BD60E14" w:rsidR="009F2F0C" w:rsidRPr="00947923" w:rsidRDefault="009F2F0C" w:rsidP="001D2DC4">
            <w:pPr>
              <w:jc w:val="center"/>
              <w:rPr>
                <w:b/>
                <w:bCs/>
                <w:color w:val="000000"/>
                <w:szCs w:val="22"/>
              </w:rPr>
            </w:pPr>
            <w:r w:rsidRPr="00947923">
              <w:rPr>
                <w:b/>
                <w:color w:val="000000"/>
              </w:rPr>
              <w:t>Règle 13</w:t>
            </w:r>
            <w:r w:rsidRPr="00947923">
              <w:rPr>
                <w:b/>
                <w:i/>
                <w:color w:val="000000"/>
              </w:rPr>
              <w:t>ter</w:t>
            </w:r>
          </w:p>
        </w:tc>
      </w:tr>
      <w:tr w:rsidR="009F2F0C" w:rsidRPr="00947923" w14:paraId="5B483838" w14:textId="77777777" w:rsidTr="001D2DC4">
        <w:trPr>
          <w:trHeight w:val="288"/>
        </w:trPr>
        <w:tc>
          <w:tcPr>
            <w:tcW w:w="1256" w:type="dxa"/>
            <w:noWrap/>
            <w:hideMark/>
          </w:tcPr>
          <w:p w14:paraId="34248875" w14:textId="77777777" w:rsidR="009F2F0C" w:rsidRPr="00947923" w:rsidRDefault="009F2F0C" w:rsidP="001D2DC4">
            <w:pPr>
              <w:jc w:val="center"/>
              <w:rPr>
                <w:color w:val="000000"/>
                <w:szCs w:val="22"/>
              </w:rPr>
            </w:pPr>
            <w:r w:rsidRPr="00947923">
              <w:rPr>
                <w:color w:val="000000"/>
              </w:rPr>
              <w:t>AU</w:t>
            </w:r>
          </w:p>
        </w:tc>
        <w:tc>
          <w:tcPr>
            <w:tcW w:w="1291" w:type="dxa"/>
            <w:noWrap/>
            <w:hideMark/>
          </w:tcPr>
          <w:p w14:paraId="7893C4D5" w14:textId="77777777" w:rsidR="009F2F0C" w:rsidRPr="00947923" w:rsidRDefault="009F2F0C" w:rsidP="001D2DC4">
            <w:pPr>
              <w:jc w:val="right"/>
              <w:rPr>
                <w:color w:val="000000"/>
                <w:szCs w:val="22"/>
              </w:rPr>
            </w:pPr>
            <w:r w:rsidRPr="00947923">
              <w:rPr>
                <w:color w:val="000000"/>
              </w:rPr>
              <w:t>289</w:t>
            </w:r>
          </w:p>
        </w:tc>
        <w:tc>
          <w:tcPr>
            <w:tcW w:w="2835" w:type="dxa"/>
            <w:noWrap/>
            <w:hideMark/>
          </w:tcPr>
          <w:p w14:paraId="57F31D25" w14:textId="77777777" w:rsidR="009F2F0C" w:rsidRPr="00947923" w:rsidRDefault="009F2F0C" w:rsidP="001D2DC4">
            <w:pPr>
              <w:jc w:val="right"/>
              <w:rPr>
                <w:color w:val="000000"/>
                <w:szCs w:val="22"/>
              </w:rPr>
            </w:pPr>
          </w:p>
        </w:tc>
        <w:tc>
          <w:tcPr>
            <w:tcW w:w="2977" w:type="dxa"/>
            <w:noWrap/>
            <w:hideMark/>
          </w:tcPr>
          <w:p w14:paraId="24B1FD1E" w14:textId="77777777" w:rsidR="009F2F0C" w:rsidRPr="00947923" w:rsidRDefault="009F2F0C" w:rsidP="001D2DC4">
            <w:pPr>
              <w:jc w:val="right"/>
              <w:rPr>
                <w:color w:val="000000"/>
                <w:szCs w:val="22"/>
              </w:rPr>
            </w:pPr>
            <w:r w:rsidRPr="00947923">
              <w:rPr>
                <w:color w:val="000000"/>
              </w:rPr>
              <w:t>13</w:t>
            </w:r>
          </w:p>
        </w:tc>
      </w:tr>
      <w:tr w:rsidR="009F2F0C" w:rsidRPr="00947923" w14:paraId="0CCF3FCB" w14:textId="77777777" w:rsidTr="001D2DC4">
        <w:trPr>
          <w:trHeight w:val="288"/>
        </w:trPr>
        <w:tc>
          <w:tcPr>
            <w:tcW w:w="1256" w:type="dxa"/>
            <w:noWrap/>
            <w:hideMark/>
          </w:tcPr>
          <w:p w14:paraId="7CA1B1C1" w14:textId="77777777" w:rsidR="009F2F0C" w:rsidRPr="00947923" w:rsidRDefault="009F2F0C" w:rsidP="001D2DC4">
            <w:pPr>
              <w:jc w:val="center"/>
              <w:rPr>
                <w:color w:val="000000"/>
                <w:szCs w:val="22"/>
              </w:rPr>
            </w:pPr>
            <w:r w:rsidRPr="00947923">
              <w:rPr>
                <w:color w:val="000000"/>
              </w:rPr>
              <w:t>BR</w:t>
            </w:r>
          </w:p>
        </w:tc>
        <w:tc>
          <w:tcPr>
            <w:tcW w:w="1291" w:type="dxa"/>
            <w:noWrap/>
            <w:hideMark/>
          </w:tcPr>
          <w:p w14:paraId="622D2B27" w14:textId="77777777" w:rsidR="009F2F0C" w:rsidRPr="00947923" w:rsidRDefault="009F2F0C" w:rsidP="001D2DC4">
            <w:pPr>
              <w:jc w:val="right"/>
              <w:rPr>
                <w:color w:val="000000"/>
                <w:szCs w:val="22"/>
              </w:rPr>
            </w:pPr>
            <w:r w:rsidRPr="00947923">
              <w:rPr>
                <w:color w:val="000000"/>
              </w:rPr>
              <w:t>46</w:t>
            </w:r>
          </w:p>
        </w:tc>
        <w:tc>
          <w:tcPr>
            <w:tcW w:w="2835" w:type="dxa"/>
            <w:noWrap/>
            <w:hideMark/>
          </w:tcPr>
          <w:p w14:paraId="79DD62B0" w14:textId="77777777" w:rsidR="009F2F0C" w:rsidRPr="00947923" w:rsidRDefault="009F2F0C" w:rsidP="001D2DC4">
            <w:pPr>
              <w:jc w:val="right"/>
              <w:rPr>
                <w:color w:val="000000"/>
                <w:szCs w:val="22"/>
              </w:rPr>
            </w:pPr>
          </w:p>
        </w:tc>
        <w:tc>
          <w:tcPr>
            <w:tcW w:w="2977" w:type="dxa"/>
            <w:noWrap/>
            <w:hideMark/>
          </w:tcPr>
          <w:p w14:paraId="3D1FECE1" w14:textId="77777777" w:rsidR="009F2F0C" w:rsidRPr="00947923" w:rsidRDefault="009F2F0C" w:rsidP="001D2DC4">
            <w:pPr>
              <w:jc w:val="right"/>
              <w:rPr>
                <w:color w:val="000000"/>
                <w:szCs w:val="22"/>
              </w:rPr>
            </w:pPr>
            <w:r w:rsidRPr="00947923">
              <w:rPr>
                <w:color w:val="000000"/>
              </w:rPr>
              <w:t>1</w:t>
            </w:r>
          </w:p>
        </w:tc>
      </w:tr>
      <w:tr w:rsidR="009F2F0C" w:rsidRPr="00947923" w14:paraId="3B57603C" w14:textId="77777777" w:rsidTr="001D2DC4">
        <w:trPr>
          <w:trHeight w:val="288"/>
        </w:trPr>
        <w:tc>
          <w:tcPr>
            <w:tcW w:w="1256" w:type="dxa"/>
            <w:noWrap/>
            <w:hideMark/>
          </w:tcPr>
          <w:p w14:paraId="05CF103D" w14:textId="77777777" w:rsidR="009F2F0C" w:rsidRPr="00947923" w:rsidRDefault="009F2F0C" w:rsidP="001D2DC4">
            <w:pPr>
              <w:jc w:val="center"/>
              <w:rPr>
                <w:color w:val="000000"/>
                <w:szCs w:val="22"/>
              </w:rPr>
            </w:pPr>
            <w:r w:rsidRPr="00947923">
              <w:rPr>
                <w:color w:val="000000"/>
              </w:rPr>
              <w:t>CA</w:t>
            </w:r>
          </w:p>
        </w:tc>
        <w:tc>
          <w:tcPr>
            <w:tcW w:w="1291" w:type="dxa"/>
            <w:noWrap/>
            <w:hideMark/>
          </w:tcPr>
          <w:p w14:paraId="73AE9E31" w14:textId="77777777" w:rsidR="009F2F0C" w:rsidRPr="00947923" w:rsidRDefault="009F2F0C" w:rsidP="001D2DC4">
            <w:pPr>
              <w:jc w:val="right"/>
              <w:rPr>
                <w:color w:val="000000"/>
                <w:szCs w:val="22"/>
              </w:rPr>
            </w:pPr>
            <w:r w:rsidRPr="00947923">
              <w:rPr>
                <w:color w:val="000000"/>
              </w:rPr>
              <w:t>281</w:t>
            </w:r>
          </w:p>
        </w:tc>
        <w:tc>
          <w:tcPr>
            <w:tcW w:w="2835" w:type="dxa"/>
            <w:noWrap/>
            <w:hideMark/>
          </w:tcPr>
          <w:p w14:paraId="0CF7BA2F" w14:textId="77777777" w:rsidR="009F2F0C" w:rsidRPr="00947923" w:rsidRDefault="009F2F0C" w:rsidP="001D2DC4">
            <w:pPr>
              <w:jc w:val="right"/>
              <w:rPr>
                <w:color w:val="000000"/>
                <w:szCs w:val="22"/>
              </w:rPr>
            </w:pPr>
            <w:r w:rsidRPr="00947923">
              <w:rPr>
                <w:color w:val="000000"/>
              </w:rPr>
              <w:t>5</w:t>
            </w:r>
          </w:p>
        </w:tc>
        <w:tc>
          <w:tcPr>
            <w:tcW w:w="2977" w:type="dxa"/>
            <w:noWrap/>
            <w:hideMark/>
          </w:tcPr>
          <w:p w14:paraId="16AE64A2" w14:textId="77777777" w:rsidR="009F2F0C" w:rsidRPr="00947923" w:rsidRDefault="009F2F0C" w:rsidP="001D2DC4">
            <w:pPr>
              <w:jc w:val="right"/>
              <w:rPr>
                <w:color w:val="000000"/>
                <w:szCs w:val="22"/>
              </w:rPr>
            </w:pPr>
            <w:r w:rsidRPr="00947923">
              <w:rPr>
                <w:color w:val="000000"/>
              </w:rPr>
              <w:t>33</w:t>
            </w:r>
          </w:p>
        </w:tc>
      </w:tr>
      <w:tr w:rsidR="009F2F0C" w:rsidRPr="00947923" w14:paraId="13459F6A" w14:textId="77777777" w:rsidTr="001D2DC4">
        <w:trPr>
          <w:trHeight w:val="288"/>
        </w:trPr>
        <w:tc>
          <w:tcPr>
            <w:tcW w:w="1256" w:type="dxa"/>
            <w:noWrap/>
            <w:hideMark/>
          </w:tcPr>
          <w:p w14:paraId="2213BF48" w14:textId="77777777" w:rsidR="009F2F0C" w:rsidRPr="00947923" w:rsidRDefault="009F2F0C" w:rsidP="001D2DC4">
            <w:pPr>
              <w:jc w:val="center"/>
              <w:rPr>
                <w:color w:val="000000"/>
                <w:szCs w:val="22"/>
              </w:rPr>
            </w:pPr>
            <w:r w:rsidRPr="00947923">
              <w:rPr>
                <w:color w:val="000000"/>
              </w:rPr>
              <w:t>CL</w:t>
            </w:r>
          </w:p>
        </w:tc>
        <w:tc>
          <w:tcPr>
            <w:tcW w:w="1291" w:type="dxa"/>
            <w:noWrap/>
            <w:hideMark/>
          </w:tcPr>
          <w:p w14:paraId="6A9DECB1" w14:textId="77777777" w:rsidR="009F2F0C" w:rsidRPr="00947923" w:rsidRDefault="009F2F0C" w:rsidP="001D2DC4">
            <w:pPr>
              <w:jc w:val="right"/>
              <w:rPr>
                <w:color w:val="000000"/>
                <w:szCs w:val="22"/>
              </w:rPr>
            </w:pPr>
            <w:r w:rsidRPr="00947923">
              <w:rPr>
                <w:color w:val="000000"/>
              </w:rPr>
              <w:t>6</w:t>
            </w:r>
          </w:p>
        </w:tc>
        <w:tc>
          <w:tcPr>
            <w:tcW w:w="2835" w:type="dxa"/>
            <w:noWrap/>
            <w:hideMark/>
          </w:tcPr>
          <w:p w14:paraId="478E43B4" w14:textId="77777777" w:rsidR="009F2F0C" w:rsidRPr="00947923" w:rsidRDefault="009F2F0C" w:rsidP="001D2DC4">
            <w:pPr>
              <w:jc w:val="right"/>
              <w:rPr>
                <w:color w:val="000000"/>
                <w:szCs w:val="22"/>
              </w:rPr>
            </w:pPr>
          </w:p>
        </w:tc>
        <w:tc>
          <w:tcPr>
            <w:tcW w:w="2977" w:type="dxa"/>
            <w:noWrap/>
            <w:hideMark/>
          </w:tcPr>
          <w:p w14:paraId="37C81E77" w14:textId="77777777" w:rsidR="009F2F0C" w:rsidRPr="00947923" w:rsidRDefault="009F2F0C" w:rsidP="001D2DC4">
            <w:pPr>
              <w:jc w:val="right"/>
              <w:rPr>
                <w:color w:val="000000"/>
                <w:szCs w:val="22"/>
              </w:rPr>
            </w:pPr>
          </w:p>
        </w:tc>
      </w:tr>
      <w:tr w:rsidR="009F2F0C" w:rsidRPr="00947923" w14:paraId="27E2A9A6" w14:textId="77777777" w:rsidTr="001D2DC4">
        <w:trPr>
          <w:trHeight w:val="288"/>
        </w:trPr>
        <w:tc>
          <w:tcPr>
            <w:tcW w:w="1256" w:type="dxa"/>
            <w:noWrap/>
            <w:hideMark/>
          </w:tcPr>
          <w:p w14:paraId="7101535C" w14:textId="77777777" w:rsidR="009F2F0C" w:rsidRPr="00947923" w:rsidRDefault="009F2F0C" w:rsidP="001D2DC4">
            <w:pPr>
              <w:jc w:val="center"/>
              <w:rPr>
                <w:color w:val="000000"/>
                <w:szCs w:val="22"/>
              </w:rPr>
            </w:pPr>
            <w:r w:rsidRPr="00947923">
              <w:rPr>
                <w:color w:val="000000"/>
              </w:rPr>
              <w:t>CN</w:t>
            </w:r>
          </w:p>
        </w:tc>
        <w:tc>
          <w:tcPr>
            <w:tcW w:w="1291" w:type="dxa"/>
            <w:noWrap/>
            <w:hideMark/>
          </w:tcPr>
          <w:p w14:paraId="5AE7F6EB" w14:textId="77777777" w:rsidR="009F2F0C" w:rsidRPr="00947923" w:rsidRDefault="009F2F0C" w:rsidP="001D2DC4">
            <w:pPr>
              <w:jc w:val="right"/>
              <w:rPr>
                <w:color w:val="000000"/>
                <w:szCs w:val="22"/>
              </w:rPr>
            </w:pPr>
            <w:r w:rsidRPr="00947923">
              <w:rPr>
                <w:color w:val="000000"/>
              </w:rPr>
              <w:t>6 795</w:t>
            </w:r>
          </w:p>
        </w:tc>
        <w:tc>
          <w:tcPr>
            <w:tcW w:w="2835" w:type="dxa"/>
            <w:noWrap/>
            <w:hideMark/>
          </w:tcPr>
          <w:p w14:paraId="0FF87103" w14:textId="77777777" w:rsidR="009F2F0C" w:rsidRPr="00947923" w:rsidRDefault="009F2F0C" w:rsidP="001D2DC4">
            <w:pPr>
              <w:jc w:val="right"/>
              <w:rPr>
                <w:color w:val="000000"/>
                <w:szCs w:val="22"/>
              </w:rPr>
            </w:pPr>
            <w:r w:rsidRPr="00947923">
              <w:rPr>
                <w:color w:val="000000"/>
              </w:rPr>
              <w:t>7</w:t>
            </w:r>
          </w:p>
        </w:tc>
        <w:tc>
          <w:tcPr>
            <w:tcW w:w="2977" w:type="dxa"/>
            <w:noWrap/>
            <w:hideMark/>
          </w:tcPr>
          <w:p w14:paraId="4914392F" w14:textId="77777777" w:rsidR="009F2F0C" w:rsidRPr="00947923" w:rsidRDefault="009F2F0C" w:rsidP="001D2DC4">
            <w:pPr>
              <w:jc w:val="right"/>
              <w:rPr>
                <w:color w:val="000000"/>
                <w:szCs w:val="22"/>
              </w:rPr>
            </w:pPr>
            <w:r w:rsidRPr="00947923">
              <w:rPr>
                <w:color w:val="000000"/>
              </w:rPr>
              <w:t>83</w:t>
            </w:r>
          </w:p>
        </w:tc>
      </w:tr>
      <w:tr w:rsidR="009F2F0C" w:rsidRPr="00947923" w14:paraId="1E1B2CFE" w14:textId="77777777" w:rsidTr="001D2DC4">
        <w:trPr>
          <w:trHeight w:val="288"/>
        </w:trPr>
        <w:tc>
          <w:tcPr>
            <w:tcW w:w="1256" w:type="dxa"/>
            <w:noWrap/>
            <w:hideMark/>
          </w:tcPr>
          <w:p w14:paraId="3D931C86" w14:textId="77777777" w:rsidR="009F2F0C" w:rsidRPr="00947923" w:rsidRDefault="009F2F0C" w:rsidP="001D2DC4">
            <w:pPr>
              <w:jc w:val="center"/>
              <w:rPr>
                <w:color w:val="000000"/>
                <w:szCs w:val="22"/>
              </w:rPr>
            </w:pPr>
            <w:r w:rsidRPr="00947923">
              <w:rPr>
                <w:color w:val="000000"/>
              </w:rPr>
              <w:t>CU</w:t>
            </w:r>
          </w:p>
        </w:tc>
        <w:tc>
          <w:tcPr>
            <w:tcW w:w="1291" w:type="dxa"/>
            <w:noWrap/>
            <w:hideMark/>
          </w:tcPr>
          <w:p w14:paraId="4FBA04A4" w14:textId="77777777" w:rsidR="009F2F0C" w:rsidRPr="00947923" w:rsidRDefault="009F2F0C" w:rsidP="001D2DC4">
            <w:pPr>
              <w:jc w:val="right"/>
              <w:rPr>
                <w:color w:val="000000"/>
                <w:szCs w:val="22"/>
              </w:rPr>
            </w:pPr>
            <w:r w:rsidRPr="00947923">
              <w:rPr>
                <w:color w:val="000000"/>
              </w:rPr>
              <w:t>12</w:t>
            </w:r>
          </w:p>
        </w:tc>
        <w:tc>
          <w:tcPr>
            <w:tcW w:w="2835" w:type="dxa"/>
            <w:noWrap/>
            <w:hideMark/>
          </w:tcPr>
          <w:p w14:paraId="2E50D7C1" w14:textId="77777777" w:rsidR="009F2F0C" w:rsidRPr="00947923" w:rsidRDefault="009F2F0C" w:rsidP="001D2DC4">
            <w:pPr>
              <w:jc w:val="right"/>
              <w:rPr>
                <w:color w:val="000000"/>
                <w:szCs w:val="22"/>
              </w:rPr>
            </w:pPr>
            <w:r w:rsidRPr="00947923">
              <w:rPr>
                <w:color w:val="000000"/>
              </w:rPr>
              <w:t>9</w:t>
            </w:r>
          </w:p>
        </w:tc>
        <w:tc>
          <w:tcPr>
            <w:tcW w:w="2977" w:type="dxa"/>
            <w:noWrap/>
            <w:hideMark/>
          </w:tcPr>
          <w:p w14:paraId="6E71C839" w14:textId="77777777" w:rsidR="009F2F0C" w:rsidRPr="00947923" w:rsidRDefault="009F2F0C" w:rsidP="001D2DC4">
            <w:pPr>
              <w:jc w:val="right"/>
              <w:rPr>
                <w:color w:val="000000"/>
                <w:szCs w:val="22"/>
              </w:rPr>
            </w:pPr>
          </w:p>
        </w:tc>
      </w:tr>
      <w:tr w:rsidR="009F2F0C" w:rsidRPr="00947923" w14:paraId="21BC8D1B" w14:textId="77777777" w:rsidTr="001D2DC4">
        <w:trPr>
          <w:trHeight w:val="288"/>
        </w:trPr>
        <w:tc>
          <w:tcPr>
            <w:tcW w:w="1256" w:type="dxa"/>
            <w:noWrap/>
            <w:hideMark/>
          </w:tcPr>
          <w:p w14:paraId="1399D089" w14:textId="77777777" w:rsidR="009F2F0C" w:rsidRPr="00947923" w:rsidRDefault="009F2F0C" w:rsidP="001D2DC4">
            <w:pPr>
              <w:jc w:val="center"/>
              <w:rPr>
                <w:color w:val="000000"/>
                <w:szCs w:val="22"/>
              </w:rPr>
            </w:pPr>
            <w:r w:rsidRPr="00947923">
              <w:rPr>
                <w:color w:val="000000"/>
              </w:rPr>
              <w:t>CZ</w:t>
            </w:r>
          </w:p>
        </w:tc>
        <w:tc>
          <w:tcPr>
            <w:tcW w:w="1291" w:type="dxa"/>
            <w:noWrap/>
            <w:hideMark/>
          </w:tcPr>
          <w:p w14:paraId="0EE1DD75" w14:textId="77777777" w:rsidR="009F2F0C" w:rsidRPr="00947923" w:rsidRDefault="009F2F0C" w:rsidP="001D2DC4">
            <w:pPr>
              <w:jc w:val="right"/>
              <w:rPr>
                <w:color w:val="000000"/>
                <w:szCs w:val="22"/>
              </w:rPr>
            </w:pPr>
            <w:r w:rsidRPr="00947923">
              <w:rPr>
                <w:color w:val="000000"/>
              </w:rPr>
              <w:t>28</w:t>
            </w:r>
          </w:p>
        </w:tc>
        <w:tc>
          <w:tcPr>
            <w:tcW w:w="2835" w:type="dxa"/>
            <w:noWrap/>
            <w:hideMark/>
          </w:tcPr>
          <w:p w14:paraId="09F98223" w14:textId="77777777" w:rsidR="009F2F0C" w:rsidRPr="00947923" w:rsidRDefault="009F2F0C" w:rsidP="001D2DC4">
            <w:pPr>
              <w:jc w:val="right"/>
              <w:rPr>
                <w:color w:val="000000"/>
                <w:szCs w:val="22"/>
              </w:rPr>
            </w:pPr>
          </w:p>
        </w:tc>
        <w:tc>
          <w:tcPr>
            <w:tcW w:w="2977" w:type="dxa"/>
            <w:noWrap/>
            <w:hideMark/>
          </w:tcPr>
          <w:p w14:paraId="440227C5" w14:textId="77777777" w:rsidR="009F2F0C" w:rsidRPr="00947923" w:rsidRDefault="009F2F0C" w:rsidP="001D2DC4">
            <w:pPr>
              <w:jc w:val="right"/>
              <w:rPr>
                <w:color w:val="000000"/>
                <w:szCs w:val="22"/>
              </w:rPr>
            </w:pPr>
            <w:r w:rsidRPr="00947923">
              <w:rPr>
                <w:color w:val="000000"/>
              </w:rPr>
              <w:t>4</w:t>
            </w:r>
          </w:p>
        </w:tc>
      </w:tr>
      <w:tr w:rsidR="009F2F0C" w:rsidRPr="00947923" w14:paraId="379DDFEB" w14:textId="77777777" w:rsidTr="001D2DC4">
        <w:trPr>
          <w:trHeight w:val="288"/>
        </w:trPr>
        <w:tc>
          <w:tcPr>
            <w:tcW w:w="1256" w:type="dxa"/>
            <w:noWrap/>
            <w:hideMark/>
          </w:tcPr>
          <w:p w14:paraId="597E04CC" w14:textId="77777777" w:rsidR="009F2F0C" w:rsidRPr="00947923" w:rsidRDefault="009F2F0C" w:rsidP="001D2DC4">
            <w:pPr>
              <w:jc w:val="center"/>
              <w:rPr>
                <w:color w:val="000000"/>
                <w:szCs w:val="22"/>
              </w:rPr>
            </w:pPr>
            <w:r w:rsidRPr="00947923">
              <w:rPr>
                <w:color w:val="000000"/>
              </w:rPr>
              <w:t>DE</w:t>
            </w:r>
          </w:p>
        </w:tc>
        <w:tc>
          <w:tcPr>
            <w:tcW w:w="1291" w:type="dxa"/>
            <w:noWrap/>
            <w:hideMark/>
          </w:tcPr>
          <w:p w14:paraId="528AE498" w14:textId="77777777" w:rsidR="009F2F0C" w:rsidRPr="00947923" w:rsidRDefault="009F2F0C" w:rsidP="001D2DC4">
            <w:pPr>
              <w:jc w:val="right"/>
              <w:rPr>
                <w:color w:val="000000"/>
                <w:szCs w:val="22"/>
              </w:rPr>
            </w:pPr>
            <w:r w:rsidRPr="00947923">
              <w:rPr>
                <w:color w:val="000000"/>
              </w:rPr>
              <w:t>10</w:t>
            </w:r>
          </w:p>
        </w:tc>
        <w:tc>
          <w:tcPr>
            <w:tcW w:w="2835" w:type="dxa"/>
            <w:noWrap/>
            <w:hideMark/>
          </w:tcPr>
          <w:p w14:paraId="357076EF" w14:textId="77777777" w:rsidR="009F2F0C" w:rsidRPr="00947923" w:rsidRDefault="009F2F0C" w:rsidP="001D2DC4">
            <w:pPr>
              <w:jc w:val="right"/>
              <w:rPr>
                <w:color w:val="000000"/>
                <w:szCs w:val="22"/>
              </w:rPr>
            </w:pPr>
          </w:p>
        </w:tc>
        <w:tc>
          <w:tcPr>
            <w:tcW w:w="2977" w:type="dxa"/>
            <w:noWrap/>
            <w:hideMark/>
          </w:tcPr>
          <w:p w14:paraId="368F6EE4" w14:textId="77777777" w:rsidR="009F2F0C" w:rsidRPr="00947923" w:rsidRDefault="009F2F0C" w:rsidP="001D2DC4">
            <w:pPr>
              <w:jc w:val="right"/>
              <w:rPr>
                <w:color w:val="000000"/>
                <w:szCs w:val="22"/>
              </w:rPr>
            </w:pPr>
          </w:p>
        </w:tc>
      </w:tr>
      <w:tr w:rsidR="009F2F0C" w:rsidRPr="00947923" w14:paraId="33514BB7" w14:textId="77777777" w:rsidTr="001D2DC4">
        <w:trPr>
          <w:trHeight w:val="288"/>
        </w:trPr>
        <w:tc>
          <w:tcPr>
            <w:tcW w:w="1256" w:type="dxa"/>
            <w:noWrap/>
            <w:hideMark/>
          </w:tcPr>
          <w:p w14:paraId="3EA411F6" w14:textId="77777777" w:rsidR="009F2F0C" w:rsidRPr="00947923" w:rsidRDefault="009F2F0C" w:rsidP="001D2DC4">
            <w:pPr>
              <w:jc w:val="center"/>
              <w:rPr>
                <w:color w:val="000000"/>
                <w:szCs w:val="22"/>
              </w:rPr>
            </w:pPr>
            <w:r w:rsidRPr="00947923">
              <w:rPr>
                <w:color w:val="000000"/>
              </w:rPr>
              <w:t>DK</w:t>
            </w:r>
          </w:p>
        </w:tc>
        <w:tc>
          <w:tcPr>
            <w:tcW w:w="1291" w:type="dxa"/>
            <w:noWrap/>
            <w:hideMark/>
          </w:tcPr>
          <w:p w14:paraId="3751F12B" w14:textId="77777777" w:rsidR="009F2F0C" w:rsidRPr="00947923" w:rsidRDefault="009F2F0C" w:rsidP="001D2DC4">
            <w:pPr>
              <w:jc w:val="right"/>
              <w:rPr>
                <w:color w:val="000000"/>
                <w:szCs w:val="22"/>
              </w:rPr>
            </w:pPr>
            <w:r w:rsidRPr="00947923">
              <w:rPr>
                <w:color w:val="000000"/>
              </w:rPr>
              <w:t>7</w:t>
            </w:r>
          </w:p>
        </w:tc>
        <w:tc>
          <w:tcPr>
            <w:tcW w:w="2835" w:type="dxa"/>
            <w:noWrap/>
            <w:hideMark/>
          </w:tcPr>
          <w:p w14:paraId="5D9DE08D" w14:textId="77777777" w:rsidR="009F2F0C" w:rsidRPr="00947923" w:rsidRDefault="009F2F0C" w:rsidP="001D2DC4">
            <w:pPr>
              <w:jc w:val="right"/>
              <w:rPr>
                <w:color w:val="000000"/>
                <w:szCs w:val="22"/>
              </w:rPr>
            </w:pPr>
          </w:p>
        </w:tc>
        <w:tc>
          <w:tcPr>
            <w:tcW w:w="2977" w:type="dxa"/>
            <w:noWrap/>
            <w:hideMark/>
          </w:tcPr>
          <w:p w14:paraId="0CBC6A93" w14:textId="77777777" w:rsidR="009F2F0C" w:rsidRPr="00947923" w:rsidRDefault="009F2F0C" w:rsidP="001D2DC4">
            <w:pPr>
              <w:jc w:val="right"/>
              <w:rPr>
                <w:color w:val="000000"/>
                <w:szCs w:val="22"/>
              </w:rPr>
            </w:pPr>
            <w:r w:rsidRPr="00947923">
              <w:rPr>
                <w:color w:val="000000"/>
              </w:rPr>
              <w:t>1</w:t>
            </w:r>
          </w:p>
        </w:tc>
      </w:tr>
      <w:tr w:rsidR="009F2F0C" w:rsidRPr="00947923" w14:paraId="094C4CC9" w14:textId="77777777" w:rsidTr="001D2DC4">
        <w:trPr>
          <w:trHeight w:val="288"/>
        </w:trPr>
        <w:tc>
          <w:tcPr>
            <w:tcW w:w="1256" w:type="dxa"/>
            <w:noWrap/>
            <w:hideMark/>
          </w:tcPr>
          <w:p w14:paraId="50D27BCE" w14:textId="77777777" w:rsidR="009F2F0C" w:rsidRPr="00947923" w:rsidRDefault="009F2F0C" w:rsidP="001D2DC4">
            <w:pPr>
              <w:jc w:val="center"/>
              <w:rPr>
                <w:color w:val="000000"/>
                <w:szCs w:val="22"/>
              </w:rPr>
            </w:pPr>
            <w:r w:rsidRPr="00947923">
              <w:rPr>
                <w:color w:val="000000"/>
              </w:rPr>
              <w:t>EP</w:t>
            </w:r>
          </w:p>
        </w:tc>
        <w:tc>
          <w:tcPr>
            <w:tcW w:w="1291" w:type="dxa"/>
            <w:noWrap/>
            <w:hideMark/>
          </w:tcPr>
          <w:p w14:paraId="35E45CE3" w14:textId="77777777" w:rsidR="009F2F0C" w:rsidRPr="00947923" w:rsidRDefault="009F2F0C" w:rsidP="001D2DC4">
            <w:pPr>
              <w:jc w:val="right"/>
              <w:rPr>
                <w:color w:val="000000"/>
                <w:szCs w:val="22"/>
              </w:rPr>
            </w:pPr>
            <w:r w:rsidRPr="00947923">
              <w:rPr>
                <w:color w:val="000000"/>
              </w:rPr>
              <w:t>4 722</w:t>
            </w:r>
          </w:p>
        </w:tc>
        <w:tc>
          <w:tcPr>
            <w:tcW w:w="2835" w:type="dxa"/>
            <w:noWrap/>
            <w:hideMark/>
          </w:tcPr>
          <w:p w14:paraId="14CC3C25" w14:textId="77777777" w:rsidR="009F2F0C" w:rsidRPr="00947923" w:rsidRDefault="009F2F0C" w:rsidP="001D2DC4">
            <w:pPr>
              <w:jc w:val="right"/>
              <w:rPr>
                <w:color w:val="000000"/>
                <w:szCs w:val="22"/>
              </w:rPr>
            </w:pPr>
            <w:r w:rsidRPr="00947923">
              <w:rPr>
                <w:color w:val="000000"/>
              </w:rPr>
              <w:t>94</w:t>
            </w:r>
          </w:p>
        </w:tc>
        <w:tc>
          <w:tcPr>
            <w:tcW w:w="2977" w:type="dxa"/>
            <w:noWrap/>
            <w:hideMark/>
          </w:tcPr>
          <w:p w14:paraId="7A2C1C72" w14:textId="77777777" w:rsidR="009F2F0C" w:rsidRPr="00947923" w:rsidRDefault="009F2F0C" w:rsidP="001D2DC4">
            <w:pPr>
              <w:jc w:val="right"/>
              <w:rPr>
                <w:color w:val="000000"/>
                <w:szCs w:val="22"/>
              </w:rPr>
            </w:pPr>
            <w:r w:rsidRPr="00947923">
              <w:rPr>
                <w:color w:val="000000"/>
              </w:rPr>
              <w:t>289</w:t>
            </w:r>
          </w:p>
        </w:tc>
      </w:tr>
      <w:tr w:rsidR="009F2F0C" w:rsidRPr="00947923" w14:paraId="540DAD57" w14:textId="77777777" w:rsidTr="001D2DC4">
        <w:trPr>
          <w:trHeight w:val="288"/>
        </w:trPr>
        <w:tc>
          <w:tcPr>
            <w:tcW w:w="1256" w:type="dxa"/>
            <w:noWrap/>
            <w:hideMark/>
          </w:tcPr>
          <w:p w14:paraId="4F2A68CD" w14:textId="77777777" w:rsidR="009F2F0C" w:rsidRPr="00947923" w:rsidRDefault="009F2F0C" w:rsidP="001D2DC4">
            <w:pPr>
              <w:jc w:val="center"/>
              <w:rPr>
                <w:color w:val="000000"/>
                <w:szCs w:val="22"/>
              </w:rPr>
            </w:pPr>
            <w:r w:rsidRPr="00947923">
              <w:rPr>
                <w:color w:val="000000"/>
              </w:rPr>
              <w:t>ES</w:t>
            </w:r>
          </w:p>
        </w:tc>
        <w:tc>
          <w:tcPr>
            <w:tcW w:w="1291" w:type="dxa"/>
            <w:noWrap/>
            <w:hideMark/>
          </w:tcPr>
          <w:p w14:paraId="290359A4" w14:textId="77777777" w:rsidR="009F2F0C" w:rsidRPr="00947923" w:rsidRDefault="009F2F0C" w:rsidP="001D2DC4">
            <w:pPr>
              <w:jc w:val="right"/>
              <w:rPr>
                <w:color w:val="000000"/>
                <w:szCs w:val="22"/>
              </w:rPr>
            </w:pPr>
            <w:r w:rsidRPr="00947923">
              <w:rPr>
                <w:color w:val="000000"/>
              </w:rPr>
              <w:t>60</w:t>
            </w:r>
          </w:p>
        </w:tc>
        <w:tc>
          <w:tcPr>
            <w:tcW w:w="2835" w:type="dxa"/>
            <w:noWrap/>
            <w:hideMark/>
          </w:tcPr>
          <w:p w14:paraId="0092A1E7" w14:textId="77777777" w:rsidR="009F2F0C" w:rsidRPr="00947923" w:rsidRDefault="009F2F0C" w:rsidP="001D2DC4">
            <w:pPr>
              <w:jc w:val="right"/>
              <w:rPr>
                <w:color w:val="000000"/>
                <w:szCs w:val="22"/>
              </w:rPr>
            </w:pPr>
          </w:p>
        </w:tc>
        <w:tc>
          <w:tcPr>
            <w:tcW w:w="2977" w:type="dxa"/>
            <w:noWrap/>
            <w:hideMark/>
          </w:tcPr>
          <w:p w14:paraId="1459CCAC" w14:textId="77777777" w:rsidR="009F2F0C" w:rsidRPr="00947923" w:rsidRDefault="009F2F0C" w:rsidP="001D2DC4">
            <w:pPr>
              <w:jc w:val="right"/>
              <w:rPr>
                <w:color w:val="000000"/>
                <w:szCs w:val="22"/>
              </w:rPr>
            </w:pPr>
            <w:r w:rsidRPr="00947923">
              <w:rPr>
                <w:color w:val="000000"/>
              </w:rPr>
              <w:t>3</w:t>
            </w:r>
          </w:p>
        </w:tc>
      </w:tr>
      <w:tr w:rsidR="009F2F0C" w:rsidRPr="00947923" w14:paraId="7FB3D777" w14:textId="77777777" w:rsidTr="001D2DC4">
        <w:trPr>
          <w:trHeight w:val="288"/>
        </w:trPr>
        <w:tc>
          <w:tcPr>
            <w:tcW w:w="1256" w:type="dxa"/>
            <w:noWrap/>
            <w:hideMark/>
          </w:tcPr>
          <w:p w14:paraId="2BBFB331" w14:textId="77777777" w:rsidR="009F2F0C" w:rsidRPr="00947923" w:rsidRDefault="009F2F0C" w:rsidP="001D2DC4">
            <w:pPr>
              <w:jc w:val="center"/>
              <w:rPr>
                <w:color w:val="000000"/>
                <w:szCs w:val="22"/>
              </w:rPr>
            </w:pPr>
            <w:r w:rsidRPr="00947923">
              <w:rPr>
                <w:color w:val="000000"/>
              </w:rPr>
              <w:t>FI</w:t>
            </w:r>
          </w:p>
        </w:tc>
        <w:tc>
          <w:tcPr>
            <w:tcW w:w="1291" w:type="dxa"/>
            <w:noWrap/>
            <w:hideMark/>
          </w:tcPr>
          <w:p w14:paraId="744A3304" w14:textId="77777777" w:rsidR="009F2F0C" w:rsidRPr="00947923" w:rsidRDefault="009F2F0C" w:rsidP="001D2DC4">
            <w:pPr>
              <w:jc w:val="right"/>
              <w:rPr>
                <w:color w:val="000000"/>
                <w:szCs w:val="22"/>
              </w:rPr>
            </w:pPr>
            <w:r w:rsidRPr="00947923">
              <w:rPr>
                <w:color w:val="000000"/>
              </w:rPr>
              <w:t>30</w:t>
            </w:r>
          </w:p>
        </w:tc>
        <w:tc>
          <w:tcPr>
            <w:tcW w:w="2835" w:type="dxa"/>
            <w:noWrap/>
            <w:hideMark/>
          </w:tcPr>
          <w:p w14:paraId="5D9426F3" w14:textId="77777777" w:rsidR="009F2F0C" w:rsidRPr="00947923" w:rsidRDefault="009F2F0C" w:rsidP="001D2DC4">
            <w:pPr>
              <w:jc w:val="right"/>
              <w:rPr>
                <w:color w:val="000000"/>
                <w:szCs w:val="22"/>
              </w:rPr>
            </w:pPr>
            <w:r w:rsidRPr="00947923">
              <w:rPr>
                <w:color w:val="000000"/>
              </w:rPr>
              <w:t>1</w:t>
            </w:r>
          </w:p>
        </w:tc>
        <w:tc>
          <w:tcPr>
            <w:tcW w:w="2977" w:type="dxa"/>
            <w:noWrap/>
            <w:hideMark/>
          </w:tcPr>
          <w:p w14:paraId="17A713EB" w14:textId="77777777" w:rsidR="009F2F0C" w:rsidRPr="00947923" w:rsidRDefault="009F2F0C" w:rsidP="001D2DC4">
            <w:pPr>
              <w:jc w:val="right"/>
              <w:rPr>
                <w:color w:val="000000"/>
                <w:szCs w:val="22"/>
              </w:rPr>
            </w:pPr>
          </w:p>
        </w:tc>
      </w:tr>
      <w:tr w:rsidR="009F2F0C" w:rsidRPr="00947923" w14:paraId="18B08116" w14:textId="77777777" w:rsidTr="001D2DC4">
        <w:trPr>
          <w:trHeight w:val="288"/>
        </w:trPr>
        <w:tc>
          <w:tcPr>
            <w:tcW w:w="1256" w:type="dxa"/>
            <w:noWrap/>
            <w:hideMark/>
          </w:tcPr>
          <w:p w14:paraId="315DD9CE" w14:textId="77777777" w:rsidR="009F2F0C" w:rsidRPr="00947923" w:rsidRDefault="009F2F0C" w:rsidP="001D2DC4">
            <w:pPr>
              <w:jc w:val="center"/>
              <w:rPr>
                <w:color w:val="000000"/>
                <w:szCs w:val="22"/>
              </w:rPr>
            </w:pPr>
            <w:r w:rsidRPr="00947923">
              <w:rPr>
                <w:color w:val="000000"/>
              </w:rPr>
              <w:t>FR</w:t>
            </w:r>
          </w:p>
        </w:tc>
        <w:tc>
          <w:tcPr>
            <w:tcW w:w="1291" w:type="dxa"/>
            <w:noWrap/>
            <w:hideMark/>
          </w:tcPr>
          <w:p w14:paraId="78798B20" w14:textId="77777777" w:rsidR="009F2F0C" w:rsidRPr="00947923" w:rsidRDefault="009F2F0C" w:rsidP="001D2DC4">
            <w:pPr>
              <w:jc w:val="right"/>
              <w:rPr>
                <w:color w:val="000000"/>
                <w:szCs w:val="22"/>
              </w:rPr>
            </w:pPr>
            <w:r w:rsidRPr="00947923">
              <w:rPr>
                <w:color w:val="000000"/>
              </w:rPr>
              <w:t>46</w:t>
            </w:r>
          </w:p>
        </w:tc>
        <w:tc>
          <w:tcPr>
            <w:tcW w:w="2835" w:type="dxa"/>
            <w:noWrap/>
            <w:hideMark/>
          </w:tcPr>
          <w:p w14:paraId="69DB3BEA" w14:textId="77777777" w:rsidR="009F2F0C" w:rsidRPr="00947923" w:rsidRDefault="009F2F0C" w:rsidP="001D2DC4">
            <w:pPr>
              <w:jc w:val="right"/>
              <w:rPr>
                <w:color w:val="000000"/>
                <w:szCs w:val="22"/>
              </w:rPr>
            </w:pPr>
            <w:r w:rsidRPr="00947923">
              <w:rPr>
                <w:color w:val="000000"/>
              </w:rPr>
              <w:t>2</w:t>
            </w:r>
          </w:p>
        </w:tc>
        <w:tc>
          <w:tcPr>
            <w:tcW w:w="2977" w:type="dxa"/>
            <w:noWrap/>
            <w:hideMark/>
          </w:tcPr>
          <w:p w14:paraId="1A96726D" w14:textId="77777777" w:rsidR="009F2F0C" w:rsidRPr="00947923" w:rsidRDefault="009F2F0C" w:rsidP="001D2DC4">
            <w:pPr>
              <w:jc w:val="right"/>
              <w:rPr>
                <w:color w:val="000000"/>
                <w:szCs w:val="22"/>
              </w:rPr>
            </w:pPr>
            <w:r w:rsidRPr="00947923">
              <w:rPr>
                <w:color w:val="000000"/>
              </w:rPr>
              <w:t>1</w:t>
            </w:r>
          </w:p>
        </w:tc>
      </w:tr>
      <w:tr w:rsidR="009F2F0C" w:rsidRPr="00947923" w14:paraId="39D55119" w14:textId="77777777" w:rsidTr="001D2DC4">
        <w:trPr>
          <w:trHeight w:val="288"/>
        </w:trPr>
        <w:tc>
          <w:tcPr>
            <w:tcW w:w="1256" w:type="dxa"/>
            <w:noWrap/>
            <w:hideMark/>
          </w:tcPr>
          <w:p w14:paraId="4654F964" w14:textId="77777777" w:rsidR="009F2F0C" w:rsidRPr="00947923" w:rsidRDefault="009F2F0C" w:rsidP="001D2DC4">
            <w:pPr>
              <w:jc w:val="center"/>
              <w:rPr>
                <w:color w:val="000000"/>
                <w:szCs w:val="22"/>
              </w:rPr>
            </w:pPr>
            <w:r w:rsidRPr="00947923">
              <w:rPr>
                <w:color w:val="000000"/>
              </w:rPr>
              <w:t>GB</w:t>
            </w:r>
          </w:p>
        </w:tc>
        <w:tc>
          <w:tcPr>
            <w:tcW w:w="1291" w:type="dxa"/>
            <w:noWrap/>
            <w:hideMark/>
          </w:tcPr>
          <w:p w14:paraId="44F04759" w14:textId="77777777" w:rsidR="009F2F0C" w:rsidRPr="00947923" w:rsidRDefault="009F2F0C" w:rsidP="001D2DC4">
            <w:pPr>
              <w:jc w:val="right"/>
              <w:rPr>
                <w:color w:val="000000"/>
                <w:szCs w:val="22"/>
              </w:rPr>
            </w:pPr>
            <w:r w:rsidRPr="00947923">
              <w:rPr>
                <w:color w:val="000000"/>
              </w:rPr>
              <w:t>558</w:t>
            </w:r>
          </w:p>
        </w:tc>
        <w:tc>
          <w:tcPr>
            <w:tcW w:w="2835" w:type="dxa"/>
            <w:noWrap/>
            <w:hideMark/>
          </w:tcPr>
          <w:p w14:paraId="50EDE8E3" w14:textId="77777777" w:rsidR="009F2F0C" w:rsidRPr="00947923" w:rsidRDefault="009F2F0C" w:rsidP="001D2DC4">
            <w:pPr>
              <w:jc w:val="right"/>
              <w:rPr>
                <w:color w:val="000000"/>
                <w:szCs w:val="22"/>
              </w:rPr>
            </w:pPr>
            <w:r w:rsidRPr="00947923">
              <w:rPr>
                <w:color w:val="000000"/>
              </w:rPr>
              <w:t>18</w:t>
            </w:r>
          </w:p>
        </w:tc>
        <w:tc>
          <w:tcPr>
            <w:tcW w:w="2977" w:type="dxa"/>
            <w:noWrap/>
            <w:hideMark/>
          </w:tcPr>
          <w:p w14:paraId="520C3836" w14:textId="77777777" w:rsidR="009F2F0C" w:rsidRPr="00947923" w:rsidRDefault="009F2F0C" w:rsidP="001D2DC4">
            <w:pPr>
              <w:jc w:val="right"/>
              <w:rPr>
                <w:color w:val="000000"/>
                <w:szCs w:val="22"/>
              </w:rPr>
            </w:pPr>
            <w:r w:rsidRPr="00947923">
              <w:rPr>
                <w:color w:val="000000"/>
              </w:rPr>
              <w:t>73</w:t>
            </w:r>
          </w:p>
        </w:tc>
      </w:tr>
      <w:tr w:rsidR="009F2F0C" w:rsidRPr="00947923" w14:paraId="05078ADB" w14:textId="77777777" w:rsidTr="001D2DC4">
        <w:trPr>
          <w:trHeight w:val="288"/>
        </w:trPr>
        <w:tc>
          <w:tcPr>
            <w:tcW w:w="1256" w:type="dxa"/>
            <w:noWrap/>
            <w:hideMark/>
          </w:tcPr>
          <w:p w14:paraId="479511FC" w14:textId="77777777" w:rsidR="009F2F0C" w:rsidRPr="00947923" w:rsidRDefault="009F2F0C" w:rsidP="001D2DC4">
            <w:pPr>
              <w:jc w:val="center"/>
              <w:rPr>
                <w:color w:val="000000"/>
                <w:szCs w:val="22"/>
              </w:rPr>
            </w:pPr>
            <w:r w:rsidRPr="00947923">
              <w:rPr>
                <w:color w:val="000000"/>
              </w:rPr>
              <w:t>GR</w:t>
            </w:r>
          </w:p>
        </w:tc>
        <w:tc>
          <w:tcPr>
            <w:tcW w:w="1291" w:type="dxa"/>
            <w:noWrap/>
            <w:hideMark/>
          </w:tcPr>
          <w:p w14:paraId="3CDFCB96" w14:textId="77777777" w:rsidR="009F2F0C" w:rsidRPr="00947923" w:rsidRDefault="009F2F0C" w:rsidP="001D2DC4">
            <w:pPr>
              <w:jc w:val="right"/>
              <w:rPr>
                <w:color w:val="000000"/>
                <w:szCs w:val="22"/>
              </w:rPr>
            </w:pPr>
            <w:r w:rsidRPr="00947923">
              <w:rPr>
                <w:color w:val="000000"/>
              </w:rPr>
              <w:t>4</w:t>
            </w:r>
          </w:p>
        </w:tc>
        <w:tc>
          <w:tcPr>
            <w:tcW w:w="2835" w:type="dxa"/>
            <w:noWrap/>
            <w:hideMark/>
          </w:tcPr>
          <w:p w14:paraId="70920791" w14:textId="77777777" w:rsidR="009F2F0C" w:rsidRPr="00947923" w:rsidRDefault="009F2F0C" w:rsidP="001D2DC4">
            <w:pPr>
              <w:jc w:val="right"/>
              <w:rPr>
                <w:color w:val="000000"/>
                <w:szCs w:val="22"/>
              </w:rPr>
            </w:pPr>
            <w:r w:rsidRPr="00947923">
              <w:rPr>
                <w:color w:val="000000"/>
              </w:rPr>
              <w:t>1</w:t>
            </w:r>
          </w:p>
        </w:tc>
        <w:tc>
          <w:tcPr>
            <w:tcW w:w="2977" w:type="dxa"/>
            <w:noWrap/>
            <w:hideMark/>
          </w:tcPr>
          <w:p w14:paraId="2D3929DB" w14:textId="77777777" w:rsidR="009F2F0C" w:rsidRPr="00947923" w:rsidRDefault="009F2F0C" w:rsidP="001D2DC4">
            <w:pPr>
              <w:jc w:val="right"/>
              <w:rPr>
                <w:color w:val="000000"/>
                <w:szCs w:val="22"/>
              </w:rPr>
            </w:pPr>
          </w:p>
        </w:tc>
      </w:tr>
      <w:tr w:rsidR="009F2F0C" w:rsidRPr="00947923" w14:paraId="312C345C" w14:textId="77777777" w:rsidTr="001D2DC4">
        <w:trPr>
          <w:trHeight w:val="288"/>
        </w:trPr>
        <w:tc>
          <w:tcPr>
            <w:tcW w:w="1256" w:type="dxa"/>
            <w:noWrap/>
            <w:hideMark/>
          </w:tcPr>
          <w:p w14:paraId="0D66B44D" w14:textId="77777777" w:rsidR="009F2F0C" w:rsidRPr="00947923" w:rsidRDefault="009F2F0C" w:rsidP="001D2DC4">
            <w:pPr>
              <w:jc w:val="center"/>
              <w:rPr>
                <w:color w:val="000000"/>
                <w:szCs w:val="22"/>
              </w:rPr>
            </w:pPr>
            <w:r w:rsidRPr="00947923">
              <w:rPr>
                <w:color w:val="000000"/>
              </w:rPr>
              <w:t>HU</w:t>
            </w:r>
          </w:p>
        </w:tc>
        <w:tc>
          <w:tcPr>
            <w:tcW w:w="1291" w:type="dxa"/>
            <w:noWrap/>
            <w:hideMark/>
          </w:tcPr>
          <w:p w14:paraId="381F9F0D" w14:textId="77777777" w:rsidR="009F2F0C" w:rsidRPr="00947923" w:rsidRDefault="009F2F0C" w:rsidP="001D2DC4">
            <w:pPr>
              <w:jc w:val="right"/>
              <w:rPr>
                <w:color w:val="000000"/>
                <w:szCs w:val="22"/>
              </w:rPr>
            </w:pPr>
            <w:r w:rsidRPr="00947923">
              <w:rPr>
                <w:color w:val="000000"/>
              </w:rPr>
              <w:t>13</w:t>
            </w:r>
          </w:p>
        </w:tc>
        <w:tc>
          <w:tcPr>
            <w:tcW w:w="2835" w:type="dxa"/>
            <w:noWrap/>
            <w:hideMark/>
          </w:tcPr>
          <w:p w14:paraId="30258E97" w14:textId="77777777" w:rsidR="009F2F0C" w:rsidRPr="00947923" w:rsidRDefault="009F2F0C" w:rsidP="001D2DC4">
            <w:pPr>
              <w:jc w:val="right"/>
              <w:rPr>
                <w:color w:val="000000"/>
                <w:szCs w:val="22"/>
              </w:rPr>
            </w:pPr>
          </w:p>
        </w:tc>
        <w:tc>
          <w:tcPr>
            <w:tcW w:w="2977" w:type="dxa"/>
            <w:noWrap/>
            <w:hideMark/>
          </w:tcPr>
          <w:p w14:paraId="2BDBFAAB" w14:textId="77777777" w:rsidR="009F2F0C" w:rsidRPr="00947923" w:rsidRDefault="009F2F0C" w:rsidP="001D2DC4">
            <w:pPr>
              <w:jc w:val="right"/>
              <w:rPr>
                <w:color w:val="000000"/>
                <w:szCs w:val="22"/>
              </w:rPr>
            </w:pPr>
            <w:r w:rsidRPr="00947923">
              <w:rPr>
                <w:color w:val="000000"/>
              </w:rPr>
              <w:t>2</w:t>
            </w:r>
          </w:p>
        </w:tc>
      </w:tr>
      <w:tr w:rsidR="009F2F0C" w:rsidRPr="00947923" w14:paraId="6C897C29" w14:textId="77777777" w:rsidTr="001D2DC4">
        <w:trPr>
          <w:trHeight w:val="288"/>
        </w:trPr>
        <w:tc>
          <w:tcPr>
            <w:tcW w:w="1256" w:type="dxa"/>
            <w:noWrap/>
            <w:hideMark/>
          </w:tcPr>
          <w:p w14:paraId="07E176C8" w14:textId="77777777" w:rsidR="009F2F0C" w:rsidRPr="00947923" w:rsidRDefault="009F2F0C" w:rsidP="001D2DC4">
            <w:pPr>
              <w:jc w:val="center"/>
              <w:rPr>
                <w:color w:val="000000"/>
                <w:szCs w:val="22"/>
              </w:rPr>
            </w:pPr>
            <w:r w:rsidRPr="00947923">
              <w:rPr>
                <w:color w:val="000000"/>
              </w:rPr>
              <w:t>Bureau international</w:t>
            </w:r>
          </w:p>
        </w:tc>
        <w:tc>
          <w:tcPr>
            <w:tcW w:w="1291" w:type="dxa"/>
            <w:noWrap/>
            <w:hideMark/>
          </w:tcPr>
          <w:p w14:paraId="6F968376" w14:textId="77777777" w:rsidR="009F2F0C" w:rsidRPr="00947923" w:rsidRDefault="009F2F0C" w:rsidP="001D2DC4">
            <w:pPr>
              <w:jc w:val="right"/>
              <w:rPr>
                <w:color w:val="000000"/>
                <w:szCs w:val="22"/>
              </w:rPr>
            </w:pPr>
            <w:r w:rsidRPr="00947923">
              <w:rPr>
                <w:color w:val="000000"/>
              </w:rPr>
              <w:t>1 235</w:t>
            </w:r>
          </w:p>
        </w:tc>
        <w:tc>
          <w:tcPr>
            <w:tcW w:w="2835" w:type="dxa"/>
            <w:noWrap/>
            <w:hideMark/>
          </w:tcPr>
          <w:p w14:paraId="7C3E3788" w14:textId="77777777" w:rsidR="009F2F0C" w:rsidRPr="00947923" w:rsidRDefault="009F2F0C" w:rsidP="001D2DC4">
            <w:pPr>
              <w:jc w:val="right"/>
              <w:rPr>
                <w:color w:val="000000"/>
                <w:szCs w:val="22"/>
              </w:rPr>
            </w:pPr>
            <w:r w:rsidRPr="00947923">
              <w:rPr>
                <w:color w:val="000000"/>
              </w:rPr>
              <w:t>66</w:t>
            </w:r>
          </w:p>
        </w:tc>
        <w:tc>
          <w:tcPr>
            <w:tcW w:w="2977" w:type="dxa"/>
            <w:noWrap/>
            <w:hideMark/>
          </w:tcPr>
          <w:p w14:paraId="79E54B5F" w14:textId="77777777" w:rsidR="009F2F0C" w:rsidRPr="00947923" w:rsidRDefault="009F2F0C" w:rsidP="001D2DC4">
            <w:pPr>
              <w:jc w:val="right"/>
              <w:rPr>
                <w:color w:val="000000"/>
                <w:szCs w:val="22"/>
              </w:rPr>
            </w:pPr>
            <w:r w:rsidRPr="00947923">
              <w:rPr>
                <w:color w:val="000000"/>
              </w:rPr>
              <w:t>129</w:t>
            </w:r>
          </w:p>
        </w:tc>
      </w:tr>
      <w:tr w:rsidR="009F2F0C" w:rsidRPr="00947923" w14:paraId="07790454" w14:textId="77777777" w:rsidTr="001D2DC4">
        <w:trPr>
          <w:trHeight w:val="288"/>
        </w:trPr>
        <w:tc>
          <w:tcPr>
            <w:tcW w:w="1256" w:type="dxa"/>
            <w:noWrap/>
            <w:hideMark/>
          </w:tcPr>
          <w:p w14:paraId="716D2C73" w14:textId="77777777" w:rsidR="009F2F0C" w:rsidRPr="00947923" w:rsidRDefault="009F2F0C" w:rsidP="001D2DC4">
            <w:pPr>
              <w:jc w:val="center"/>
              <w:rPr>
                <w:color w:val="000000"/>
                <w:szCs w:val="22"/>
              </w:rPr>
            </w:pPr>
            <w:r w:rsidRPr="00947923">
              <w:rPr>
                <w:color w:val="000000"/>
              </w:rPr>
              <w:t>ID</w:t>
            </w:r>
          </w:p>
        </w:tc>
        <w:tc>
          <w:tcPr>
            <w:tcW w:w="1291" w:type="dxa"/>
            <w:noWrap/>
            <w:hideMark/>
          </w:tcPr>
          <w:p w14:paraId="044F25DA" w14:textId="77777777" w:rsidR="009F2F0C" w:rsidRPr="00947923" w:rsidRDefault="009F2F0C" w:rsidP="001D2DC4">
            <w:pPr>
              <w:jc w:val="right"/>
              <w:rPr>
                <w:color w:val="000000"/>
                <w:szCs w:val="22"/>
              </w:rPr>
            </w:pPr>
            <w:r w:rsidRPr="00947923">
              <w:rPr>
                <w:color w:val="000000"/>
              </w:rPr>
              <w:t>1</w:t>
            </w:r>
          </w:p>
        </w:tc>
        <w:tc>
          <w:tcPr>
            <w:tcW w:w="2835" w:type="dxa"/>
            <w:noWrap/>
            <w:hideMark/>
          </w:tcPr>
          <w:p w14:paraId="6B6BC93A" w14:textId="77777777" w:rsidR="009F2F0C" w:rsidRPr="00947923" w:rsidRDefault="009F2F0C" w:rsidP="001D2DC4">
            <w:pPr>
              <w:jc w:val="right"/>
              <w:rPr>
                <w:color w:val="000000"/>
                <w:szCs w:val="22"/>
              </w:rPr>
            </w:pPr>
            <w:r w:rsidRPr="00947923">
              <w:rPr>
                <w:color w:val="000000"/>
              </w:rPr>
              <w:t>1</w:t>
            </w:r>
          </w:p>
        </w:tc>
        <w:tc>
          <w:tcPr>
            <w:tcW w:w="2977" w:type="dxa"/>
            <w:noWrap/>
            <w:hideMark/>
          </w:tcPr>
          <w:p w14:paraId="21139648" w14:textId="77777777" w:rsidR="009F2F0C" w:rsidRPr="00947923" w:rsidRDefault="009F2F0C" w:rsidP="001D2DC4">
            <w:pPr>
              <w:jc w:val="right"/>
              <w:rPr>
                <w:color w:val="000000"/>
                <w:szCs w:val="22"/>
              </w:rPr>
            </w:pPr>
          </w:p>
        </w:tc>
      </w:tr>
      <w:tr w:rsidR="009F2F0C" w:rsidRPr="00947923" w14:paraId="199A3335" w14:textId="77777777" w:rsidTr="001D2DC4">
        <w:trPr>
          <w:trHeight w:val="288"/>
        </w:trPr>
        <w:tc>
          <w:tcPr>
            <w:tcW w:w="1256" w:type="dxa"/>
            <w:noWrap/>
            <w:hideMark/>
          </w:tcPr>
          <w:p w14:paraId="48A7B885" w14:textId="77777777" w:rsidR="009F2F0C" w:rsidRPr="00947923" w:rsidRDefault="009F2F0C" w:rsidP="001D2DC4">
            <w:pPr>
              <w:jc w:val="center"/>
              <w:rPr>
                <w:color w:val="000000"/>
                <w:szCs w:val="22"/>
              </w:rPr>
            </w:pPr>
            <w:r w:rsidRPr="00947923">
              <w:rPr>
                <w:color w:val="000000"/>
              </w:rPr>
              <w:t>IL</w:t>
            </w:r>
          </w:p>
        </w:tc>
        <w:tc>
          <w:tcPr>
            <w:tcW w:w="1291" w:type="dxa"/>
            <w:noWrap/>
            <w:hideMark/>
          </w:tcPr>
          <w:p w14:paraId="655EB462" w14:textId="77777777" w:rsidR="009F2F0C" w:rsidRPr="00947923" w:rsidRDefault="009F2F0C" w:rsidP="001D2DC4">
            <w:pPr>
              <w:jc w:val="right"/>
              <w:rPr>
                <w:color w:val="000000"/>
                <w:szCs w:val="22"/>
              </w:rPr>
            </w:pPr>
            <w:r w:rsidRPr="00947923">
              <w:rPr>
                <w:color w:val="000000"/>
              </w:rPr>
              <w:t>313</w:t>
            </w:r>
          </w:p>
        </w:tc>
        <w:tc>
          <w:tcPr>
            <w:tcW w:w="2835" w:type="dxa"/>
            <w:noWrap/>
            <w:hideMark/>
          </w:tcPr>
          <w:p w14:paraId="7D3B0D48" w14:textId="77777777" w:rsidR="009F2F0C" w:rsidRPr="00947923" w:rsidRDefault="009F2F0C" w:rsidP="001D2DC4">
            <w:pPr>
              <w:jc w:val="right"/>
              <w:rPr>
                <w:color w:val="000000"/>
                <w:szCs w:val="22"/>
              </w:rPr>
            </w:pPr>
            <w:r w:rsidRPr="00947923">
              <w:rPr>
                <w:color w:val="000000"/>
              </w:rPr>
              <w:t>39</w:t>
            </w:r>
          </w:p>
        </w:tc>
        <w:tc>
          <w:tcPr>
            <w:tcW w:w="2977" w:type="dxa"/>
            <w:noWrap/>
            <w:hideMark/>
          </w:tcPr>
          <w:p w14:paraId="5D7982C2" w14:textId="77777777" w:rsidR="009F2F0C" w:rsidRPr="00947923" w:rsidRDefault="009F2F0C" w:rsidP="001D2DC4">
            <w:pPr>
              <w:jc w:val="right"/>
              <w:rPr>
                <w:color w:val="000000"/>
                <w:szCs w:val="22"/>
              </w:rPr>
            </w:pPr>
            <w:r w:rsidRPr="00947923">
              <w:rPr>
                <w:color w:val="000000"/>
              </w:rPr>
              <w:t>3</w:t>
            </w:r>
          </w:p>
        </w:tc>
      </w:tr>
      <w:tr w:rsidR="009F2F0C" w:rsidRPr="00947923" w14:paraId="05F7E95E" w14:textId="77777777" w:rsidTr="001D2DC4">
        <w:trPr>
          <w:trHeight w:val="288"/>
        </w:trPr>
        <w:tc>
          <w:tcPr>
            <w:tcW w:w="1256" w:type="dxa"/>
            <w:noWrap/>
            <w:hideMark/>
          </w:tcPr>
          <w:p w14:paraId="4BAB2CDA" w14:textId="77777777" w:rsidR="009F2F0C" w:rsidRPr="00947923" w:rsidRDefault="009F2F0C" w:rsidP="001D2DC4">
            <w:pPr>
              <w:jc w:val="center"/>
              <w:rPr>
                <w:color w:val="000000"/>
                <w:szCs w:val="22"/>
              </w:rPr>
            </w:pPr>
            <w:r w:rsidRPr="00947923">
              <w:rPr>
                <w:color w:val="000000"/>
              </w:rPr>
              <w:t>IN</w:t>
            </w:r>
          </w:p>
        </w:tc>
        <w:tc>
          <w:tcPr>
            <w:tcW w:w="1291" w:type="dxa"/>
            <w:noWrap/>
            <w:hideMark/>
          </w:tcPr>
          <w:p w14:paraId="00E494AB" w14:textId="77777777" w:rsidR="009F2F0C" w:rsidRPr="00947923" w:rsidRDefault="009F2F0C" w:rsidP="001D2DC4">
            <w:pPr>
              <w:jc w:val="right"/>
              <w:rPr>
                <w:color w:val="000000"/>
                <w:szCs w:val="22"/>
              </w:rPr>
            </w:pPr>
            <w:r w:rsidRPr="00947923">
              <w:rPr>
                <w:color w:val="000000"/>
              </w:rPr>
              <w:t>89</w:t>
            </w:r>
          </w:p>
        </w:tc>
        <w:tc>
          <w:tcPr>
            <w:tcW w:w="2835" w:type="dxa"/>
            <w:noWrap/>
            <w:hideMark/>
          </w:tcPr>
          <w:p w14:paraId="5C28260E" w14:textId="77777777" w:rsidR="009F2F0C" w:rsidRPr="00947923" w:rsidRDefault="009F2F0C" w:rsidP="001D2DC4">
            <w:pPr>
              <w:jc w:val="right"/>
              <w:rPr>
                <w:color w:val="000000"/>
                <w:szCs w:val="22"/>
              </w:rPr>
            </w:pPr>
            <w:r w:rsidRPr="00947923">
              <w:rPr>
                <w:color w:val="000000"/>
              </w:rPr>
              <w:t>4</w:t>
            </w:r>
          </w:p>
        </w:tc>
        <w:tc>
          <w:tcPr>
            <w:tcW w:w="2977" w:type="dxa"/>
            <w:noWrap/>
            <w:hideMark/>
          </w:tcPr>
          <w:p w14:paraId="0B48E14C" w14:textId="77777777" w:rsidR="009F2F0C" w:rsidRPr="00947923" w:rsidRDefault="009F2F0C" w:rsidP="001D2DC4">
            <w:pPr>
              <w:jc w:val="right"/>
              <w:rPr>
                <w:color w:val="000000"/>
                <w:szCs w:val="22"/>
              </w:rPr>
            </w:pPr>
            <w:r w:rsidRPr="00947923">
              <w:rPr>
                <w:color w:val="000000"/>
              </w:rPr>
              <w:t>10</w:t>
            </w:r>
          </w:p>
        </w:tc>
      </w:tr>
      <w:tr w:rsidR="009F2F0C" w:rsidRPr="00947923" w14:paraId="71F1AECC" w14:textId="77777777" w:rsidTr="001D2DC4">
        <w:trPr>
          <w:trHeight w:val="288"/>
        </w:trPr>
        <w:tc>
          <w:tcPr>
            <w:tcW w:w="1256" w:type="dxa"/>
            <w:noWrap/>
            <w:hideMark/>
          </w:tcPr>
          <w:p w14:paraId="12C07CF0" w14:textId="77777777" w:rsidR="009F2F0C" w:rsidRPr="00947923" w:rsidRDefault="009F2F0C" w:rsidP="001D2DC4">
            <w:pPr>
              <w:jc w:val="center"/>
              <w:rPr>
                <w:color w:val="000000"/>
                <w:szCs w:val="22"/>
              </w:rPr>
            </w:pPr>
            <w:r w:rsidRPr="00947923">
              <w:rPr>
                <w:color w:val="000000"/>
              </w:rPr>
              <w:t>IT</w:t>
            </w:r>
          </w:p>
        </w:tc>
        <w:tc>
          <w:tcPr>
            <w:tcW w:w="1291" w:type="dxa"/>
            <w:noWrap/>
            <w:hideMark/>
          </w:tcPr>
          <w:p w14:paraId="7D85C918" w14:textId="77777777" w:rsidR="009F2F0C" w:rsidRPr="00947923" w:rsidRDefault="009F2F0C" w:rsidP="001D2DC4">
            <w:pPr>
              <w:jc w:val="right"/>
              <w:rPr>
                <w:color w:val="000000"/>
                <w:szCs w:val="22"/>
              </w:rPr>
            </w:pPr>
            <w:r w:rsidRPr="00947923">
              <w:rPr>
                <w:color w:val="000000"/>
              </w:rPr>
              <w:t>18</w:t>
            </w:r>
          </w:p>
        </w:tc>
        <w:tc>
          <w:tcPr>
            <w:tcW w:w="2835" w:type="dxa"/>
            <w:noWrap/>
            <w:hideMark/>
          </w:tcPr>
          <w:p w14:paraId="1080899E" w14:textId="77777777" w:rsidR="009F2F0C" w:rsidRPr="00947923" w:rsidRDefault="009F2F0C" w:rsidP="001D2DC4">
            <w:pPr>
              <w:jc w:val="right"/>
              <w:rPr>
                <w:color w:val="000000"/>
                <w:szCs w:val="22"/>
              </w:rPr>
            </w:pPr>
            <w:r w:rsidRPr="00947923">
              <w:rPr>
                <w:color w:val="000000"/>
              </w:rPr>
              <w:t>1</w:t>
            </w:r>
          </w:p>
        </w:tc>
        <w:tc>
          <w:tcPr>
            <w:tcW w:w="2977" w:type="dxa"/>
            <w:noWrap/>
            <w:hideMark/>
          </w:tcPr>
          <w:p w14:paraId="2E2C3B74" w14:textId="77777777" w:rsidR="009F2F0C" w:rsidRPr="00947923" w:rsidRDefault="009F2F0C" w:rsidP="001D2DC4">
            <w:pPr>
              <w:jc w:val="right"/>
              <w:rPr>
                <w:color w:val="000000"/>
                <w:szCs w:val="22"/>
              </w:rPr>
            </w:pPr>
            <w:r w:rsidRPr="00947923">
              <w:rPr>
                <w:color w:val="000000"/>
              </w:rPr>
              <w:t>3</w:t>
            </w:r>
          </w:p>
        </w:tc>
      </w:tr>
      <w:tr w:rsidR="009F2F0C" w:rsidRPr="00947923" w14:paraId="34ED37CF" w14:textId="77777777" w:rsidTr="001D2DC4">
        <w:trPr>
          <w:trHeight w:val="288"/>
        </w:trPr>
        <w:tc>
          <w:tcPr>
            <w:tcW w:w="1256" w:type="dxa"/>
            <w:noWrap/>
            <w:hideMark/>
          </w:tcPr>
          <w:p w14:paraId="5FCBCA42" w14:textId="77777777" w:rsidR="009F2F0C" w:rsidRPr="00947923" w:rsidRDefault="009F2F0C" w:rsidP="001D2DC4">
            <w:pPr>
              <w:jc w:val="center"/>
              <w:rPr>
                <w:color w:val="000000"/>
                <w:szCs w:val="22"/>
              </w:rPr>
            </w:pPr>
            <w:r w:rsidRPr="00947923">
              <w:rPr>
                <w:color w:val="000000"/>
              </w:rPr>
              <w:t>JP</w:t>
            </w:r>
          </w:p>
        </w:tc>
        <w:tc>
          <w:tcPr>
            <w:tcW w:w="1291" w:type="dxa"/>
            <w:noWrap/>
            <w:hideMark/>
          </w:tcPr>
          <w:p w14:paraId="281B3373" w14:textId="77777777" w:rsidR="009F2F0C" w:rsidRPr="00947923" w:rsidRDefault="009F2F0C" w:rsidP="001D2DC4">
            <w:pPr>
              <w:jc w:val="right"/>
              <w:rPr>
                <w:color w:val="000000"/>
                <w:szCs w:val="22"/>
              </w:rPr>
            </w:pPr>
            <w:r w:rsidRPr="00947923">
              <w:rPr>
                <w:color w:val="000000"/>
              </w:rPr>
              <w:t>1 882</w:t>
            </w:r>
          </w:p>
        </w:tc>
        <w:tc>
          <w:tcPr>
            <w:tcW w:w="2835" w:type="dxa"/>
            <w:noWrap/>
            <w:hideMark/>
          </w:tcPr>
          <w:p w14:paraId="369184B7" w14:textId="77777777" w:rsidR="009F2F0C" w:rsidRPr="00947923" w:rsidRDefault="009F2F0C" w:rsidP="001D2DC4">
            <w:pPr>
              <w:jc w:val="right"/>
              <w:rPr>
                <w:color w:val="000000"/>
                <w:szCs w:val="22"/>
              </w:rPr>
            </w:pPr>
            <w:r w:rsidRPr="00947923">
              <w:rPr>
                <w:color w:val="000000"/>
              </w:rPr>
              <w:t>1</w:t>
            </w:r>
          </w:p>
        </w:tc>
        <w:tc>
          <w:tcPr>
            <w:tcW w:w="2977" w:type="dxa"/>
            <w:noWrap/>
            <w:hideMark/>
          </w:tcPr>
          <w:p w14:paraId="079D3454" w14:textId="77777777" w:rsidR="009F2F0C" w:rsidRPr="00947923" w:rsidRDefault="009F2F0C" w:rsidP="001D2DC4">
            <w:pPr>
              <w:jc w:val="right"/>
              <w:rPr>
                <w:color w:val="000000"/>
                <w:szCs w:val="22"/>
              </w:rPr>
            </w:pPr>
          </w:p>
        </w:tc>
      </w:tr>
      <w:tr w:rsidR="009F2F0C" w:rsidRPr="00947923" w14:paraId="57AE4DE5" w14:textId="77777777" w:rsidTr="001D2DC4">
        <w:trPr>
          <w:trHeight w:val="288"/>
        </w:trPr>
        <w:tc>
          <w:tcPr>
            <w:tcW w:w="1256" w:type="dxa"/>
            <w:noWrap/>
            <w:hideMark/>
          </w:tcPr>
          <w:p w14:paraId="0B82CA02" w14:textId="77777777" w:rsidR="009F2F0C" w:rsidRPr="00947923" w:rsidRDefault="009F2F0C" w:rsidP="001D2DC4">
            <w:pPr>
              <w:jc w:val="center"/>
              <w:rPr>
                <w:color w:val="000000"/>
                <w:szCs w:val="22"/>
              </w:rPr>
            </w:pPr>
            <w:r w:rsidRPr="00947923">
              <w:rPr>
                <w:color w:val="000000"/>
              </w:rPr>
              <w:t>KR</w:t>
            </w:r>
          </w:p>
        </w:tc>
        <w:tc>
          <w:tcPr>
            <w:tcW w:w="1291" w:type="dxa"/>
            <w:noWrap/>
            <w:hideMark/>
          </w:tcPr>
          <w:p w14:paraId="338C5EFB" w14:textId="77777777" w:rsidR="009F2F0C" w:rsidRPr="00947923" w:rsidRDefault="009F2F0C" w:rsidP="001D2DC4">
            <w:pPr>
              <w:jc w:val="right"/>
              <w:rPr>
                <w:color w:val="000000"/>
                <w:szCs w:val="22"/>
              </w:rPr>
            </w:pPr>
            <w:r w:rsidRPr="00947923">
              <w:rPr>
                <w:color w:val="000000"/>
              </w:rPr>
              <w:t>2 237</w:t>
            </w:r>
          </w:p>
        </w:tc>
        <w:tc>
          <w:tcPr>
            <w:tcW w:w="2835" w:type="dxa"/>
            <w:noWrap/>
            <w:hideMark/>
          </w:tcPr>
          <w:p w14:paraId="2B249C20" w14:textId="77777777" w:rsidR="009F2F0C" w:rsidRPr="00947923" w:rsidRDefault="009F2F0C" w:rsidP="001D2DC4">
            <w:pPr>
              <w:jc w:val="right"/>
              <w:rPr>
                <w:color w:val="000000"/>
                <w:szCs w:val="22"/>
              </w:rPr>
            </w:pPr>
            <w:r w:rsidRPr="00947923">
              <w:rPr>
                <w:color w:val="000000"/>
              </w:rPr>
              <w:t>1</w:t>
            </w:r>
          </w:p>
        </w:tc>
        <w:tc>
          <w:tcPr>
            <w:tcW w:w="2977" w:type="dxa"/>
            <w:noWrap/>
            <w:hideMark/>
          </w:tcPr>
          <w:p w14:paraId="36864268" w14:textId="77777777" w:rsidR="009F2F0C" w:rsidRPr="00947923" w:rsidRDefault="009F2F0C" w:rsidP="001D2DC4">
            <w:pPr>
              <w:jc w:val="right"/>
              <w:rPr>
                <w:color w:val="000000"/>
                <w:szCs w:val="22"/>
              </w:rPr>
            </w:pPr>
          </w:p>
        </w:tc>
      </w:tr>
      <w:tr w:rsidR="009F2F0C" w:rsidRPr="00947923" w14:paraId="24AF8D90" w14:textId="77777777" w:rsidTr="001D2DC4">
        <w:trPr>
          <w:trHeight w:val="288"/>
        </w:trPr>
        <w:tc>
          <w:tcPr>
            <w:tcW w:w="1256" w:type="dxa"/>
            <w:noWrap/>
            <w:hideMark/>
          </w:tcPr>
          <w:p w14:paraId="54EF3A48" w14:textId="77777777" w:rsidR="009F2F0C" w:rsidRPr="00947923" w:rsidRDefault="009F2F0C" w:rsidP="001D2DC4">
            <w:pPr>
              <w:jc w:val="center"/>
              <w:rPr>
                <w:color w:val="000000"/>
                <w:szCs w:val="22"/>
              </w:rPr>
            </w:pPr>
            <w:r w:rsidRPr="00947923">
              <w:rPr>
                <w:color w:val="000000"/>
              </w:rPr>
              <w:t>MX</w:t>
            </w:r>
          </w:p>
        </w:tc>
        <w:tc>
          <w:tcPr>
            <w:tcW w:w="1291" w:type="dxa"/>
            <w:noWrap/>
            <w:hideMark/>
          </w:tcPr>
          <w:p w14:paraId="789BD22A" w14:textId="77777777" w:rsidR="009F2F0C" w:rsidRPr="00947923" w:rsidRDefault="009F2F0C" w:rsidP="001D2DC4">
            <w:pPr>
              <w:jc w:val="right"/>
              <w:rPr>
                <w:color w:val="000000"/>
                <w:szCs w:val="22"/>
              </w:rPr>
            </w:pPr>
            <w:r w:rsidRPr="00947923">
              <w:rPr>
                <w:color w:val="000000"/>
              </w:rPr>
              <w:t>3</w:t>
            </w:r>
          </w:p>
        </w:tc>
        <w:tc>
          <w:tcPr>
            <w:tcW w:w="2835" w:type="dxa"/>
            <w:noWrap/>
            <w:hideMark/>
          </w:tcPr>
          <w:p w14:paraId="0CDA98AF" w14:textId="77777777" w:rsidR="009F2F0C" w:rsidRPr="00947923" w:rsidRDefault="009F2F0C" w:rsidP="001D2DC4">
            <w:pPr>
              <w:jc w:val="right"/>
              <w:rPr>
                <w:color w:val="000000"/>
                <w:szCs w:val="22"/>
              </w:rPr>
            </w:pPr>
            <w:r w:rsidRPr="00947923">
              <w:rPr>
                <w:color w:val="000000"/>
              </w:rPr>
              <w:t>1</w:t>
            </w:r>
          </w:p>
        </w:tc>
        <w:tc>
          <w:tcPr>
            <w:tcW w:w="2977" w:type="dxa"/>
            <w:noWrap/>
            <w:hideMark/>
          </w:tcPr>
          <w:p w14:paraId="39203C21" w14:textId="77777777" w:rsidR="009F2F0C" w:rsidRPr="00947923" w:rsidRDefault="009F2F0C" w:rsidP="001D2DC4">
            <w:pPr>
              <w:jc w:val="right"/>
              <w:rPr>
                <w:color w:val="000000"/>
                <w:szCs w:val="22"/>
              </w:rPr>
            </w:pPr>
          </w:p>
        </w:tc>
      </w:tr>
      <w:tr w:rsidR="009F2F0C" w:rsidRPr="00947923" w14:paraId="0EC96617" w14:textId="77777777" w:rsidTr="001D2DC4">
        <w:trPr>
          <w:trHeight w:val="288"/>
        </w:trPr>
        <w:tc>
          <w:tcPr>
            <w:tcW w:w="1256" w:type="dxa"/>
            <w:noWrap/>
            <w:hideMark/>
          </w:tcPr>
          <w:p w14:paraId="7DD6A367" w14:textId="77777777" w:rsidR="009F2F0C" w:rsidRPr="00947923" w:rsidRDefault="009F2F0C" w:rsidP="001D2DC4">
            <w:pPr>
              <w:jc w:val="center"/>
              <w:rPr>
                <w:color w:val="000000"/>
                <w:szCs w:val="22"/>
              </w:rPr>
            </w:pPr>
            <w:r w:rsidRPr="00947923">
              <w:rPr>
                <w:color w:val="000000"/>
              </w:rPr>
              <w:t>MY</w:t>
            </w:r>
          </w:p>
        </w:tc>
        <w:tc>
          <w:tcPr>
            <w:tcW w:w="1291" w:type="dxa"/>
            <w:noWrap/>
            <w:hideMark/>
          </w:tcPr>
          <w:p w14:paraId="2E479B4F" w14:textId="77777777" w:rsidR="009F2F0C" w:rsidRPr="00947923" w:rsidRDefault="009F2F0C" w:rsidP="001D2DC4">
            <w:pPr>
              <w:jc w:val="right"/>
              <w:rPr>
                <w:color w:val="000000"/>
                <w:szCs w:val="22"/>
              </w:rPr>
            </w:pPr>
            <w:r w:rsidRPr="00947923">
              <w:rPr>
                <w:color w:val="000000"/>
              </w:rPr>
              <w:t>5</w:t>
            </w:r>
          </w:p>
        </w:tc>
        <w:tc>
          <w:tcPr>
            <w:tcW w:w="2835" w:type="dxa"/>
            <w:noWrap/>
            <w:hideMark/>
          </w:tcPr>
          <w:p w14:paraId="0C1DE6F7" w14:textId="77777777" w:rsidR="009F2F0C" w:rsidRPr="00947923" w:rsidRDefault="009F2F0C" w:rsidP="001D2DC4">
            <w:pPr>
              <w:jc w:val="right"/>
              <w:rPr>
                <w:color w:val="000000"/>
                <w:szCs w:val="22"/>
              </w:rPr>
            </w:pPr>
          </w:p>
        </w:tc>
        <w:tc>
          <w:tcPr>
            <w:tcW w:w="2977" w:type="dxa"/>
            <w:noWrap/>
            <w:hideMark/>
          </w:tcPr>
          <w:p w14:paraId="72324D39" w14:textId="77777777" w:rsidR="009F2F0C" w:rsidRPr="00947923" w:rsidRDefault="009F2F0C" w:rsidP="001D2DC4">
            <w:pPr>
              <w:jc w:val="right"/>
              <w:rPr>
                <w:color w:val="000000"/>
                <w:szCs w:val="22"/>
              </w:rPr>
            </w:pPr>
          </w:p>
        </w:tc>
      </w:tr>
      <w:tr w:rsidR="009F2F0C" w:rsidRPr="00947923" w14:paraId="53CD0252" w14:textId="77777777" w:rsidTr="001D2DC4">
        <w:trPr>
          <w:trHeight w:val="288"/>
        </w:trPr>
        <w:tc>
          <w:tcPr>
            <w:tcW w:w="1256" w:type="dxa"/>
            <w:noWrap/>
            <w:hideMark/>
          </w:tcPr>
          <w:p w14:paraId="5F5E46DD" w14:textId="77777777" w:rsidR="009F2F0C" w:rsidRPr="00947923" w:rsidRDefault="009F2F0C" w:rsidP="001D2DC4">
            <w:pPr>
              <w:jc w:val="center"/>
              <w:rPr>
                <w:color w:val="000000"/>
                <w:szCs w:val="22"/>
              </w:rPr>
            </w:pPr>
            <w:r w:rsidRPr="00947923">
              <w:rPr>
                <w:color w:val="000000"/>
              </w:rPr>
              <w:t>NL</w:t>
            </w:r>
          </w:p>
        </w:tc>
        <w:tc>
          <w:tcPr>
            <w:tcW w:w="1291" w:type="dxa"/>
            <w:noWrap/>
            <w:hideMark/>
          </w:tcPr>
          <w:p w14:paraId="3ED16334" w14:textId="77777777" w:rsidR="009F2F0C" w:rsidRPr="00947923" w:rsidRDefault="009F2F0C" w:rsidP="001D2DC4">
            <w:pPr>
              <w:jc w:val="right"/>
              <w:rPr>
                <w:color w:val="000000"/>
                <w:szCs w:val="22"/>
              </w:rPr>
            </w:pPr>
            <w:r w:rsidRPr="00947923">
              <w:rPr>
                <w:color w:val="000000"/>
              </w:rPr>
              <w:t>89</w:t>
            </w:r>
          </w:p>
        </w:tc>
        <w:tc>
          <w:tcPr>
            <w:tcW w:w="2835" w:type="dxa"/>
            <w:noWrap/>
            <w:hideMark/>
          </w:tcPr>
          <w:p w14:paraId="01D79058" w14:textId="77777777" w:rsidR="009F2F0C" w:rsidRPr="00947923" w:rsidRDefault="009F2F0C" w:rsidP="001D2DC4">
            <w:pPr>
              <w:jc w:val="right"/>
              <w:rPr>
                <w:color w:val="000000"/>
                <w:szCs w:val="22"/>
              </w:rPr>
            </w:pPr>
          </w:p>
        </w:tc>
        <w:tc>
          <w:tcPr>
            <w:tcW w:w="2977" w:type="dxa"/>
            <w:noWrap/>
            <w:hideMark/>
          </w:tcPr>
          <w:p w14:paraId="45C93A43" w14:textId="77777777" w:rsidR="009F2F0C" w:rsidRPr="00947923" w:rsidRDefault="009F2F0C" w:rsidP="001D2DC4">
            <w:pPr>
              <w:jc w:val="right"/>
              <w:rPr>
                <w:color w:val="000000"/>
                <w:szCs w:val="22"/>
              </w:rPr>
            </w:pPr>
            <w:r w:rsidRPr="00947923">
              <w:rPr>
                <w:color w:val="000000"/>
              </w:rPr>
              <w:t>46</w:t>
            </w:r>
          </w:p>
        </w:tc>
      </w:tr>
      <w:tr w:rsidR="009F2F0C" w:rsidRPr="00947923" w14:paraId="184F16A6" w14:textId="77777777" w:rsidTr="001D2DC4">
        <w:trPr>
          <w:trHeight w:val="288"/>
        </w:trPr>
        <w:tc>
          <w:tcPr>
            <w:tcW w:w="1256" w:type="dxa"/>
            <w:noWrap/>
            <w:hideMark/>
          </w:tcPr>
          <w:p w14:paraId="7ADED66F" w14:textId="77777777" w:rsidR="009F2F0C" w:rsidRPr="00947923" w:rsidRDefault="009F2F0C" w:rsidP="001D2DC4">
            <w:pPr>
              <w:jc w:val="center"/>
              <w:rPr>
                <w:color w:val="000000"/>
                <w:szCs w:val="22"/>
              </w:rPr>
            </w:pPr>
            <w:r w:rsidRPr="00947923">
              <w:rPr>
                <w:color w:val="000000"/>
              </w:rPr>
              <w:t>NON</w:t>
            </w:r>
          </w:p>
        </w:tc>
        <w:tc>
          <w:tcPr>
            <w:tcW w:w="1291" w:type="dxa"/>
            <w:noWrap/>
            <w:hideMark/>
          </w:tcPr>
          <w:p w14:paraId="51D54793" w14:textId="77777777" w:rsidR="009F2F0C" w:rsidRPr="00947923" w:rsidRDefault="009F2F0C" w:rsidP="001D2DC4">
            <w:pPr>
              <w:jc w:val="right"/>
              <w:rPr>
                <w:color w:val="000000"/>
                <w:szCs w:val="22"/>
              </w:rPr>
            </w:pPr>
            <w:r w:rsidRPr="00947923">
              <w:rPr>
                <w:color w:val="000000"/>
              </w:rPr>
              <w:t>3</w:t>
            </w:r>
          </w:p>
        </w:tc>
        <w:tc>
          <w:tcPr>
            <w:tcW w:w="2835" w:type="dxa"/>
            <w:noWrap/>
            <w:hideMark/>
          </w:tcPr>
          <w:p w14:paraId="7E27B7ED" w14:textId="77777777" w:rsidR="009F2F0C" w:rsidRPr="00947923" w:rsidRDefault="009F2F0C" w:rsidP="001D2DC4">
            <w:pPr>
              <w:jc w:val="right"/>
              <w:rPr>
                <w:color w:val="000000"/>
                <w:szCs w:val="22"/>
              </w:rPr>
            </w:pPr>
          </w:p>
        </w:tc>
        <w:tc>
          <w:tcPr>
            <w:tcW w:w="2977" w:type="dxa"/>
            <w:noWrap/>
            <w:hideMark/>
          </w:tcPr>
          <w:p w14:paraId="54C80405" w14:textId="77777777" w:rsidR="009F2F0C" w:rsidRPr="00947923" w:rsidRDefault="009F2F0C" w:rsidP="001D2DC4">
            <w:pPr>
              <w:jc w:val="right"/>
              <w:rPr>
                <w:color w:val="000000"/>
                <w:szCs w:val="22"/>
              </w:rPr>
            </w:pPr>
            <w:r w:rsidRPr="00947923">
              <w:rPr>
                <w:color w:val="000000"/>
              </w:rPr>
              <w:t>1</w:t>
            </w:r>
          </w:p>
        </w:tc>
      </w:tr>
      <w:tr w:rsidR="009F2F0C" w:rsidRPr="00947923" w14:paraId="4CB2564F" w14:textId="77777777" w:rsidTr="001D2DC4">
        <w:trPr>
          <w:trHeight w:val="288"/>
        </w:trPr>
        <w:tc>
          <w:tcPr>
            <w:tcW w:w="1256" w:type="dxa"/>
            <w:noWrap/>
            <w:hideMark/>
          </w:tcPr>
          <w:p w14:paraId="2D24A82F" w14:textId="77777777" w:rsidR="009F2F0C" w:rsidRPr="00947923" w:rsidRDefault="009F2F0C" w:rsidP="001D2DC4">
            <w:pPr>
              <w:jc w:val="center"/>
              <w:rPr>
                <w:color w:val="000000"/>
                <w:szCs w:val="22"/>
              </w:rPr>
            </w:pPr>
            <w:r w:rsidRPr="00947923">
              <w:rPr>
                <w:color w:val="000000"/>
              </w:rPr>
              <w:t>NZ</w:t>
            </w:r>
          </w:p>
        </w:tc>
        <w:tc>
          <w:tcPr>
            <w:tcW w:w="1291" w:type="dxa"/>
            <w:noWrap/>
            <w:hideMark/>
          </w:tcPr>
          <w:p w14:paraId="7254F0A8" w14:textId="77777777" w:rsidR="009F2F0C" w:rsidRPr="00947923" w:rsidRDefault="009F2F0C" w:rsidP="001D2DC4">
            <w:pPr>
              <w:jc w:val="right"/>
              <w:rPr>
                <w:color w:val="000000"/>
                <w:szCs w:val="22"/>
              </w:rPr>
            </w:pPr>
            <w:r w:rsidRPr="00947923">
              <w:rPr>
                <w:color w:val="000000"/>
              </w:rPr>
              <w:t>23</w:t>
            </w:r>
          </w:p>
        </w:tc>
        <w:tc>
          <w:tcPr>
            <w:tcW w:w="2835" w:type="dxa"/>
            <w:noWrap/>
            <w:hideMark/>
          </w:tcPr>
          <w:p w14:paraId="3FA15837" w14:textId="77777777" w:rsidR="009F2F0C" w:rsidRPr="00947923" w:rsidRDefault="009F2F0C" w:rsidP="001D2DC4">
            <w:pPr>
              <w:jc w:val="right"/>
              <w:rPr>
                <w:color w:val="000000"/>
                <w:szCs w:val="22"/>
              </w:rPr>
            </w:pPr>
          </w:p>
        </w:tc>
        <w:tc>
          <w:tcPr>
            <w:tcW w:w="2977" w:type="dxa"/>
            <w:noWrap/>
            <w:hideMark/>
          </w:tcPr>
          <w:p w14:paraId="2BC20123" w14:textId="77777777" w:rsidR="009F2F0C" w:rsidRPr="00947923" w:rsidRDefault="009F2F0C" w:rsidP="001D2DC4">
            <w:pPr>
              <w:jc w:val="right"/>
              <w:rPr>
                <w:color w:val="000000"/>
                <w:szCs w:val="22"/>
              </w:rPr>
            </w:pPr>
            <w:r w:rsidRPr="00947923">
              <w:rPr>
                <w:color w:val="000000"/>
              </w:rPr>
              <w:t>5</w:t>
            </w:r>
          </w:p>
        </w:tc>
      </w:tr>
      <w:tr w:rsidR="009F2F0C" w:rsidRPr="00947923" w14:paraId="72D815A0" w14:textId="77777777" w:rsidTr="001D2DC4">
        <w:trPr>
          <w:trHeight w:val="288"/>
        </w:trPr>
        <w:tc>
          <w:tcPr>
            <w:tcW w:w="1256" w:type="dxa"/>
            <w:noWrap/>
            <w:hideMark/>
          </w:tcPr>
          <w:p w14:paraId="70A5F02F" w14:textId="77777777" w:rsidR="009F2F0C" w:rsidRPr="00947923" w:rsidRDefault="009F2F0C" w:rsidP="001D2DC4">
            <w:pPr>
              <w:jc w:val="center"/>
              <w:rPr>
                <w:color w:val="000000"/>
                <w:szCs w:val="22"/>
              </w:rPr>
            </w:pPr>
            <w:r w:rsidRPr="00947923">
              <w:rPr>
                <w:color w:val="000000"/>
              </w:rPr>
              <w:t>PE</w:t>
            </w:r>
          </w:p>
        </w:tc>
        <w:tc>
          <w:tcPr>
            <w:tcW w:w="1291" w:type="dxa"/>
            <w:noWrap/>
            <w:hideMark/>
          </w:tcPr>
          <w:p w14:paraId="28FC32F6" w14:textId="77777777" w:rsidR="009F2F0C" w:rsidRPr="00947923" w:rsidRDefault="009F2F0C" w:rsidP="001D2DC4">
            <w:pPr>
              <w:jc w:val="right"/>
              <w:rPr>
                <w:color w:val="000000"/>
                <w:szCs w:val="22"/>
              </w:rPr>
            </w:pPr>
            <w:r w:rsidRPr="00947923">
              <w:rPr>
                <w:color w:val="000000"/>
              </w:rPr>
              <w:t>1</w:t>
            </w:r>
          </w:p>
        </w:tc>
        <w:tc>
          <w:tcPr>
            <w:tcW w:w="2835" w:type="dxa"/>
            <w:noWrap/>
            <w:hideMark/>
          </w:tcPr>
          <w:p w14:paraId="6E3BD2D1" w14:textId="77777777" w:rsidR="009F2F0C" w:rsidRPr="00947923" w:rsidRDefault="009F2F0C" w:rsidP="001D2DC4">
            <w:pPr>
              <w:jc w:val="right"/>
              <w:rPr>
                <w:color w:val="000000"/>
                <w:szCs w:val="22"/>
              </w:rPr>
            </w:pPr>
          </w:p>
        </w:tc>
        <w:tc>
          <w:tcPr>
            <w:tcW w:w="2977" w:type="dxa"/>
            <w:noWrap/>
            <w:hideMark/>
          </w:tcPr>
          <w:p w14:paraId="081398C3" w14:textId="77777777" w:rsidR="009F2F0C" w:rsidRPr="00947923" w:rsidRDefault="009F2F0C" w:rsidP="001D2DC4">
            <w:pPr>
              <w:jc w:val="right"/>
              <w:rPr>
                <w:color w:val="000000"/>
                <w:szCs w:val="22"/>
              </w:rPr>
            </w:pPr>
          </w:p>
        </w:tc>
      </w:tr>
      <w:tr w:rsidR="009F2F0C" w:rsidRPr="00947923" w14:paraId="427C76BC" w14:textId="77777777" w:rsidTr="001D2DC4">
        <w:trPr>
          <w:trHeight w:val="288"/>
        </w:trPr>
        <w:tc>
          <w:tcPr>
            <w:tcW w:w="1256" w:type="dxa"/>
            <w:noWrap/>
            <w:hideMark/>
          </w:tcPr>
          <w:p w14:paraId="66C2A272" w14:textId="77777777" w:rsidR="009F2F0C" w:rsidRPr="00947923" w:rsidRDefault="009F2F0C" w:rsidP="001D2DC4">
            <w:pPr>
              <w:jc w:val="center"/>
              <w:rPr>
                <w:color w:val="000000"/>
                <w:szCs w:val="22"/>
              </w:rPr>
            </w:pPr>
            <w:r w:rsidRPr="00947923">
              <w:rPr>
                <w:color w:val="000000"/>
              </w:rPr>
              <w:t>PH</w:t>
            </w:r>
          </w:p>
        </w:tc>
        <w:tc>
          <w:tcPr>
            <w:tcW w:w="1291" w:type="dxa"/>
            <w:noWrap/>
            <w:hideMark/>
          </w:tcPr>
          <w:p w14:paraId="53DECB0D" w14:textId="77777777" w:rsidR="009F2F0C" w:rsidRPr="00947923" w:rsidRDefault="009F2F0C" w:rsidP="001D2DC4">
            <w:pPr>
              <w:jc w:val="right"/>
              <w:rPr>
                <w:color w:val="000000"/>
                <w:szCs w:val="22"/>
              </w:rPr>
            </w:pPr>
            <w:r w:rsidRPr="00947923">
              <w:rPr>
                <w:color w:val="000000"/>
              </w:rPr>
              <w:t>2</w:t>
            </w:r>
          </w:p>
        </w:tc>
        <w:tc>
          <w:tcPr>
            <w:tcW w:w="2835" w:type="dxa"/>
            <w:noWrap/>
            <w:hideMark/>
          </w:tcPr>
          <w:p w14:paraId="2520912F" w14:textId="77777777" w:rsidR="009F2F0C" w:rsidRPr="00947923" w:rsidRDefault="009F2F0C" w:rsidP="001D2DC4">
            <w:pPr>
              <w:jc w:val="right"/>
              <w:rPr>
                <w:color w:val="000000"/>
                <w:szCs w:val="22"/>
              </w:rPr>
            </w:pPr>
          </w:p>
        </w:tc>
        <w:tc>
          <w:tcPr>
            <w:tcW w:w="2977" w:type="dxa"/>
            <w:noWrap/>
            <w:hideMark/>
          </w:tcPr>
          <w:p w14:paraId="6D6E7B48" w14:textId="77777777" w:rsidR="009F2F0C" w:rsidRPr="00947923" w:rsidRDefault="009F2F0C" w:rsidP="001D2DC4">
            <w:pPr>
              <w:jc w:val="right"/>
              <w:rPr>
                <w:color w:val="000000"/>
                <w:szCs w:val="22"/>
              </w:rPr>
            </w:pPr>
          </w:p>
        </w:tc>
      </w:tr>
      <w:tr w:rsidR="009F2F0C" w:rsidRPr="00947923" w14:paraId="4644B973" w14:textId="77777777" w:rsidTr="001D2DC4">
        <w:trPr>
          <w:trHeight w:val="288"/>
        </w:trPr>
        <w:tc>
          <w:tcPr>
            <w:tcW w:w="1256" w:type="dxa"/>
            <w:noWrap/>
            <w:hideMark/>
          </w:tcPr>
          <w:p w14:paraId="3BE3F49F" w14:textId="77777777" w:rsidR="009F2F0C" w:rsidRPr="00947923" w:rsidRDefault="009F2F0C" w:rsidP="001D2DC4">
            <w:pPr>
              <w:jc w:val="center"/>
              <w:rPr>
                <w:color w:val="000000"/>
                <w:szCs w:val="22"/>
              </w:rPr>
            </w:pPr>
            <w:r w:rsidRPr="00947923">
              <w:rPr>
                <w:color w:val="000000"/>
              </w:rPr>
              <w:t>PL</w:t>
            </w:r>
          </w:p>
        </w:tc>
        <w:tc>
          <w:tcPr>
            <w:tcW w:w="1291" w:type="dxa"/>
            <w:noWrap/>
            <w:hideMark/>
          </w:tcPr>
          <w:p w14:paraId="332C47F0" w14:textId="77777777" w:rsidR="009F2F0C" w:rsidRPr="00947923" w:rsidRDefault="009F2F0C" w:rsidP="001D2DC4">
            <w:pPr>
              <w:jc w:val="right"/>
              <w:rPr>
                <w:color w:val="000000"/>
                <w:szCs w:val="22"/>
              </w:rPr>
            </w:pPr>
            <w:r w:rsidRPr="00947923">
              <w:rPr>
                <w:color w:val="000000"/>
              </w:rPr>
              <w:t>43</w:t>
            </w:r>
          </w:p>
        </w:tc>
        <w:tc>
          <w:tcPr>
            <w:tcW w:w="2835" w:type="dxa"/>
            <w:noWrap/>
            <w:hideMark/>
          </w:tcPr>
          <w:p w14:paraId="44D0834D" w14:textId="77777777" w:rsidR="009F2F0C" w:rsidRPr="00947923" w:rsidRDefault="009F2F0C" w:rsidP="001D2DC4">
            <w:pPr>
              <w:jc w:val="right"/>
              <w:rPr>
                <w:color w:val="000000"/>
                <w:szCs w:val="22"/>
              </w:rPr>
            </w:pPr>
            <w:r w:rsidRPr="00947923">
              <w:rPr>
                <w:color w:val="000000"/>
              </w:rPr>
              <w:t>6</w:t>
            </w:r>
          </w:p>
        </w:tc>
        <w:tc>
          <w:tcPr>
            <w:tcW w:w="2977" w:type="dxa"/>
            <w:noWrap/>
            <w:hideMark/>
          </w:tcPr>
          <w:p w14:paraId="0E49F4E5" w14:textId="77777777" w:rsidR="009F2F0C" w:rsidRPr="00947923" w:rsidRDefault="009F2F0C" w:rsidP="001D2DC4">
            <w:pPr>
              <w:jc w:val="right"/>
              <w:rPr>
                <w:color w:val="000000"/>
                <w:szCs w:val="22"/>
              </w:rPr>
            </w:pPr>
            <w:r w:rsidRPr="00947923">
              <w:rPr>
                <w:color w:val="000000"/>
              </w:rPr>
              <w:t>6</w:t>
            </w:r>
          </w:p>
        </w:tc>
      </w:tr>
      <w:tr w:rsidR="009F2F0C" w:rsidRPr="00947923" w14:paraId="3F7E3A5B" w14:textId="77777777" w:rsidTr="001D2DC4">
        <w:trPr>
          <w:trHeight w:val="288"/>
        </w:trPr>
        <w:tc>
          <w:tcPr>
            <w:tcW w:w="1256" w:type="dxa"/>
            <w:noWrap/>
            <w:hideMark/>
          </w:tcPr>
          <w:p w14:paraId="558B5CD3" w14:textId="77777777" w:rsidR="009F2F0C" w:rsidRPr="00947923" w:rsidRDefault="009F2F0C" w:rsidP="001D2DC4">
            <w:pPr>
              <w:jc w:val="center"/>
              <w:rPr>
                <w:color w:val="000000"/>
                <w:szCs w:val="22"/>
              </w:rPr>
            </w:pPr>
            <w:r w:rsidRPr="00947923">
              <w:rPr>
                <w:color w:val="000000"/>
              </w:rPr>
              <w:t>PT</w:t>
            </w:r>
          </w:p>
        </w:tc>
        <w:tc>
          <w:tcPr>
            <w:tcW w:w="1291" w:type="dxa"/>
            <w:noWrap/>
            <w:hideMark/>
          </w:tcPr>
          <w:p w14:paraId="5E74E1A4" w14:textId="77777777" w:rsidR="009F2F0C" w:rsidRPr="00947923" w:rsidRDefault="009F2F0C" w:rsidP="001D2DC4">
            <w:pPr>
              <w:jc w:val="right"/>
              <w:rPr>
                <w:color w:val="000000"/>
                <w:szCs w:val="22"/>
              </w:rPr>
            </w:pPr>
            <w:r w:rsidRPr="00947923">
              <w:rPr>
                <w:color w:val="000000"/>
              </w:rPr>
              <w:t>5</w:t>
            </w:r>
          </w:p>
        </w:tc>
        <w:tc>
          <w:tcPr>
            <w:tcW w:w="2835" w:type="dxa"/>
            <w:noWrap/>
            <w:hideMark/>
          </w:tcPr>
          <w:p w14:paraId="45014C5C" w14:textId="77777777" w:rsidR="009F2F0C" w:rsidRPr="00947923" w:rsidRDefault="009F2F0C" w:rsidP="001D2DC4">
            <w:pPr>
              <w:jc w:val="right"/>
              <w:rPr>
                <w:color w:val="000000"/>
                <w:szCs w:val="22"/>
              </w:rPr>
            </w:pPr>
            <w:r w:rsidRPr="00947923">
              <w:rPr>
                <w:color w:val="000000"/>
              </w:rPr>
              <w:t>1</w:t>
            </w:r>
          </w:p>
        </w:tc>
        <w:tc>
          <w:tcPr>
            <w:tcW w:w="2977" w:type="dxa"/>
            <w:noWrap/>
            <w:hideMark/>
          </w:tcPr>
          <w:p w14:paraId="5DDB41F5" w14:textId="77777777" w:rsidR="009F2F0C" w:rsidRPr="00947923" w:rsidRDefault="009F2F0C" w:rsidP="001D2DC4">
            <w:pPr>
              <w:jc w:val="right"/>
              <w:rPr>
                <w:color w:val="000000"/>
                <w:szCs w:val="22"/>
              </w:rPr>
            </w:pPr>
          </w:p>
        </w:tc>
      </w:tr>
      <w:tr w:rsidR="009F2F0C" w:rsidRPr="00947923" w14:paraId="0A5CAB5A" w14:textId="77777777" w:rsidTr="001D2DC4">
        <w:trPr>
          <w:trHeight w:val="288"/>
        </w:trPr>
        <w:tc>
          <w:tcPr>
            <w:tcW w:w="1256" w:type="dxa"/>
            <w:noWrap/>
            <w:hideMark/>
          </w:tcPr>
          <w:p w14:paraId="6891938B" w14:textId="77777777" w:rsidR="009F2F0C" w:rsidRPr="00947923" w:rsidRDefault="009F2F0C" w:rsidP="001D2DC4">
            <w:pPr>
              <w:jc w:val="center"/>
              <w:rPr>
                <w:color w:val="000000"/>
                <w:szCs w:val="22"/>
              </w:rPr>
            </w:pPr>
            <w:r w:rsidRPr="00947923">
              <w:rPr>
                <w:color w:val="000000"/>
              </w:rPr>
              <w:t>QA</w:t>
            </w:r>
          </w:p>
        </w:tc>
        <w:tc>
          <w:tcPr>
            <w:tcW w:w="1291" w:type="dxa"/>
            <w:noWrap/>
            <w:hideMark/>
          </w:tcPr>
          <w:p w14:paraId="33D61736" w14:textId="77777777" w:rsidR="009F2F0C" w:rsidRPr="00947923" w:rsidRDefault="009F2F0C" w:rsidP="001D2DC4">
            <w:pPr>
              <w:jc w:val="right"/>
              <w:rPr>
                <w:color w:val="000000"/>
                <w:szCs w:val="22"/>
              </w:rPr>
            </w:pPr>
            <w:r w:rsidRPr="00947923">
              <w:rPr>
                <w:color w:val="000000"/>
              </w:rPr>
              <w:t>1</w:t>
            </w:r>
          </w:p>
        </w:tc>
        <w:tc>
          <w:tcPr>
            <w:tcW w:w="2835" w:type="dxa"/>
            <w:noWrap/>
            <w:hideMark/>
          </w:tcPr>
          <w:p w14:paraId="374532AF" w14:textId="77777777" w:rsidR="009F2F0C" w:rsidRPr="00947923" w:rsidRDefault="009F2F0C" w:rsidP="001D2DC4">
            <w:pPr>
              <w:jc w:val="right"/>
              <w:rPr>
                <w:color w:val="000000"/>
                <w:szCs w:val="22"/>
              </w:rPr>
            </w:pPr>
          </w:p>
        </w:tc>
        <w:tc>
          <w:tcPr>
            <w:tcW w:w="2977" w:type="dxa"/>
            <w:noWrap/>
            <w:hideMark/>
          </w:tcPr>
          <w:p w14:paraId="74B622A9" w14:textId="77777777" w:rsidR="009F2F0C" w:rsidRPr="00947923" w:rsidRDefault="009F2F0C" w:rsidP="001D2DC4">
            <w:pPr>
              <w:jc w:val="right"/>
              <w:rPr>
                <w:color w:val="000000"/>
                <w:szCs w:val="22"/>
              </w:rPr>
            </w:pPr>
          </w:p>
        </w:tc>
      </w:tr>
      <w:tr w:rsidR="009F2F0C" w:rsidRPr="00947923" w14:paraId="664AE7B2" w14:textId="77777777" w:rsidTr="001D2DC4">
        <w:trPr>
          <w:trHeight w:val="288"/>
        </w:trPr>
        <w:tc>
          <w:tcPr>
            <w:tcW w:w="1256" w:type="dxa"/>
            <w:noWrap/>
            <w:hideMark/>
          </w:tcPr>
          <w:p w14:paraId="20265C36" w14:textId="77777777" w:rsidR="009F2F0C" w:rsidRPr="00947923" w:rsidRDefault="009F2F0C" w:rsidP="001D2DC4">
            <w:pPr>
              <w:jc w:val="center"/>
              <w:rPr>
                <w:color w:val="000000"/>
                <w:szCs w:val="22"/>
              </w:rPr>
            </w:pPr>
            <w:r w:rsidRPr="00947923">
              <w:rPr>
                <w:color w:val="000000"/>
              </w:rPr>
              <w:t>RU</w:t>
            </w:r>
          </w:p>
        </w:tc>
        <w:tc>
          <w:tcPr>
            <w:tcW w:w="1291" w:type="dxa"/>
            <w:noWrap/>
            <w:hideMark/>
          </w:tcPr>
          <w:p w14:paraId="7AAC4626" w14:textId="77777777" w:rsidR="009F2F0C" w:rsidRPr="00947923" w:rsidRDefault="009F2F0C" w:rsidP="001D2DC4">
            <w:pPr>
              <w:jc w:val="right"/>
              <w:rPr>
                <w:color w:val="000000"/>
                <w:szCs w:val="22"/>
              </w:rPr>
            </w:pPr>
            <w:r w:rsidRPr="00947923">
              <w:rPr>
                <w:color w:val="000000"/>
              </w:rPr>
              <w:t>44</w:t>
            </w:r>
          </w:p>
        </w:tc>
        <w:tc>
          <w:tcPr>
            <w:tcW w:w="2835" w:type="dxa"/>
            <w:noWrap/>
            <w:hideMark/>
          </w:tcPr>
          <w:p w14:paraId="3E0C2B66" w14:textId="77777777" w:rsidR="009F2F0C" w:rsidRPr="00947923" w:rsidRDefault="009F2F0C" w:rsidP="001D2DC4">
            <w:pPr>
              <w:jc w:val="right"/>
              <w:rPr>
                <w:color w:val="000000"/>
                <w:szCs w:val="22"/>
              </w:rPr>
            </w:pPr>
            <w:r w:rsidRPr="00947923">
              <w:rPr>
                <w:color w:val="000000"/>
              </w:rPr>
              <w:t>3</w:t>
            </w:r>
          </w:p>
        </w:tc>
        <w:tc>
          <w:tcPr>
            <w:tcW w:w="2977" w:type="dxa"/>
            <w:noWrap/>
            <w:hideMark/>
          </w:tcPr>
          <w:p w14:paraId="73E9AAD0" w14:textId="77777777" w:rsidR="009F2F0C" w:rsidRPr="00947923" w:rsidRDefault="009F2F0C" w:rsidP="001D2DC4">
            <w:pPr>
              <w:jc w:val="right"/>
              <w:rPr>
                <w:color w:val="000000"/>
                <w:szCs w:val="22"/>
              </w:rPr>
            </w:pPr>
            <w:r w:rsidRPr="00947923">
              <w:rPr>
                <w:color w:val="000000"/>
              </w:rPr>
              <w:t>1</w:t>
            </w:r>
          </w:p>
        </w:tc>
      </w:tr>
      <w:tr w:rsidR="009F2F0C" w:rsidRPr="00947923" w14:paraId="1B7486C7" w14:textId="77777777" w:rsidTr="001D2DC4">
        <w:trPr>
          <w:trHeight w:val="288"/>
        </w:trPr>
        <w:tc>
          <w:tcPr>
            <w:tcW w:w="1256" w:type="dxa"/>
            <w:noWrap/>
            <w:hideMark/>
          </w:tcPr>
          <w:p w14:paraId="62A77480" w14:textId="77777777" w:rsidR="009F2F0C" w:rsidRPr="00947923" w:rsidRDefault="009F2F0C" w:rsidP="001D2DC4">
            <w:pPr>
              <w:jc w:val="center"/>
              <w:rPr>
                <w:color w:val="000000"/>
                <w:szCs w:val="22"/>
              </w:rPr>
            </w:pPr>
            <w:r w:rsidRPr="00947923">
              <w:rPr>
                <w:color w:val="000000"/>
              </w:rPr>
              <w:t>SE</w:t>
            </w:r>
          </w:p>
        </w:tc>
        <w:tc>
          <w:tcPr>
            <w:tcW w:w="1291" w:type="dxa"/>
            <w:noWrap/>
            <w:hideMark/>
          </w:tcPr>
          <w:p w14:paraId="4D2D2E5D" w14:textId="77777777" w:rsidR="009F2F0C" w:rsidRPr="00947923" w:rsidRDefault="009F2F0C" w:rsidP="001D2DC4">
            <w:pPr>
              <w:jc w:val="right"/>
              <w:rPr>
                <w:color w:val="000000"/>
                <w:szCs w:val="22"/>
              </w:rPr>
            </w:pPr>
            <w:r w:rsidRPr="00947923">
              <w:rPr>
                <w:color w:val="000000"/>
              </w:rPr>
              <w:t>26</w:t>
            </w:r>
          </w:p>
        </w:tc>
        <w:tc>
          <w:tcPr>
            <w:tcW w:w="2835" w:type="dxa"/>
            <w:noWrap/>
            <w:hideMark/>
          </w:tcPr>
          <w:p w14:paraId="595873C9" w14:textId="77777777" w:rsidR="009F2F0C" w:rsidRPr="00947923" w:rsidRDefault="009F2F0C" w:rsidP="001D2DC4">
            <w:pPr>
              <w:jc w:val="right"/>
              <w:rPr>
                <w:color w:val="000000"/>
                <w:szCs w:val="22"/>
              </w:rPr>
            </w:pPr>
            <w:r w:rsidRPr="00947923">
              <w:rPr>
                <w:color w:val="000000"/>
              </w:rPr>
              <w:t>1</w:t>
            </w:r>
          </w:p>
        </w:tc>
        <w:tc>
          <w:tcPr>
            <w:tcW w:w="2977" w:type="dxa"/>
            <w:noWrap/>
            <w:hideMark/>
          </w:tcPr>
          <w:p w14:paraId="315EC33B" w14:textId="77777777" w:rsidR="009F2F0C" w:rsidRPr="00947923" w:rsidRDefault="009F2F0C" w:rsidP="001D2DC4">
            <w:pPr>
              <w:jc w:val="right"/>
              <w:rPr>
                <w:color w:val="000000"/>
                <w:szCs w:val="22"/>
              </w:rPr>
            </w:pPr>
            <w:r w:rsidRPr="00947923">
              <w:rPr>
                <w:color w:val="000000"/>
              </w:rPr>
              <w:t>1</w:t>
            </w:r>
          </w:p>
        </w:tc>
      </w:tr>
      <w:tr w:rsidR="009F2F0C" w:rsidRPr="00947923" w14:paraId="19E84BAF" w14:textId="77777777" w:rsidTr="001D2DC4">
        <w:trPr>
          <w:trHeight w:val="288"/>
        </w:trPr>
        <w:tc>
          <w:tcPr>
            <w:tcW w:w="1256" w:type="dxa"/>
            <w:noWrap/>
            <w:hideMark/>
          </w:tcPr>
          <w:p w14:paraId="606339B0" w14:textId="77777777" w:rsidR="009F2F0C" w:rsidRPr="00947923" w:rsidRDefault="009F2F0C" w:rsidP="001D2DC4">
            <w:pPr>
              <w:jc w:val="center"/>
              <w:rPr>
                <w:color w:val="000000"/>
                <w:szCs w:val="22"/>
              </w:rPr>
            </w:pPr>
            <w:r w:rsidRPr="00947923">
              <w:rPr>
                <w:color w:val="000000"/>
              </w:rPr>
              <w:t>SG</w:t>
            </w:r>
          </w:p>
        </w:tc>
        <w:tc>
          <w:tcPr>
            <w:tcW w:w="1291" w:type="dxa"/>
            <w:noWrap/>
            <w:hideMark/>
          </w:tcPr>
          <w:p w14:paraId="59A8F405" w14:textId="77777777" w:rsidR="009F2F0C" w:rsidRPr="00947923" w:rsidRDefault="009F2F0C" w:rsidP="001D2DC4">
            <w:pPr>
              <w:jc w:val="right"/>
              <w:rPr>
                <w:color w:val="000000"/>
                <w:szCs w:val="22"/>
              </w:rPr>
            </w:pPr>
            <w:r w:rsidRPr="00947923">
              <w:rPr>
                <w:color w:val="000000"/>
              </w:rPr>
              <w:t>190</w:t>
            </w:r>
          </w:p>
        </w:tc>
        <w:tc>
          <w:tcPr>
            <w:tcW w:w="2835" w:type="dxa"/>
            <w:noWrap/>
            <w:hideMark/>
          </w:tcPr>
          <w:p w14:paraId="41A650EA" w14:textId="77777777" w:rsidR="009F2F0C" w:rsidRPr="00947923" w:rsidRDefault="009F2F0C" w:rsidP="001D2DC4">
            <w:pPr>
              <w:jc w:val="right"/>
              <w:rPr>
                <w:color w:val="000000"/>
                <w:szCs w:val="22"/>
              </w:rPr>
            </w:pPr>
            <w:r w:rsidRPr="00947923">
              <w:rPr>
                <w:color w:val="000000"/>
              </w:rPr>
              <w:t>1</w:t>
            </w:r>
          </w:p>
        </w:tc>
        <w:tc>
          <w:tcPr>
            <w:tcW w:w="2977" w:type="dxa"/>
            <w:noWrap/>
            <w:hideMark/>
          </w:tcPr>
          <w:p w14:paraId="247AE678" w14:textId="77777777" w:rsidR="009F2F0C" w:rsidRPr="00947923" w:rsidRDefault="009F2F0C" w:rsidP="001D2DC4">
            <w:pPr>
              <w:jc w:val="right"/>
              <w:rPr>
                <w:color w:val="000000"/>
                <w:szCs w:val="22"/>
              </w:rPr>
            </w:pPr>
            <w:r w:rsidRPr="00947923">
              <w:rPr>
                <w:color w:val="000000"/>
              </w:rPr>
              <w:t>7</w:t>
            </w:r>
          </w:p>
        </w:tc>
      </w:tr>
      <w:tr w:rsidR="009F2F0C" w:rsidRPr="00947923" w14:paraId="2056AD94" w14:textId="77777777" w:rsidTr="001D2DC4">
        <w:trPr>
          <w:trHeight w:val="288"/>
        </w:trPr>
        <w:tc>
          <w:tcPr>
            <w:tcW w:w="1256" w:type="dxa"/>
            <w:noWrap/>
            <w:hideMark/>
          </w:tcPr>
          <w:p w14:paraId="7FAC33FD" w14:textId="77777777" w:rsidR="009F2F0C" w:rsidRPr="00947923" w:rsidRDefault="009F2F0C" w:rsidP="001D2DC4">
            <w:pPr>
              <w:jc w:val="center"/>
              <w:rPr>
                <w:color w:val="000000"/>
                <w:szCs w:val="22"/>
              </w:rPr>
            </w:pPr>
            <w:r w:rsidRPr="00947923">
              <w:rPr>
                <w:color w:val="000000"/>
              </w:rPr>
              <w:t>SK</w:t>
            </w:r>
          </w:p>
        </w:tc>
        <w:tc>
          <w:tcPr>
            <w:tcW w:w="1291" w:type="dxa"/>
            <w:noWrap/>
            <w:hideMark/>
          </w:tcPr>
          <w:p w14:paraId="0C5372B0" w14:textId="77777777" w:rsidR="009F2F0C" w:rsidRPr="00947923" w:rsidRDefault="009F2F0C" w:rsidP="001D2DC4">
            <w:pPr>
              <w:jc w:val="right"/>
              <w:rPr>
                <w:color w:val="000000"/>
                <w:szCs w:val="22"/>
              </w:rPr>
            </w:pPr>
            <w:r w:rsidRPr="00947923">
              <w:rPr>
                <w:color w:val="000000"/>
              </w:rPr>
              <w:t>2</w:t>
            </w:r>
          </w:p>
        </w:tc>
        <w:tc>
          <w:tcPr>
            <w:tcW w:w="2835" w:type="dxa"/>
            <w:noWrap/>
            <w:hideMark/>
          </w:tcPr>
          <w:p w14:paraId="7863947D" w14:textId="77777777" w:rsidR="009F2F0C" w:rsidRPr="00947923" w:rsidRDefault="009F2F0C" w:rsidP="001D2DC4">
            <w:pPr>
              <w:jc w:val="right"/>
              <w:rPr>
                <w:color w:val="000000"/>
                <w:szCs w:val="22"/>
              </w:rPr>
            </w:pPr>
          </w:p>
        </w:tc>
        <w:tc>
          <w:tcPr>
            <w:tcW w:w="2977" w:type="dxa"/>
            <w:noWrap/>
            <w:hideMark/>
          </w:tcPr>
          <w:p w14:paraId="1F44755A" w14:textId="77777777" w:rsidR="009F2F0C" w:rsidRPr="00947923" w:rsidRDefault="009F2F0C" w:rsidP="001D2DC4">
            <w:pPr>
              <w:jc w:val="right"/>
              <w:rPr>
                <w:color w:val="000000"/>
                <w:szCs w:val="22"/>
              </w:rPr>
            </w:pPr>
            <w:r w:rsidRPr="00947923">
              <w:rPr>
                <w:color w:val="000000"/>
              </w:rPr>
              <w:t>1</w:t>
            </w:r>
          </w:p>
        </w:tc>
      </w:tr>
      <w:tr w:rsidR="009F2F0C" w:rsidRPr="00947923" w14:paraId="7C75BF3A" w14:textId="77777777" w:rsidTr="001D2DC4">
        <w:trPr>
          <w:trHeight w:val="288"/>
        </w:trPr>
        <w:tc>
          <w:tcPr>
            <w:tcW w:w="1256" w:type="dxa"/>
            <w:noWrap/>
            <w:hideMark/>
          </w:tcPr>
          <w:p w14:paraId="384DBCDD" w14:textId="77777777" w:rsidR="009F2F0C" w:rsidRPr="00947923" w:rsidRDefault="009F2F0C" w:rsidP="001D2DC4">
            <w:pPr>
              <w:jc w:val="center"/>
              <w:rPr>
                <w:color w:val="000000"/>
                <w:szCs w:val="22"/>
              </w:rPr>
            </w:pPr>
            <w:r w:rsidRPr="00947923">
              <w:rPr>
                <w:color w:val="000000"/>
              </w:rPr>
              <w:t>TH</w:t>
            </w:r>
          </w:p>
        </w:tc>
        <w:tc>
          <w:tcPr>
            <w:tcW w:w="1291" w:type="dxa"/>
            <w:noWrap/>
            <w:hideMark/>
          </w:tcPr>
          <w:p w14:paraId="195349AC" w14:textId="77777777" w:rsidR="009F2F0C" w:rsidRPr="00947923" w:rsidRDefault="009F2F0C" w:rsidP="001D2DC4">
            <w:pPr>
              <w:jc w:val="right"/>
              <w:rPr>
                <w:color w:val="000000"/>
                <w:szCs w:val="22"/>
              </w:rPr>
            </w:pPr>
            <w:r w:rsidRPr="00947923">
              <w:rPr>
                <w:color w:val="000000"/>
              </w:rPr>
              <w:t>11</w:t>
            </w:r>
          </w:p>
        </w:tc>
        <w:tc>
          <w:tcPr>
            <w:tcW w:w="2835" w:type="dxa"/>
            <w:noWrap/>
            <w:hideMark/>
          </w:tcPr>
          <w:p w14:paraId="2B3E07BA" w14:textId="77777777" w:rsidR="009F2F0C" w:rsidRPr="00947923" w:rsidRDefault="009F2F0C" w:rsidP="001D2DC4">
            <w:pPr>
              <w:jc w:val="right"/>
              <w:rPr>
                <w:color w:val="000000"/>
                <w:szCs w:val="22"/>
              </w:rPr>
            </w:pPr>
            <w:r w:rsidRPr="00947923">
              <w:rPr>
                <w:color w:val="000000"/>
              </w:rPr>
              <w:t>2</w:t>
            </w:r>
          </w:p>
        </w:tc>
        <w:tc>
          <w:tcPr>
            <w:tcW w:w="2977" w:type="dxa"/>
            <w:noWrap/>
            <w:hideMark/>
          </w:tcPr>
          <w:p w14:paraId="05BB45E9" w14:textId="77777777" w:rsidR="009F2F0C" w:rsidRPr="00947923" w:rsidRDefault="009F2F0C" w:rsidP="001D2DC4">
            <w:pPr>
              <w:jc w:val="right"/>
              <w:rPr>
                <w:color w:val="000000"/>
                <w:szCs w:val="22"/>
              </w:rPr>
            </w:pPr>
            <w:r w:rsidRPr="00947923">
              <w:rPr>
                <w:color w:val="000000"/>
              </w:rPr>
              <w:t>4</w:t>
            </w:r>
          </w:p>
        </w:tc>
      </w:tr>
      <w:tr w:rsidR="009F2F0C" w:rsidRPr="00947923" w14:paraId="3A2A59CB" w14:textId="77777777" w:rsidTr="001D2DC4">
        <w:trPr>
          <w:trHeight w:val="288"/>
        </w:trPr>
        <w:tc>
          <w:tcPr>
            <w:tcW w:w="1256" w:type="dxa"/>
            <w:noWrap/>
            <w:hideMark/>
          </w:tcPr>
          <w:p w14:paraId="4C360E21" w14:textId="77777777" w:rsidR="009F2F0C" w:rsidRPr="00947923" w:rsidRDefault="009F2F0C" w:rsidP="001D2DC4">
            <w:pPr>
              <w:jc w:val="center"/>
              <w:rPr>
                <w:color w:val="000000"/>
                <w:szCs w:val="22"/>
              </w:rPr>
            </w:pPr>
            <w:r w:rsidRPr="00947923">
              <w:rPr>
                <w:color w:val="000000"/>
              </w:rPr>
              <w:t>TR</w:t>
            </w:r>
          </w:p>
        </w:tc>
        <w:tc>
          <w:tcPr>
            <w:tcW w:w="1291" w:type="dxa"/>
            <w:noWrap/>
            <w:hideMark/>
          </w:tcPr>
          <w:p w14:paraId="50C8DDC8" w14:textId="77777777" w:rsidR="009F2F0C" w:rsidRPr="00947923" w:rsidRDefault="009F2F0C" w:rsidP="001D2DC4">
            <w:pPr>
              <w:jc w:val="right"/>
              <w:rPr>
                <w:color w:val="000000"/>
                <w:szCs w:val="22"/>
              </w:rPr>
            </w:pPr>
            <w:r w:rsidRPr="00947923">
              <w:rPr>
                <w:color w:val="000000"/>
              </w:rPr>
              <w:t>43</w:t>
            </w:r>
          </w:p>
        </w:tc>
        <w:tc>
          <w:tcPr>
            <w:tcW w:w="2835" w:type="dxa"/>
            <w:noWrap/>
            <w:hideMark/>
          </w:tcPr>
          <w:p w14:paraId="44F11AAC" w14:textId="77777777" w:rsidR="009F2F0C" w:rsidRPr="00947923" w:rsidRDefault="009F2F0C" w:rsidP="001D2DC4">
            <w:pPr>
              <w:jc w:val="right"/>
              <w:rPr>
                <w:color w:val="000000"/>
                <w:szCs w:val="22"/>
              </w:rPr>
            </w:pPr>
            <w:r w:rsidRPr="00947923">
              <w:rPr>
                <w:color w:val="000000"/>
              </w:rPr>
              <w:t>4</w:t>
            </w:r>
          </w:p>
        </w:tc>
        <w:tc>
          <w:tcPr>
            <w:tcW w:w="2977" w:type="dxa"/>
            <w:noWrap/>
            <w:hideMark/>
          </w:tcPr>
          <w:p w14:paraId="70990A3A" w14:textId="77777777" w:rsidR="009F2F0C" w:rsidRPr="00947923" w:rsidRDefault="009F2F0C" w:rsidP="001D2DC4">
            <w:pPr>
              <w:jc w:val="right"/>
              <w:rPr>
                <w:color w:val="000000"/>
                <w:szCs w:val="22"/>
              </w:rPr>
            </w:pPr>
            <w:r w:rsidRPr="00947923">
              <w:rPr>
                <w:color w:val="000000"/>
              </w:rPr>
              <w:t>10</w:t>
            </w:r>
          </w:p>
        </w:tc>
      </w:tr>
      <w:tr w:rsidR="009F2F0C" w:rsidRPr="00947923" w14:paraId="5348E068" w14:textId="77777777" w:rsidTr="001D2DC4">
        <w:trPr>
          <w:trHeight w:val="288"/>
        </w:trPr>
        <w:tc>
          <w:tcPr>
            <w:tcW w:w="1256" w:type="dxa"/>
            <w:noWrap/>
            <w:hideMark/>
          </w:tcPr>
          <w:p w14:paraId="05C38B01" w14:textId="77777777" w:rsidR="009F2F0C" w:rsidRPr="00947923" w:rsidRDefault="009F2F0C" w:rsidP="001D2DC4">
            <w:pPr>
              <w:jc w:val="center"/>
              <w:rPr>
                <w:color w:val="000000"/>
                <w:szCs w:val="22"/>
              </w:rPr>
            </w:pPr>
            <w:r w:rsidRPr="00947923">
              <w:rPr>
                <w:color w:val="000000"/>
              </w:rPr>
              <w:t>US</w:t>
            </w:r>
          </w:p>
        </w:tc>
        <w:tc>
          <w:tcPr>
            <w:tcW w:w="1291" w:type="dxa"/>
            <w:noWrap/>
            <w:hideMark/>
          </w:tcPr>
          <w:p w14:paraId="39B85911" w14:textId="77777777" w:rsidR="009F2F0C" w:rsidRPr="00947923" w:rsidRDefault="009F2F0C" w:rsidP="001D2DC4">
            <w:pPr>
              <w:jc w:val="right"/>
              <w:rPr>
                <w:color w:val="000000"/>
                <w:szCs w:val="22"/>
              </w:rPr>
            </w:pPr>
            <w:r w:rsidRPr="00947923">
              <w:rPr>
                <w:color w:val="000000"/>
              </w:rPr>
              <w:t>12 179</w:t>
            </w:r>
          </w:p>
        </w:tc>
        <w:tc>
          <w:tcPr>
            <w:tcW w:w="2835" w:type="dxa"/>
            <w:noWrap/>
            <w:hideMark/>
          </w:tcPr>
          <w:p w14:paraId="703DA163" w14:textId="77777777" w:rsidR="009F2F0C" w:rsidRPr="00947923" w:rsidRDefault="009F2F0C" w:rsidP="001D2DC4">
            <w:pPr>
              <w:jc w:val="right"/>
              <w:rPr>
                <w:color w:val="000000"/>
                <w:szCs w:val="22"/>
              </w:rPr>
            </w:pPr>
            <w:r w:rsidRPr="00947923">
              <w:rPr>
                <w:color w:val="000000"/>
              </w:rPr>
              <w:t>991</w:t>
            </w:r>
          </w:p>
        </w:tc>
        <w:tc>
          <w:tcPr>
            <w:tcW w:w="2977" w:type="dxa"/>
            <w:noWrap/>
            <w:hideMark/>
          </w:tcPr>
          <w:p w14:paraId="0765465C" w14:textId="77777777" w:rsidR="009F2F0C" w:rsidRPr="00947923" w:rsidRDefault="009F2F0C" w:rsidP="001D2DC4">
            <w:pPr>
              <w:jc w:val="right"/>
              <w:rPr>
                <w:color w:val="000000"/>
                <w:szCs w:val="22"/>
              </w:rPr>
            </w:pPr>
            <w:r w:rsidRPr="00947923">
              <w:rPr>
                <w:color w:val="000000"/>
              </w:rPr>
              <w:t>2 336</w:t>
            </w:r>
          </w:p>
        </w:tc>
      </w:tr>
      <w:tr w:rsidR="009F2F0C" w:rsidRPr="00947923" w14:paraId="7AC5C887" w14:textId="77777777" w:rsidTr="001D2DC4">
        <w:trPr>
          <w:trHeight w:val="288"/>
        </w:trPr>
        <w:tc>
          <w:tcPr>
            <w:tcW w:w="1256" w:type="dxa"/>
            <w:noWrap/>
            <w:hideMark/>
          </w:tcPr>
          <w:p w14:paraId="2DD5DD55" w14:textId="77777777" w:rsidR="009F2F0C" w:rsidRPr="00947923" w:rsidRDefault="009F2F0C" w:rsidP="001D2DC4">
            <w:pPr>
              <w:jc w:val="center"/>
              <w:rPr>
                <w:color w:val="000000"/>
                <w:szCs w:val="22"/>
              </w:rPr>
            </w:pPr>
            <w:r w:rsidRPr="00947923">
              <w:rPr>
                <w:color w:val="000000"/>
              </w:rPr>
              <w:t>ZA</w:t>
            </w:r>
          </w:p>
        </w:tc>
        <w:tc>
          <w:tcPr>
            <w:tcW w:w="1291" w:type="dxa"/>
            <w:noWrap/>
            <w:hideMark/>
          </w:tcPr>
          <w:p w14:paraId="0098E0C5" w14:textId="77777777" w:rsidR="009F2F0C" w:rsidRPr="00947923" w:rsidRDefault="009F2F0C" w:rsidP="001D2DC4">
            <w:pPr>
              <w:jc w:val="right"/>
              <w:rPr>
                <w:color w:val="000000"/>
                <w:szCs w:val="22"/>
              </w:rPr>
            </w:pPr>
            <w:r w:rsidRPr="00947923">
              <w:rPr>
                <w:color w:val="000000"/>
              </w:rPr>
              <w:t>1</w:t>
            </w:r>
          </w:p>
        </w:tc>
        <w:tc>
          <w:tcPr>
            <w:tcW w:w="2835" w:type="dxa"/>
            <w:noWrap/>
            <w:hideMark/>
          </w:tcPr>
          <w:p w14:paraId="03F3A5B6" w14:textId="77777777" w:rsidR="009F2F0C" w:rsidRPr="00947923" w:rsidRDefault="009F2F0C" w:rsidP="001D2DC4">
            <w:pPr>
              <w:jc w:val="right"/>
              <w:rPr>
                <w:color w:val="000000"/>
                <w:szCs w:val="22"/>
              </w:rPr>
            </w:pPr>
          </w:p>
        </w:tc>
        <w:tc>
          <w:tcPr>
            <w:tcW w:w="2977" w:type="dxa"/>
            <w:noWrap/>
            <w:hideMark/>
          </w:tcPr>
          <w:p w14:paraId="3528D6D0" w14:textId="77777777" w:rsidR="009F2F0C" w:rsidRPr="00947923" w:rsidRDefault="009F2F0C" w:rsidP="001D2DC4">
            <w:pPr>
              <w:jc w:val="right"/>
              <w:rPr>
                <w:color w:val="000000"/>
                <w:szCs w:val="22"/>
              </w:rPr>
            </w:pPr>
          </w:p>
        </w:tc>
      </w:tr>
    </w:tbl>
    <w:p w14:paraId="042968C7" w14:textId="667DF9BF" w:rsidR="009F2F0C" w:rsidRPr="00947923" w:rsidRDefault="009F2F0C" w:rsidP="00472223">
      <w:pPr>
        <w:pStyle w:val="ONUMFS"/>
        <w:spacing w:before="220"/>
        <w:rPr>
          <w:lang w:val="fr-FR"/>
        </w:rPr>
      </w:pPr>
      <w:r w:rsidRPr="00947923">
        <w:rPr>
          <w:lang w:val="fr-FR"/>
        </w:rPr>
        <w:t>Les raisons des transmissions en vertu de la règle 13</w:t>
      </w:r>
      <w:r w:rsidRPr="00947923">
        <w:rPr>
          <w:i/>
          <w:lang w:val="fr-FR"/>
        </w:rPr>
        <w:t>ter</w:t>
      </w:r>
      <w:r w:rsidRPr="00947923">
        <w:rPr>
          <w:lang w:val="fr-FR"/>
        </w:rPr>
        <w:t xml:space="preserve"> nécessitent un examen plus approfondi, mais les écarts tiennent à l</w:t>
      </w:r>
      <w:r w:rsidR="00E9531F" w:rsidRPr="00947923">
        <w:rPr>
          <w:lang w:val="fr-FR"/>
        </w:rPr>
        <w:t>’</w:t>
      </w:r>
      <w:r w:rsidRPr="00947923">
        <w:rPr>
          <w:lang w:val="fr-FR"/>
        </w:rPr>
        <w:t>administration chargée de la recherche internationale ainsi qu</w:t>
      </w:r>
      <w:r w:rsidR="00E9531F" w:rsidRPr="00947923">
        <w:rPr>
          <w:lang w:val="fr-FR"/>
        </w:rPr>
        <w:t>’</w:t>
      </w:r>
      <w:r w:rsidRPr="00947923">
        <w:rPr>
          <w:lang w:val="fr-FR"/>
        </w:rPr>
        <w:t>à l</w:t>
      </w:r>
      <w:r w:rsidR="00E9531F" w:rsidRPr="00947923">
        <w:rPr>
          <w:lang w:val="fr-FR"/>
        </w:rPr>
        <w:t>’</w:t>
      </w:r>
      <w:r w:rsidRPr="00947923">
        <w:rPr>
          <w:lang w:val="fr-FR"/>
        </w:rPr>
        <w:t>origine du lista</w:t>
      </w:r>
      <w:r w:rsidR="00EC7A31" w:rsidRPr="00947923">
        <w:rPr>
          <w:lang w:val="fr-FR"/>
        </w:rPr>
        <w:t>ge.  Da</w:t>
      </w:r>
      <w:r w:rsidRPr="00947923">
        <w:rPr>
          <w:lang w:val="fr-FR"/>
        </w:rPr>
        <w:t>ns certains États, il est plus fréquent que les déposants établissent des demandes internationales contenant des séquences qui, en vertu de la règle 5.2.a), devraient figurer dans un listage de séquences sans fournir ce listage dans le cadre de la demande internationa</w:t>
      </w:r>
      <w:r w:rsidR="00EC7A31" w:rsidRPr="00947923">
        <w:rPr>
          <w:lang w:val="fr-FR"/>
        </w:rPr>
        <w:t>le.  Ce</w:t>
      </w:r>
      <w:r w:rsidRPr="00947923">
        <w:rPr>
          <w:lang w:val="fr-FR"/>
        </w:rPr>
        <w:t>rtaines administrations internationales vérifient les listages de séquences déposés de manière plus rigoureuse que d</w:t>
      </w:r>
      <w:r w:rsidR="00E9531F" w:rsidRPr="00947923">
        <w:rPr>
          <w:lang w:val="fr-FR"/>
        </w:rPr>
        <w:t>’</w:t>
      </w:r>
      <w:r w:rsidRPr="00947923">
        <w:rPr>
          <w:lang w:val="fr-FR"/>
        </w:rPr>
        <w:t>autres et sont plus susceptibles d</w:t>
      </w:r>
      <w:r w:rsidR="00E9531F" w:rsidRPr="00947923">
        <w:rPr>
          <w:lang w:val="fr-FR"/>
        </w:rPr>
        <w:t>’</w:t>
      </w:r>
      <w:r w:rsidRPr="00947923">
        <w:rPr>
          <w:lang w:val="fr-FR"/>
        </w:rPr>
        <w:t>exiger un listage conforme à la norme en vertu de la règle 13</w:t>
      </w:r>
      <w:r w:rsidRPr="00947923">
        <w:rPr>
          <w:i/>
          <w:lang w:val="fr-FR"/>
        </w:rPr>
        <w:t>ter</w:t>
      </w:r>
      <w:r w:rsidRPr="00947923">
        <w:rPr>
          <w:lang w:val="fr-FR"/>
        </w:rPr>
        <w:t xml:space="preserve"> aux fins de la recherche internationale si elles constatent une irrégularité dans un listage ou si le corps de la demande contient des séquences qui ne figurent pas dans un listage.</w:t>
      </w:r>
    </w:p>
    <w:p w14:paraId="43A55171" w14:textId="77777777" w:rsidR="009F2F0C" w:rsidRPr="00947923" w:rsidRDefault="009F2F0C" w:rsidP="009F2F0C">
      <w:pPr>
        <w:pStyle w:val="Heading3"/>
        <w:rPr>
          <w:lang w:val="fr-FR"/>
        </w:rPr>
      </w:pPr>
      <w:r w:rsidRPr="00947923">
        <w:rPr>
          <w:lang w:val="fr-FR"/>
        </w:rPr>
        <w:t>Vérifications manuelles effectuées durant le traitement des listages de séquences</w:t>
      </w:r>
    </w:p>
    <w:p w14:paraId="383229E7" w14:textId="4C483674" w:rsidR="009F2F0C" w:rsidRPr="00947923" w:rsidRDefault="009F2F0C" w:rsidP="00472223">
      <w:pPr>
        <w:pStyle w:val="ONUMFS"/>
        <w:rPr>
          <w:lang w:val="fr-FR"/>
        </w:rPr>
      </w:pPr>
      <w:r w:rsidRPr="00947923">
        <w:rPr>
          <w:lang w:val="fr-FR"/>
        </w:rPr>
        <w:t>L</w:t>
      </w:r>
      <w:r w:rsidR="00E9531F" w:rsidRPr="00947923">
        <w:rPr>
          <w:lang w:val="fr-FR"/>
        </w:rPr>
        <w:t>’</w:t>
      </w:r>
      <w:r w:rsidRPr="00947923">
        <w:rPr>
          <w:lang w:val="fr-FR"/>
        </w:rPr>
        <w:t>Office européen des brevets et l</w:t>
      </w:r>
      <w:r w:rsidR="00E9531F" w:rsidRPr="00947923">
        <w:rPr>
          <w:lang w:val="fr-FR"/>
        </w:rPr>
        <w:t>’</w:t>
      </w:r>
      <w:r w:rsidRPr="00947923">
        <w:rPr>
          <w:lang w:val="fr-FR"/>
        </w:rPr>
        <w:t>Office des brevets et des marques des États</w:t>
      </w:r>
      <w:r w:rsidR="00EC7A31" w:rsidRPr="00947923">
        <w:rPr>
          <w:lang w:val="fr-FR"/>
        </w:rPr>
        <w:noBreakHyphen/>
      </w:r>
      <w:r w:rsidRPr="00947923">
        <w:rPr>
          <w:lang w:val="fr-FR"/>
        </w:rPr>
        <w:t>Unis d</w:t>
      </w:r>
      <w:r w:rsidR="00E9531F" w:rsidRPr="00947923">
        <w:rPr>
          <w:lang w:val="fr-FR"/>
        </w:rPr>
        <w:t>’</w:t>
      </w:r>
      <w:r w:rsidRPr="00947923">
        <w:rPr>
          <w:lang w:val="fr-FR"/>
        </w:rPr>
        <w:t>Amérique ont communiqué des informations détaillées à l</w:t>
      </w:r>
      <w:r w:rsidR="00E9531F" w:rsidRPr="00947923">
        <w:rPr>
          <w:lang w:val="fr-FR"/>
        </w:rPr>
        <w:t>’</w:t>
      </w:r>
      <w:r w:rsidRPr="00947923">
        <w:rPr>
          <w:lang w:val="fr-FR"/>
        </w:rPr>
        <w:t>Équipe d</w:t>
      </w:r>
      <w:r w:rsidR="00E9531F" w:rsidRPr="00947923">
        <w:rPr>
          <w:lang w:val="fr-FR"/>
        </w:rPr>
        <w:t>’</w:t>
      </w:r>
      <w:r w:rsidRPr="00947923">
        <w:rPr>
          <w:lang w:val="fr-FR"/>
        </w:rPr>
        <w:t>experts chargée du listage des séquences quant aux contrôles qu</w:t>
      </w:r>
      <w:r w:rsidR="00E9531F" w:rsidRPr="00947923">
        <w:rPr>
          <w:lang w:val="fr-FR"/>
        </w:rPr>
        <w:t>’</w:t>
      </w:r>
      <w:r w:rsidRPr="00947923">
        <w:rPr>
          <w:lang w:val="fr-FR"/>
        </w:rPr>
        <w:t>ils effectuent sur les listages au</w:t>
      </w:r>
      <w:r w:rsidR="00EC7A31" w:rsidRPr="00947923">
        <w:rPr>
          <w:lang w:val="fr-FR"/>
        </w:rPr>
        <w:noBreakHyphen/>
      </w:r>
      <w:r w:rsidRPr="00947923">
        <w:rPr>
          <w:lang w:val="fr-FR"/>
        </w:rPr>
        <w:t xml:space="preserve">delà des vérifications effectuées automatiquement par WIPO </w:t>
      </w:r>
      <w:proofErr w:type="spellStart"/>
      <w:r w:rsidRPr="00947923">
        <w:rPr>
          <w:lang w:val="fr-FR"/>
        </w:rPr>
        <w:t>Sequence</w:t>
      </w:r>
      <w:proofErr w:type="spellEnd"/>
      <w:r w:rsidRPr="00947923">
        <w:rPr>
          <w:lang w:val="fr-FR"/>
        </w:rPr>
        <w:t xml:space="preserve"> et WIPO </w:t>
      </w:r>
      <w:proofErr w:type="spellStart"/>
      <w:r w:rsidRPr="00947923">
        <w:rPr>
          <w:lang w:val="fr-FR"/>
        </w:rPr>
        <w:t>Sequence</w:t>
      </w:r>
      <w:proofErr w:type="spellEnd"/>
      <w:r w:rsidRPr="00947923">
        <w:rPr>
          <w:lang w:val="fr-FR"/>
        </w:rPr>
        <w:t xml:space="preserve"> </w:t>
      </w:r>
      <w:proofErr w:type="spellStart"/>
      <w:r w:rsidRPr="00947923">
        <w:rPr>
          <w:lang w:val="fr-FR"/>
        </w:rPr>
        <w:t>Validator</w:t>
      </w:r>
      <w:proofErr w:type="spellEnd"/>
      <w:r w:rsidRPr="00947923">
        <w:rPr>
          <w:lang w:val="fr-FR"/>
        </w:rPr>
        <w:t>, qui engendrent de nombreuses demandes de listages au titre de la règle 13</w:t>
      </w:r>
      <w:r w:rsidRPr="00947923">
        <w:rPr>
          <w:i/>
          <w:lang w:val="fr-FR"/>
        </w:rPr>
        <w:t>t</w:t>
      </w:r>
      <w:r w:rsidR="00EC7A31" w:rsidRPr="00947923">
        <w:rPr>
          <w:i/>
          <w:lang w:val="fr-FR"/>
        </w:rPr>
        <w:t xml:space="preserve">er.  </w:t>
      </w:r>
      <w:r w:rsidR="00EC7A31" w:rsidRPr="00947923">
        <w:rPr>
          <w:lang w:val="fr-FR"/>
        </w:rPr>
        <w:t>Le</w:t>
      </w:r>
      <w:r w:rsidRPr="00947923">
        <w:rPr>
          <w:lang w:val="fr-FR"/>
        </w:rPr>
        <w:t>s informations concernant ces contrôles peuvent être précieuses pour d</w:t>
      </w:r>
      <w:r w:rsidR="00E9531F" w:rsidRPr="00947923">
        <w:rPr>
          <w:lang w:val="fr-FR"/>
        </w:rPr>
        <w:t>’</w:t>
      </w:r>
      <w:r w:rsidRPr="00947923">
        <w:rPr>
          <w:lang w:val="fr-FR"/>
        </w:rPr>
        <w:t>autres offices nationaux afin d</w:t>
      </w:r>
      <w:r w:rsidR="00E9531F" w:rsidRPr="00947923">
        <w:rPr>
          <w:lang w:val="fr-FR"/>
        </w:rPr>
        <w:t>’</w:t>
      </w:r>
      <w:r w:rsidRPr="00947923">
        <w:rPr>
          <w:lang w:val="fr-FR"/>
        </w:rPr>
        <w:t>améliorer le traitement des fichiers de listage de séquences qu</w:t>
      </w:r>
      <w:r w:rsidR="00E9531F" w:rsidRPr="00947923">
        <w:rPr>
          <w:lang w:val="fr-FR"/>
        </w:rPr>
        <w:t>’</w:t>
      </w:r>
      <w:r w:rsidRPr="00947923">
        <w:rPr>
          <w:lang w:val="fr-FR"/>
        </w:rPr>
        <w:t>ils reçoivent.</w:t>
      </w:r>
    </w:p>
    <w:p w14:paraId="777E5230" w14:textId="0BEF843A" w:rsidR="009F2F0C" w:rsidRPr="00947923" w:rsidRDefault="009F2F0C" w:rsidP="00472223">
      <w:pPr>
        <w:pStyle w:val="ONUMFS"/>
        <w:rPr>
          <w:lang w:val="fr-FR"/>
        </w:rPr>
      </w:pPr>
      <w:bookmarkStart w:id="6" w:name="_Ref187851302"/>
      <w:r w:rsidRPr="00947923">
        <w:rPr>
          <w:lang w:val="fr-FR"/>
        </w:rPr>
        <w:t>Une analyse plus approfondie s</w:t>
      </w:r>
      <w:r w:rsidR="00E9531F" w:rsidRPr="00947923">
        <w:rPr>
          <w:lang w:val="fr-FR"/>
        </w:rPr>
        <w:t>’</w:t>
      </w:r>
      <w:r w:rsidRPr="00947923">
        <w:rPr>
          <w:lang w:val="fr-FR"/>
        </w:rPr>
        <w:t>impose concernant les types d</w:t>
      </w:r>
      <w:r w:rsidR="00E9531F" w:rsidRPr="00947923">
        <w:rPr>
          <w:lang w:val="fr-FR"/>
        </w:rPr>
        <w:t>’</w:t>
      </w:r>
      <w:r w:rsidRPr="00947923">
        <w:rPr>
          <w:lang w:val="fr-FR"/>
        </w:rPr>
        <w:t>irrégularités les plus courants et leurs conséquences pour la recherche internationale afin de déterminer, le cas échéant, quelle mesure envisager concernant les points suivants</w:t>
      </w:r>
      <w:r w:rsidR="00E9531F" w:rsidRPr="00947923">
        <w:rPr>
          <w:lang w:val="fr-FR"/>
        </w:rPr>
        <w:t> :</w:t>
      </w:r>
      <w:bookmarkEnd w:id="6"/>
    </w:p>
    <w:p w14:paraId="44240262" w14:textId="1E48C033" w:rsidR="009F2F0C" w:rsidRPr="00947923" w:rsidRDefault="009F2F0C" w:rsidP="00472223">
      <w:pPr>
        <w:pStyle w:val="ONUMFS"/>
        <w:numPr>
          <w:ilvl w:val="1"/>
          <w:numId w:val="6"/>
        </w:numPr>
        <w:rPr>
          <w:lang w:val="fr-FR"/>
        </w:rPr>
      </w:pPr>
      <w:proofErr w:type="gramStart"/>
      <w:r w:rsidRPr="00947923">
        <w:rPr>
          <w:lang w:val="fr-FR"/>
        </w:rPr>
        <w:t>la</w:t>
      </w:r>
      <w:proofErr w:type="gramEnd"/>
      <w:r w:rsidRPr="00947923">
        <w:rPr>
          <w:lang w:val="fr-FR"/>
        </w:rPr>
        <w:t xml:space="preserve"> sensibilisation des déposants à l</w:t>
      </w:r>
      <w:r w:rsidR="00E9531F" w:rsidRPr="00947923">
        <w:rPr>
          <w:lang w:val="fr-FR"/>
        </w:rPr>
        <w:t>’</w:t>
      </w:r>
      <w:r w:rsidRPr="00947923">
        <w:rPr>
          <w:lang w:val="fr-FR"/>
        </w:rPr>
        <w:t>obligation d</w:t>
      </w:r>
      <w:r w:rsidR="00E9531F" w:rsidRPr="00947923">
        <w:rPr>
          <w:lang w:val="fr-FR"/>
        </w:rPr>
        <w:t>’</w:t>
      </w:r>
      <w:r w:rsidRPr="00947923">
        <w:rPr>
          <w:lang w:val="fr-FR"/>
        </w:rPr>
        <w:t>inclure un listage des séquences dans la description et aux exigences de la norme ST.26 de l</w:t>
      </w:r>
      <w:r w:rsidR="00E9531F" w:rsidRPr="00947923">
        <w:rPr>
          <w:lang w:val="fr-FR"/>
        </w:rPr>
        <w:t>’</w:t>
      </w:r>
      <w:r w:rsidRPr="00947923">
        <w:rPr>
          <w:lang w:val="fr-FR"/>
        </w:rPr>
        <w:t>OMPI;</w:t>
      </w:r>
    </w:p>
    <w:p w14:paraId="347C48B0" w14:textId="77777777" w:rsidR="009F2F0C" w:rsidRPr="00947923" w:rsidRDefault="009F2F0C" w:rsidP="00472223">
      <w:pPr>
        <w:pStyle w:val="ONUMFS"/>
        <w:numPr>
          <w:ilvl w:val="1"/>
          <w:numId w:val="6"/>
        </w:numPr>
        <w:rPr>
          <w:lang w:val="fr-FR"/>
        </w:rPr>
      </w:pPr>
      <w:proofErr w:type="gramStart"/>
      <w:r w:rsidRPr="00947923">
        <w:rPr>
          <w:lang w:val="fr-FR"/>
        </w:rPr>
        <w:t>les</w:t>
      </w:r>
      <w:proofErr w:type="gramEnd"/>
      <w:r w:rsidRPr="00947923">
        <w:rPr>
          <w:lang w:val="fr-FR"/>
        </w:rPr>
        <w:t xml:space="preserve"> améliorations nécessaires de la suite logicielle WIPO </w:t>
      </w:r>
      <w:proofErr w:type="spellStart"/>
      <w:r w:rsidRPr="00947923">
        <w:rPr>
          <w:lang w:val="fr-FR"/>
        </w:rPr>
        <w:t>Sequence</w:t>
      </w:r>
      <w:proofErr w:type="spellEnd"/>
      <w:r w:rsidRPr="00947923">
        <w:rPr>
          <w:lang w:val="fr-FR"/>
        </w:rPr>
        <w:t>;</w:t>
      </w:r>
    </w:p>
    <w:p w14:paraId="1EFD4EAC" w14:textId="77777777" w:rsidR="009F2F0C" w:rsidRPr="00947923" w:rsidRDefault="009F2F0C" w:rsidP="00472223">
      <w:pPr>
        <w:pStyle w:val="ONUMFS"/>
        <w:numPr>
          <w:ilvl w:val="1"/>
          <w:numId w:val="6"/>
        </w:numPr>
        <w:rPr>
          <w:lang w:val="fr-FR"/>
        </w:rPr>
      </w:pPr>
      <w:proofErr w:type="gramStart"/>
      <w:r w:rsidRPr="00947923">
        <w:rPr>
          <w:lang w:val="fr-FR"/>
        </w:rPr>
        <w:t>la</w:t>
      </w:r>
      <w:proofErr w:type="gramEnd"/>
      <w:r w:rsidRPr="00947923">
        <w:rPr>
          <w:lang w:val="fr-FR"/>
        </w:rPr>
        <w:t xml:space="preserve"> validation que les offices récepteurs, les administrations internationales et le Bureau international doivent effectuer;</w:t>
      </w:r>
    </w:p>
    <w:p w14:paraId="76BFE1F1" w14:textId="7C684EC7" w:rsidR="009F2F0C" w:rsidRPr="00947923" w:rsidRDefault="009F2F0C" w:rsidP="00472223">
      <w:pPr>
        <w:pStyle w:val="ONUMFS"/>
        <w:numPr>
          <w:ilvl w:val="1"/>
          <w:numId w:val="6"/>
        </w:numPr>
        <w:rPr>
          <w:lang w:val="fr-FR"/>
        </w:rPr>
      </w:pPr>
      <w:proofErr w:type="gramStart"/>
      <w:r w:rsidRPr="00947923">
        <w:rPr>
          <w:lang w:val="fr-FR"/>
        </w:rPr>
        <w:t>des</w:t>
      </w:r>
      <w:proofErr w:type="gramEnd"/>
      <w:r w:rsidRPr="00947923">
        <w:rPr>
          <w:lang w:val="fr-FR"/>
        </w:rPr>
        <w:t xml:space="preserve"> indications sur les cas où il serait utile de demander un listage aux fins de la recherche internationale (en précisant que l</w:t>
      </w:r>
      <w:r w:rsidR="00E9531F" w:rsidRPr="00947923">
        <w:rPr>
          <w:lang w:val="fr-FR"/>
        </w:rPr>
        <w:t>’</w:t>
      </w:r>
      <w:r w:rsidRPr="00947923">
        <w:rPr>
          <w:lang w:val="fr-FR"/>
        </w:rPr>
        <w:t>invitation en vertu de la règle 13</w:t>
      </w:r>
      <w:r w:rsidRPr="00947923">
        <w:rPr>
          <w:i/>
          <w:lang w:val="fr-FR"/>
        </w:rPr>
        <w:t>ter</w:t>
      </w:r>
      <w:r w:rsidRPr="00947923">
        <w:rPr>
          <w:lang w:val="fr-FR"/>
        </w:rPr>
        <w:t xml:space="preserve"> est laissée à la discrétion de l</w:t>
      </w:r>
      <w:r w:rsidR="00E9531F" w:rsidRPr="00947923">
        <w:rPr>
          <w:lang w:val="fr-FR"/>
        </w:rPr>
        <w:t>’</w:t>
      </w:r>
      <w:r w:rsidRPr="00947923">
        <w:rPr>
          <w:lang w:val="fr-FR"/>
        </w:rPr>
        <w:t>administration et qu</w:t>
      </w:r>
      <w:r w:rsidR="00E9531F" w:rsidRPr="00947923">
        <w:rPr>
          <w:lang w:val="fr-FR"/>
        </w:rPr>
        <w:t>’</w:t>
      </w:r>
      <w:r w:rsidRPr="00947923">
        <w:rPr>
          <w:lang w:val="fr-FR"/>
        </w:rPr>
        <w:t>un listage en vertu de la règle 13</w:t>
      </w:r>
      <w:r w:rsidRPr="00947923">
        <w:rPr>
          <w:i/>
          <w:lang w:val="fr-FR"/>
        </w:rPr>
        <w:t>ter</w:t>
      </w:r>
      <w:r w:rsidRPr="00947923">
        <w:rPr>
          <w:lang w:val="fr-FR"/>
        </w:rPr>
        <w:t xml:space="preserve"> ne fait pas partie de la demande internationale et que, par conséquent, il est possible que cette irrégularité doive encore être corrigée dans le cadre du chapitre II ou dans la phase nationale).</w:t>
      </w:r>
    </w:p>
    <w:p w14:paraId="75D57F2F" w14:textId="77777777" w:rsidR="00E9531F" w:rsidRPr="00947923" w:rsidRDefault="009F2F0C" w:rsidP="009F2F0C">
      <w:pPr>
        <w:pStyle w:val="Heading3"/>
        <w:rPr>
          <w:lang w:val="fr-FR"/>
        </w:rPr>
      </w:pPr>
      <w:r w:rsidRPr="00947923">
        <w:rPr>
          <w:lang w:val="fr-FR"/>
        </w:rPr>
        <w:t>Types de document liés aux listages de séquences</w:t>
      </w:r>
    </w:p>
    <w:p w14:paraId="4D572322" w14:textId="737FC153" w:rsidR="00E9531F" w:rsidRPr="00947923" w:rsidRDefault="009F2F0C" w:rsidP="00472223">
      <w:pPr>
        <w:pStyle w:val="ONUMFS"/>
        <w:rPr>
          <w:color w:val="000000"/>
          <w:lang w:val="fr-FR"/>
        </w:rPr>
      </w:pPr>
      <w:r w:rsidRPr="00947923">
        <w:rPr>
          <w:lang w:val="fr-FR"/>
        </w:rPr>
        <w:t>Le tableau 2 ci</w:t>
      </w:r>
      <w:r w:rsidR="00EC7A31" w:rsidRPr="00947923">
        <w:rPr>
          <w:lang w:val="fr-FR"/>
        </w:rPr>
        <w:noBreakHyphen/>
      </w:r>
      <w:r w:rsidRPr="00947923">
        <w:rPr>
          <w:lang w:val="fr-FR"/>
        </w:rPr>
        <w:t>après indique les différents types de codes de document liés aux listages de séquences actuellement disponibles et le nombre correspondant d</w:t>
      </w:r>
      <w:r w:rsidR="00E9531F" w:rsidRPr="00947923">
        <w:rPr>
          <w:lang w:val="fr-FR"/>
        </w:rPr>
        <w:t>’</w:t>
      </w:r>
      <w:r w:rsidRPr="00947923">
        <w:rPr>
          <w:lang w:val="fr-FR"/>
        </w:rPr>
        <w:t>utilisations de chaque type de document pour les demandes déposées depuis juillet 2022.  La liste peut ne pas être exhaustive pour le PCT dans son ensemble, car le Bureau international ne reçoit pas tous les documents concernés (en particulier dans le cadre de la règle 13</w:t>
      </w:r>
      <w:r w:rsidRPr="00947923">
        <w:rPr>
          <w:i/>
          <w:lang w:val="fr-FR"/>
        </w:rPr>
        <w:t>ter</w:t>
      </w:r>
      <w:r w:rsidRPr="00947923">
        <w:rPr>
          <w:lang w:val="fr-FR"/>
        </w:rPr>
        <w:t>), mais elle devrait constituer une bonne indication.</w:t>
      </w:r>
      <w:r w:rsidR="00BA214F" w:rsidRPr="00947923">
        <w:rPr>
          <w:lang w:val="fr-FR"/>
        </w:rPr>
        <w:t xml:space="preserve"> </w:t>
      </w:r>
      <w:r w:rsidRPr="00947923">
        <w:rPr>
          <w:lang w:val="fr-FR"/>
        </w:rPr>
        <w:t xml:space="preserve"> Il n</w:t>
      </w:r>
      <w:r w:rsidR="00E9531F" w:rsidRPr="00947923">
        <w:rPr>
          <w:lang w:val="fr-FR"/>
        </w:rPr>
        <w:t>’</w:t>
      </w:r>
      <w:r w:rsidRPr="00947923">
        <w:rPr>
          <w:lang w:val="fr-FR"/>
        </w:rPr>
        <w:t>est pas facile pour les déposants ou les examinateurs chargés de vérifier les conditions de forme de comprendre et de sélectionner les bons types de document pour chaque cas particuli</w:t>
      </w:r>
      <w:r w:rsidR="00EC7A31" w:rsidRPr="00947923">
        <w:rPr>
          <w:lang w:val="fr-FR"/>
        </w:rPr>
        <w:t>er.  Un</w:t>
      </w:r>
      <w:r w:rsidRPr="00947923">
        <w:rPr>
          <w:lang w:val="fr-FR"/>
        </w:rPr>
        <w:t>e erreur humaine peut se produire en raison d</w:t>
      </w:r>
      <w:r w:rsidR="00E9531F" w:rsidRPr="00947923">
        <w:rPr>
          <w:lang w:val="fr-FR"/>
        </w:rPr>
        <w:t>’</w:t>
      </w:r>
      <w:r w:rsidRPr="00947923">
        <w:rPr>
          <w:lang w:val="fr-FR"/>
        </w:rPr>
        <w:t>une confusion entre plusieurs types de document similaires ou en raison d</w:t>
      </w:r>
      <w:r w:rsidR="00E9531F" w:rsidRPr="00947923">
        <w:rPr>
          <w:lang w:val="fr-FR"/>
        </w:rPr>
        <w:t>’</w:t>
      </w:r>
      <w:r w:rsidRPr="00947923">
        <w:rPr>
          <w:lang w:val="fr-FR"/>
        </w:rPr>
        <w:t>erreurs telles qu</w:t>
      </w:r>
      <w:r w:rsidR="00E9531F" w:rsidRPr="00947923">
        <w:rPr>
          <w:lang w:val="fr-FR"/>
        </w:rPr>
        <w:t>’</w:t>
      </w:r>
      <w:r w:rsidRPr="00947923">
        <w:rPr>
          <w:lang w:val="fr-FR"/>
        </w:rPr>
        <w:t>un clic accidentel sur un mauvais type de document dans la liste déroulan</w:t>
      </w:r>
      <w:r w:rsidR="00EC7A31" w:rsidRPr="00947923">
        <w:rPr>
          <w:lang w:val="fr-FR"/>
        </w:rPr>
        <w:t>te.  Il</w:t>
      </w:r>
      <w:r w:rsidRPr="00947923">
        <w:rPr>
          <w:lang w:val="fr-FR"/>
        </w:rPr>
        <w:t xml:space="preserve"> conviendrait d</w:t>
      </w:r>
      <w:r w:rsidR="00E9531F" w:rsidRPr="00947923">
        <w:rPr>
          <w:lang w:val="fr-FR"/>
        </w:rPr>
        <w:t>’</w:t>
      </w:r>
      <w:r w:rsidRPr="00947923">
        <w:rPr>
          <w:lang w:val="fr-FR"/>
        </w:rPr>
        <w:t>examiner plus avant si certains de ces types de document devraient être supprim</w:t>
      </w:r>
      <w:r w:rsidR="00EC7A31" w:rsidRPr="00947923">
        <w:rPr>
          <w:lang w:val="fr-FR"/>
        </w:rPr>
        <w:t>és.  Pa</w:t>
      </w:r>
      <w:r w:rsidRPr="00947923">
        <w:rPr>
          <w:lang w:val="fr-FR"/>
        </w:rPr>
        <w:t xml:space="preserve">r exemple, les types de document “Listage des séquences </w:t>
      </w:r>
      <w:r w:rsidR="00E9531F" w:rsidRPr="00947923">
        <w:rPr>
          <w:lang w:val="fr-FR"/>
        </w:rPr>
        <w:t>–</w:t>
      </w:r>
      <w:r w:rsidRPr="00947923">
        <w:rPr>
          <w:lang w:val="fr-FR"/>
        </w:rPr>
        <w:t xml:space="preserve"> Correction </w:t>
      </w:r>
      <w:r w:rsidR="00E9531F" w:rsidRPr="00947923">
        <w:rPr>
          <w:lang w:val="fr-FR"/>
        </w:rPr>
        <w:t>–</w:t>
      </w:r>
      <w:r w:rsidRPr="00947923">
        <w:rPr>
          <w:lang w:val="fr-FR"/>
        </w:rPr>
        <w:t xml:space="preserve"> </w:t>
      </w:r>
      <w:r w:rsidR="00BA214F" w:rsidRPr="00947923">
        <w:rPr>
          <w:lang w:val="fr-FR"/>
        </w:rPr>
        <w:t>règle</w:t>
      </w:r>
      <w:r w:rsidR="00E9531F" w:rsidRPr="00947923">
        <w:rPr>
          <w:lang w:val="fr-FR"/>
        </w:rPr>
        <w:t> </w:t>
      </w:r>
      <w:r w:rsidRPr="00947923">
        <w:rPr>
          <w:lang w:val="fr-FR"/>
        </w:rPr>
        <w:t>13</w:t>
      </w:r>
      <w:r w:rsidRPr="00947923">
        <w:rPr>
          <w:i/>
          <w:lang w:val="fr-FR"/>
        </w:rPr>
        <w:t>ter</w:t>
      </w:r>
      <w:r w:rsidRPr="00947923">
        <w:rPr>
          <w:lang w:val="fr-FR"/>
        </w:rPr>
        <w:t xml:space="preserve">”, “Listage des séquences </w:t>
      </w:r>
      <w:r w:rsidR="00E9531F" w:rsidRPr="00947923">
        <w:rPr>
          <w:lang w:val="fr-FR"/>
        </w:rPr>
        <w:t>–</w:t>
      </w:r>
      <w:r w:rsidRPr="00947923">
        <w:rPr>
          <w:lang w:val="fr-FR"/>
        </w:rPr>
        <w:t xml:space="preserve"> Rectification </w:t>
      </w:r>
      <w:r w:rsidR="00E9531F" w:rsidRPr="00947923">
        <w:rPr>
          <w:lang w:val="fr-FR"/>
        </w:rPr>
        <w:t>–</w:t>
      </w:r>
      <w:r w:rsidRPr="00947923">
        <w:rPr>
          <w:lang w:val="fr-FR"/>
        </w:rPr>
        <w:t xml:space="preserve"> </w:t>
      </w:r>
      <w:r w:rsidR="00BA214F" w:rsidRPr="00947923">
        <w:rPr>
          <w:lang w:val="fr-FR"/>
        </w:rPr>
        <w:t>règle</w:t>
      </w:r>
      <w:r w:rsidRPr="00947923">
        <w:rPr>
          <w:lang w:val="fr-FR"/>
        </w:rPr>
        <w:t> 13</w:t>
      </w:r>
      <w:r w:rsidRPr="00947923">
        <w:rPr>
          <w:i/>
          <w:lang w:val="fr-FR"/>
        </w:rPr>
        <w:t>ter</w:t>
      </w:r>
      <w:r w:rsidRPr="00947923">
        <w:rPr>
          <w:lang w:val="fr-FR"/>
        </w:rPr>
        <w:t>”, et “Listage des séquences en vertu de la règle</w:t>
      </w:r>
      <w:r w:rsidR="00E9531F" w:rsidRPr="00947923">
        <w:rPr>
          <w:lang w:val="fr-FR"/>
        </w:rPr>
        <w:t> </w:t>
      </w:r>
      <w:r w:rsidRPr="00947923">
        <w:rPr>
          <w:lang w:val="fr-FR"/>
        </w:rPr>
        <w:t>13</w:t>
      </w:r>
      <w:r w:rsidRPr="00947923">
        <w:rPr>
          <w:i/>
          <w:lang w:val="fr-FR"/>
        </w:rPr>
        <w:t>ter</w:t>
      </w:r>
      <w:r w:rsidRPr="00947923">
        <w:rPr>
          <w:lang w:val="fr-FR"/>
        </w:rPr>
        <w:t xml:space="preserve"> rectifié par l</w:t>
      </w:r>
      <w:r w:rsidR="00E9531F" w:rsidRPr="00947923">
        <w:rPr>
          <w:lang w:val="fr-FR"/>
        </w:rPr>
        <w:t>’</w:t>
      </w:r>
      <w:r w:rsidRPr="00947923">
        <w:rPr>
          <w:lang w:val="fr-FR"/>
        </w:rPr>
        <w:t>administration chargée de l</w:t>
      </w:r>
      <w:r w:rsidR="00E9531F" w:rsidRPr="00947923">
        <w:rPr>
          <w:lang w:val="fr-FR"/>
        </w:rPr>
        <w:t>’</w:t>
      </w:r>
      <w:r w:rsidRPr="00947923">
        <w:rPr>
          <w:lang w:val="fr-FR"/>
        </w:rPr>
        <w:t>examen préliminaire international (règle</w:t>
      </w:r>
      <w:r w:rsidR="00E9531F" w:rsidRPr="00947923">
        <w:rPr>
          <w:lang w:val="fr-FR"/>
        </w:rPr>
        <w:t> </w:t>
      </w:r>
      <w:r w:rsidRPr="00947923">
        <w:rPr>
          <w:lang w:val="fr-FR"/>
        </w:rPr>
        <w:t>91)” peuvent être considérés comme inutiles, puisqu</w:t>
      </w:r>
      <w:r w:rsidR="00E9531F" w:rsidRPr="00947923">
        <w:rPr>
          <w:lang w:val="fr-FR"/>
        </w:rPr>
        <w:t>’</w:t>
      </w:r>
      <w:r w:rsidRPr="00947923">
        <w:rPr>
          <w:lang w:val="fr-FR"/>
        </w:rPr>
        <w:t>ils ne font pas partie de la demande internationale à proprement parler si le listage en vertu de la règle 13</w:t>
      </w:r>
      <w:r w:rsidRPr="00947923">
        <w:rPr>
          <w:i/>
          <w:lang w:val="fr-FR"/>
        </w:rPr>
        <w:t>ter</w:t>
      </w:r>
      <w:r w:rsidRPr="00947923">
        <w:rPr>
          <w:lang w:val="fr-FR"/>
        </w:rPr>
        <w:t xml:space="preserve"> est faux, quel qu</w:t>
      </w:r>
      <w:r w:rsidR="00E9531F" w:rsidRPr="00947923">
        <w:rPr>
          <w:lang w:val="fr-FR"/>
        </w:rPr>
        <w:t>’</w:t>
      </w:r>
      <w:r w:rsidRPr="00947923">
        <w:rPr>
          <w:lang w:val="fr-FR"/>
        </w:rPr>
        <w:t>en soit la raison;  ils pourraient être simplement remplacés par un nouveau type de document, plutôt que de préciser si la modification est due à une correction ou à une rectification.</w:t>
      </w:r>
    </w:p>
    <w:p w14:paraId="09B76BD0" w14:textId="4CF3024B" w:rsidR="009F2F0C" w:rsidRPr="00947923" w:rsidRDefault="009F2F0C" w:rsidP="009F2F0C">
      <w:pPr>
        <w:pStyle w:val="ONUME"/>
        <w:numPr>
          <w:ilvl w:val="0"/>
          <w:numId w:val="0"/>
        </w:numPr>
        <w:rPr>
          <w:rFonts w:eastAsiaTheme="minorHAnsi"/>
          <w:szCs w:val="22"/>
          <w:lang w:val="fr-FR"/>
        </w:rPr>
      </w:pPr>
      <w:r w:rsidRPr="00947923">
        <w:rPr>
          <w:i/>
          <w:lang w:val="fr-FR"/>
        </w:rPr>
        <w:t>Tableau</w:t>
      </w:r>
      <w:r w:rsidR="00E9531F" w:rsidRPr="00947923">
        <w:rPr>
          <w:i/>
          <w:lang w:val="fr-FR"/>
        </w:rPr>
        <w:t> </w:t>
      </w:r>
      <w:r w:rsidRPr="00947923">
        <w:rPr>
          <w:i/>
          <w:lang w:val="fr-FR"/>
        </w:rPr>
        <w:t>2</w:t>
      </w:r>
      <w:r w:rsidR="00E9531F" w:rsidRPr="00947923">
        <w:rPr>
          <w:i/>
          <w:lang w:val="fr-FR"/>
        </w:rPr>
        <w:t> :</w:t>
      </w:r>
      <w:r w:rsidRPr="00947923">
        <w:rPr>
          <w:i/>
          <w:lang w:val="fr-FR"/>
        </w:rPr>
        <w:t xml:space="preserve"> Utilisation des types de document de listages de séquences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5"/>
        <w:gridCol w:w="1417"/>
      </w:tblGrid>
      <w:tr w:rsidR="009F2F0C" w:rsidRPr="00947923" w14:paraId="210A0B14" w14:textId="77777777" w:rsidTr="00E1784A">
        <w:trPr>
          <w:trHeight w:val="332"/>
        </w:trPr>
        <w:tc>
          <w:tcPr>
            <w:tcW w:w="7225" w:type="dxa"/>
            <w:shd w:val="clear" w:color="auto" w:fill="auto"/>
            <w:tcMar>
              <w:top w:w="0" w:type="dxa"/>
              <w:left w:w="108" w:type="dxa"/>
              <w:bottom w:w="0" w:type="dxa"/>
              <w:right w:w="108" w:type="dxa"/>
            </w:tcMar>
            <w:hideMark/>
          </w:tcPr>
          <w:p w14:paraId="5CAFCCDF" w14:textId="77777777" w:rsidR="009F2F0C" w:rsidRPr="00947923" w:rsidRDefault="009F2F0C" w:rsidP="001D2DC4">
            <w:pPr>
              <w:jc w:val="center"/>
              <w:rPr>
                <w:b/>
                <w:bCs/>
                <w:color w:val="000000"/>
                <w:szCs w:val="22"/>
                <w:lang w:val="fr-FR"/>
              </w:rPr>
            </w:pPr>
            <w:r w:rsidRPr="00947923">
              <w:rPr>
                <w:b/>
                <w:color w:val="000000"/>
                <w:lang w:val="fr-FR"/>
              </w:rPr>
              <w:t>Type de document</w:t>
            </w:r>
          </w:p>
        </w:tc>
        <w:tc>
          <w:tcPr>
            <w:tcW w:w="1417" w:type="dxa"/>
            <w:shd w:val="clear" w:color="auto" w:fill="auto"/>
            <w:noWrap/>
            <w:tcMar>
              <w:top w:w="0" w:type="dxa"/>
              <w:left w:w="108" w:type="dxa"/>
              <w:bottom w:w="0" w:type="dxa"/>
              <w:right w:w="108" w:type="dxa"/>
            </w:tcMar>
            <w:hideMark/>
          </w:tcPr>
          <w:p w14:paraId="5F537DB2" w14:textId="77777777" w:rsidR="009F2F0C" w:rsidRPr="00947923" w:rsidRDefault="009F2F0C" w:rsidP="001D2DC4">
            <w:pPr>
              <w:jc w:val="center"/>
              <w:rPr>
                <w:b/>
                <w:bCs/>
                <w:color w:val="000000"/>
                <w:szCs w:val="22"/>
                <w:lang w:val="fr-FR"/>
              </w:rPr>
            </w:pPr>
            <w:r w:rsidRPr="00947923">
              <w:rPr>
                <w:b/>
                <w:color w:val="000000"/>
                <w:lang w:val="fr-FR"/>
              </w:rPr>
              <w:t>Nombre</w:t>
            </w:r>
          </w:p>
        </w:tc>
      </w:tr>
      <w:tr w:rsidR="009F2F0C" w:rsidRPr="00947923" w14:paraId="6F81FBBC" w14:textId="77777777" w:rsidTr="00E1784A">
        <w:trPr>
          <w:trHeight w:val="288"/>
        </w:trPr>
        <w:tc>
          <w:tcPr>
            <w:tcW w:w="7225" w:type="dxa"/>
            <w:noWrap/>
            <w:tcMar>
              <w:top w:w="0" w:type="dxa"/>
              <w:left w:w="108" w:type="dxa"/>
              <w:bottom w:w="0" w:type="dxa"/>
              <w:right w:w="108" w:type="dxa"/>
            </w:tcMar>
            <w:vAlign w:val="center"/>
            <w:hideMark/>
          </w:tcPr>
          <w:p w14:paraId="1957C9F2" w14:textId="77777777" w:rsidR="009F2F0C" w:rsidRPr="00947923" w:rsidRDefault="009F2F0C" w:rsidP="001D2DC4">
            <w:pPr>
              <w:rPr>
                <w:color w:val="000000"/>
                <w:szCs w:val="22"/>
                <w:lang w:val="fr-FR"/>
              </w:rPr>
            </w:pPr>
            <w:r w:rsidRPr="00947923">
              <w:rPr>
                <w:color w:val="000000"/>
                <w:lang w:val="fr-FR"/>
              </w:rPr>
              <w:t>Listage des séquences</w:t>
            </w:r>
          </w:p>
        </w:tc>
        <w:tc>
          <w:tcPr>
            <w:tcW w:w="1417" w:type="dxa"/>
            <w:noWrap/>
            <w:tcMar>
              <w:top w:w="0" w:type="dxa"/>
              <w:left w:w="108" w:type="dxa"/>
              <w:bottom w:w="0" w:type="dxa"/>
              <w:right w:w="108" w:type="dxa"/>
            </w:tcMar>
            <w:vAlign w:val="bottom"/>
            <w:hideMark/>
          </w:tcPr>
          <w:p w14:paraId="57EB0DEC" w14:textId="77777777" w:rsidR="009F2F0C" w:rsidRPr="00947923" w:rsidRDefault="009F2F0C" w:rsidP="001D2DC4">
            <w:pPr>
              <w:jc w:val="right"/>
              <w:rPr>
                <w:color w:val="000000"/>
                <w:szCs w:val="22"/>
                <w:lang w:val="fr-FR"/>
              </w:rPr>
            </w:pPr>
            <w:r w:rsidRPr="00947923">
              <w:rPr>
                <w:color w:val="000000"/>
                <w:lang w:val="fr-FR"/>
              </w:rPr>
              <w:t>28 804</w:t>
            </w:r>
          </w:p>
        </w:tc>
      </w:tr>
      <w:tr w:rsidR="009F2F0C" w:rsidRPr="00947923" w14:paraId="2040548E" w14:textId="77777777" w:rsidTr="00E1784A">
        <w:trPr>
          <w:trHeight w:val="288"/>
        </w:trPr>
        <w:tc>
          <w:tcPr>
            <w:tcW w:w="7225" w:type="dxa"/>
            <w:noWrap/>
            <w:tcMar>
              <w:top w:w="0" w:type="dxa"/>
              <w:left w:w="108" w:type="dxa"/>
              <w:bottom w:w="0" w:type="dxa"/>
              <w:right w:w="108" w:type="dxa"/>
            </w:tcMar>
            <w:vAlign w:val="center"/>
            <w:hideMark/>
          </w:tcPr>
          <w:p w14:paraId="68A355CD" w14:textId="3E68058C" w:rsidR="009F2F0C" w:rsidRPr="00947923" w:rsidRDefault="009F2F0C" w:rsidP="001D2DC4">
            <w:pPr>
              <w:rPr>
                <w:color w:val="000000"/>
                <w:szCs w:val="22"/>
                <w:lang w:val="fr-FR"/>
              </w:rPr>
            </w:pPr>
            <w:r w:rsidRPr="00947923">
              <w:rPr>
                <w:color w:val="000000"/>
                <w:lang w:val="fr-FR"/>
              </w:rPr>
              <w:t>Listage des séquences aux fins de la recherche internationale (règle</w:t>
            </w:r>
            <w:r w:rsidR="00E9531F" w:rsidRPr="00947923">
              <w:rPr>
                <w:color w:val="000000"/>
                <w:lang w:val="fr-FR"/>
              </w:rPr>
              <w:t> </w:t>
            </w:r>
            <w:r w:rsidRPr="00947923">
              <w:rPr>
                <w:color w:val="000000"/>
                <w:lang w:val="fr-FR"/>
              </w:rPr>
              <w:t>13</w:t>
            </w:r>
            <w:r w:rsidRPr="00947923">
              <w:rPr>
                <w:i/>
                <w:color w:val="000000"/>
                <w:lang w:val="fr-FR"/>
              </w:rPr>
              <w:t>ter</w:t>
            </w:r>
            <w:r w:rsidRPr="00947923">
              <w:rPr>
                <w:color w:val="000000"/>
                <w:lang w:val="fr-FR"/>
              </w:rPr>
              <w:t>)</w:t>
            </w:r>
          </w:p>
        </w:tc>
        <w:tc>
          <w:tcPr>
            <w:tcW w:w="1417" w:type="dxa"/>
            <w:noWrap/>
            <w:tcMar>
              <w:top w:w="0" w:type="dxa"/>
              <w:left w:w="108" w:type="dxa"/>
              <w:bottom w:w="0" w:type="dxa"/>
              <w:right w:w="108" w:type="dxa"/>
            </w:tcMar>
            <w:vAlign w:val="bottom"/>
            <w:hideMark/>
          </w:tcPr>
          <w:p w14:paraId="5D1F9913" w14:textId="77777777" w:rsidR="009F2F0C" w:rsidRPr="00947923" w:rsidRDefault="009F2F0C" w:rsidP="001D2DC4">
            <w:pPr>
              <w:jc w:val="right"/>
              <w:rPr>
                <w:color w:val="000000"/>
                <w:szCs w:val="22"/>
                <w:lang w:val="fr-FR"/>
              </w:rPr>
            </w:pPr>
            <w:r w:rsidRPr="00947923">
              <w:rPr>
                <w:color w:val="000000"/>
                <w:lang w:val="fr-FR"/>
              </w:rPr>
              <w:t>3 550</w:t>
            </w:r>
          </w:p>
        </w:tc>
      </w:tr>
      <w:tr w:rsidR="009F2F0C" w:rsidRPr="00947923" w14:paraId="6D0EA4FB" w14:textId="77777777" w:rsidTr="00E1784A">
        <w:trPr>
          <w:trHeight w:val="288"/>
        </w:trPr>
        <w:tc>
          <w:tcPr>
            <w:tcW w:w="7225" w:type="dxa"/>
            <w:noWrap/>
            <w:tcMar>
              <w:top w:w="0" w:type="dxa"/>
              <w:left w:w="108" w:type="dxa"/>
              <w:bottom w:w="0" w:type="dxa"/>
              <w:right w:w="108" w:type="dxa"/>
            </w:tcMar>
            <w:vAlign w:val="center"/>
            <w:hideMark/>
          </w:tcPr>
          <w:p w14:paraId="5EF89F94" w14:textId="7F893540" w:rsidR="009F2F0C" w:rsidRPr="00947923" w:rsidRDefault="009F2F0C" w:rsidP="001D2DC4">
            <w:pPr>
              <w:rPr>
                <w:color w:val="000000"/>
                <w:szCs w:val="22"/>
                <w:lang w:val="fr-FR"/>
              </w:rPr>
            </w:pPr>
            <w:r w:rsidRPr="00947923">
              <w:rPr>
                <w:color w:val="000000"/>
                <w:lang w:val="fr-FR"/>
              </w:rPr>
              <w:t>Déclaration relative au listage des séquences aux fins de la recherche internationale (règle</w:t>
            </w:r>
            <w:r w:rsidR="00E9531F" w:rsidRPr="00947923">
              <w:rPr>
                <w:color w:val="000000"/>
                <w:lang w:val="fr-FR"/>
              </w:rPr>
              <w:t> </w:t>
            </w:r>
            <w:r w:rsidRPr="00947923">
              <w:rPr>
                <w:color w:val="000000"/>
                <w:lang w:val="fr-FR"/>
              </w:rPr>
              <w:t>13</w:t>
            </w:r>
            <w:r w:rsidRPr="00947923">
              <w:rPr>
                <w:i/>
                <w:color w:val="000000"/>
                <w:lang w:val="fr-FR"/>
              </w:rPr>
              <w:t>ter</w:t>
            </w:r>
            <w:r w:rsidRPr="00947923">
              <w:rPr>
                <w:color w:val="000000"/>
                <w:lang w:val="fr-FR"/>
              </w:rPr>
              <w:t>)</w:t>
            </w:r>
          </w:p>
        </w:tc>
        <w:tc>
          <w:tcPr>
            <w:tcW w:w="1417" w:type="dxa"/>
            <w:noWrap/>
            <w:tcMar>
              <w:top w:w="0" w:type="dxa"/>
              <w:left w:w="108" w:type="dxa"/>
              <w:bottom w:w="0" w:type="dxa"/>
              <w:right w:w="108" w:type="dxa"/>
            </w:tcMar>
            <w:vAlign w:val="bottom"/>
            <w:hideMark/>
          </w:tcPr>
          <w:p w14:paraId="030EE25C" w14:textId="77777777" w:rsidR="009F2F0C" w:rsidRPr="00947923" w:rsidRDefault="009F2F0C" w:rsidP="001D2DC4">
            <w:pPr>
              <w:jc w:val="right"/>
              <w:rPr>
                <w:color w:val="000000"/>
                <w:szCs w:val="22"/>
                <w:lang w:val="fr-FR"/>
              </w:rPr>
            </w:pPr>
            <w:r w:rsidRPr="00947923">
              <w:rPr>
                <w:color w:val="000000"/>
                <w:lang w:val="fr-FR"/>
              </w:rPr>
              <w:t>3 319</w:t>
            </w:r>
          </w:p>
        </w:tc>
      </w:tr>
      <w:tr w:rsidR="009F2F0C" w:rsidRPr="00947923" w14:paraId="746C1C61" w14:textId="77777777" w:rsidTr="00E1784A">
        <w:trPr>
          <w:trHeight w:val="288"/>
        </w:trPr>
        <w:tc>
          <w:tcPr>
            <w:tcW w:w="7225" w:type="dxa"/>
            <w:noWrap/>
            <w:tcMar>
              <w:top w:w="0" w:type="dxa"/>
              <w:left w:w="108" w:type="dxa"/>
              <w:bottom w:w="0" w:type="dxa"/>
              <w:right w:w="108" w:type="dxa"/>
            </w:tcMar>
            <w:vAlign w:val="center"/>
            <w:hideMark/>
          </w:tcPr>
          <w:p w14:paraId="65DC2EEA" w14:textId="77777777" w:rsidR="009F2F0C" w:rsidRPr="00947923" w:rsidRDefault="009F2F0C" w:rsidP="001D2DC4">
            <w:pPr>
              <w:rPr>
                <w:color w:val="000000"/>
                <w:szCs w:val="22"/>
                <w:lang w:val="fr-FR"/>
              </w:rPr>
            </w:pPr>
            <w:r w:rsidRPr="00947923">
              <w:rPr>
                <w:color w:val="000000"/>
                <w:lang w:val="fr-FR"/>
              </w:rPr>
              <w:t>Listage des séquences tel que déposé initialement</w:t>
            </w:r>
          </w:p>
        </w:tc>
        <w:tc>
          <w:tcPr>
            <w:tcW w:w="1417" w:type="dxa"/>
            <w:noWrap/>
            <w:tcMar>
              <w:top w:w="0" w:type="dxa"/>
              <w:left w:w="108" w:type="dxa"/>
              <w:bottom w:w="0" w:type="dxa"/>
              <w:right w:w="108" w:type="dxa"/>
            </w:tcMar>
            <w:vAlign w:val="bottom"/>
            <w:hideMark/>
          </w:tcPr>
          <w:p w14:paraId="4B00AFFB" w14:textId="77777777" w:rsidR="009F2F0C" w:rsidRPr="00947923" w:rsidRDefault="009F2F0C" w:rsidP="001D2DC4">
            <w:pPr>
              <w:jc w:val="right"/>
              <w:rPr>
                <w:color w:val="000000"/>
                <w:szCs w:val="22"/>
                <w:lang w:val="fr-FR"/>
              </w:rPr>
            </w:pPr>
            <w:r w:rsidRPr="00947923">
              <w:rPr>
                <w:color w:val="000000"/>
                <w:lang w:val="fr-FR"/>
              </w:rPr>
              <w:t>253</w:t>
            </w:r>
          </w:p>
        </w:tc>
      </w:tr>
      <w:tr w:rsidR="009F2F0C" w:rsidRPr="00947923" w14:paraId="371BBF57" w14:textId="77777777" w:rsidTr="00E1784A">
        <w:trPr>
          <w:trHeight w:val="288"/>
        </w:trPr>
        <w:tc>
          <w:tcPr>
            <w:tcW w:w="7225" w:type="dxa"/>
            <w:noWrap/>
            <w:tcMar>
              <w:top w:w="0" w:type="dxa"/>
              <w:left w:w="108" w:type="dxa"/>
              <w:bottom w:w="0" w:type="dxa"/>
              <w:right w:w="108" w:type="dxa"/>
            </w:tcMar>
            <w:vAlign w:val="center"/>
            <w:hideMark/>
          </w:tcPr>
          <w:p w14:paraId="72899A2A" w14:textId="7B612C7A" w:rsidR="009F2F0C" w:rsidRPr="00947923" w:rsidRDefault="009F2F0C" w:rsidP="001D2DC4">
            <w:pPr>
              <w:rPr>
                <w:color w:val="000000"/>
                <w:szCs w:val="22"/>
                <w:lang w:val="fr-FR"/>
              </w:rPr>
            </w:pPr>
            <w:r w:rsidRPr="00947923">
              <w:rPr>
                <w:color w:val="000000"/>
                <w:lang w:val="fr-FR"/>
              </w:rPr>
              <w:t>S</w:t>
            </w:r>
            <w:r w:rsidR="00EC7A31" w:rsidRPr="00947923">
              <w:rPr>
                <w:color w:val="000000"/>
                <w:lang w:val="fr-FR"/>
              </w:rPr>
              <w:t>eq.  List.  In</w:t>
            </w:r>
            <w:r w:rsidRPr="00947923">
              <w:rPr>
                <w:color w:val="000000"/>
                <w:lang w:val="fr-FR"/>
              </w:rPr>
              <w:t>fo</w:t>
            </w:r>
          </w:p>
        </w:tc>
        <w:tc>
          <w:tcPr>
            <w:tcW w:w="1417" w:type="dxa"/>
            <w:noWrap/>
            <w:tcMar>
              <w:top w:w="0" w:type="dxa"/>
              <w:left w:w="108" w:type="dxa"/>
              <w:bottom w:w="0" w:type="dxa"/>
              <w:right w:w="108" w:type="dxa"/>
            </w:tcMar>
            <w:vAlign w:val="bottom"/>
            <w:hideMark/>
          </w:tcPr>
          <w:p w14:paraId="23EC30E0" w14:textId="77777777" w:rsidR="009F2F0C" w:rsidRPr="00947923" w:rsidRDefault="009F2F0C" w:rsidP="001D2DC4">
            <w:pPr>
              <w:jc w:val="right"/>
              <w:rPr>
                <w:color w:val="000000"/>
                <w:szCs w:val="22"/>
                <w:lang w:val="fr-FR"/>
              </w:rPr>
            </w:pPr>
            <w:r w:rsidRPr="00947923">
              <w:rPr>
                <w:color w:val="000000"/>
                <w:lang w:val="fr-FR"/>
              </w:rPr>
              <w:t>213</w:t>
            </w:r>
          </w:p>
        </w:tc>
      </w:tr>
      <w:tr w:rsidR="009F2F0C" w:rsidRPr="00947923" w14:paraId="246BF03F" w14:textId="77777777" w:rsidTr="00E1784A">
        <w:trPr>
          <w:trHeight w:val="288"/>
        </w:trPr>
        <w:tc>
          <w:tcPr>
            <w:tcW w:w="7225" w:type="dxa"/>
            <w:noWrap/>
            <w:tcMar>
              <w:top w:w="0" w:type="dxa"/>
              <w:left w:w="108" w:type="dxa"/>
              <w:bottom w:w="0" w:type="dxa"/>
              <w:right w:w="108" w:type="dxa"/>
            </w:tcMar>
            <w:vAlign w:val="center"/>
            <w:hideMark/>
          </w:tcPr>
          <w:p w14:paraId="3E884EC3" w14:textId="56652A70" w:rsidR="009F2F0C" w:rsidRPr="00947923" w:rsidRDefault="009F2F0C" w:rsidP="001D2DC4">
            <w:pPr>
              <w:rPr>
                <w:color w:val="000000"/>
                <w:szCs w:val="22"/>
                <w:lang w:val="fr-FR"/>
              </w:rPr>
            </w:pPr>
            <w:r w:rsidRPr="00947923">
              <w:rPr>
                <w:color w:val="000000"/>
                <w:lang w:val="fr-FR"/>
              </w:rPr>
              <w:t xml:space="preserve">Listage des séquences </w:t>
            </w:r>
            <w:r w:rsidR="00E9531F" w:rsidRPr="00947923">
              <w:rPr>
                <w:color w:val="000000"/>
                <w:lang w:val="fr-FR"/>
              </w:rPr>
              <w:t>–</w:t>
            </w:r>
            <w:r w:rsidRPr="00947923">
              <w:rPr>
                <w:color w:val="000000"/>
                <w:lang w:val="fr-FR"/>
              </w:rPr>
              <w:t xml:space="preserve"> Correction</w:t>
            </w:r>
          </w:p>
        </w:tc>
        <w:tc>
          <w:tcPr>
            <w:tcW w:w="1417" w:type="dxa"/>
            <w:noWrap/>
            <w:tcMar>
              <w:top w:w="0" w:type="dxa"/>
              <w:left w:w="108" w:type="dxa"/>
              <w:bottom w:w="0" w:type="dxa"/>
              <w:right w:w="108" w:type="dxa"/>
            </w:tcMar>
            <w:vAlign w:val="bottom"/>
            <w:hideMark/>
          </w:tcPr>
          <w:p w14:paraId="0E4266BC" w14:textId="77777777" w:rsidR="009F2F0C" w:rsidRPr="00947923" w:rsidRDefault="009F2F0C" w:rsidP="001D2DC4">
            <w:pPr>
              <w:jc w:val="right"/>
              <w:rPr>
                <w:color w:val="000000"/>
                <w:szCs w:val="22"/>
                <w:lang w:val="fr-FR"/>
              </w:rPr>
            </w:pPr>
            <w:r w:rsidRPr="00947923">
              <w:rPr>
                <w:color w:val="000000"/>
                <w:lang w:val="fr-FR"/>
              </w:rPr>
              <w:t>128</w:t>
            </w:r>
          </w:p>
        </w:tc>
      </w:tr>
      <w:tr w:rsidR="009F2F0C" w:rsidRPr="00947923" w14:paraId="0D13E729" w14:textId="77777777" w:rsidTr="00E1784A">
        <w:trPr>
          <w:trHeight w:val="288"/>
        </w:trPr>
        <w:tc>
          <w:tcPr>
            <w:tcW w:w="7225" w:type="dxa"/>
            <w:noWrap/>
            <w:tcMar>
              <w:top w:w="0" w:type="dxa"/>
              <w:left w:w="108" w:type="dxa"/>
              <w:bottom w:w="0" w:type="dxa"/>
              <w:right w:w="108" w:type="dxa"/>
            </w:tcMar>
            <w:vAlign w:val="center"/>
            <w:hideMark/>
          </w:tcPr>
          <w:p w14:paraId="5BEC7255" w14:textId="47BDDEB2" w:rsidR="009F2F0C" w:rsidRPr="00947923" w:rsidRDefault="009F2F0C" w:rsidP="001D2DC4">
            <w:pPr>
              <w:rPr>
                <w:color w:val="000000"/>
                <w:szCs w:val="22"/>
                <w:lang w:val="fr-FR"/>
              </w:rPr>
            </w:pPr>
            <w:r w:rsidRPr="00947923">
              <w:rPr>
                <w:color w:val="000000"/>
                <w:lang w:val="fr-FR"/>
              </w:rPr>
              <w:t>Listage des séquences présumé (non conforme à la norme</w:t>
            </w:r>
            <w:r w:rsidR="00E9531F" w:rsidRPr="00947923">
              <w:rPr>
                <w:color w:val="000000"/>
                <w:lang w:val="fr-FR"/>
              </w:rPr>
              <w:t> </w:t>
            </w:r>
            <w:r w:rsidRPr="00947923">
              <w:rPr>
                <w:color w:val="000000"/>
                <w:lang w:val="fr-FR"/>
              </w:rPr>
              <w:t>ST.26)</w:t>
            </w:r>
          </w:p>
        </w:tc>
        <w:tc>
          <w:tcPr>
            <w:tcW w:w="1417" w:type="dxa"/>
            <w:noWrap/>
            <w:tcMar>
              <w:top w:w="0" w:type="dxa"/>
              <w:left w:w="108" w:type="dxa"/>
              <w:bottom w:w="0" w:type="dxa"/>
              <w:right w:w="108" w:type="dxa"/>
            </w:tcMar>
            <w:vAlign w:val="bottom"/>
            <w:hideMark/>
          </w:tcPr>
          <w:p w14:paraId="18EB11BB" w14:textId="77777777" w:rsidR="009F2F0C" w:rsidRPr="00947923" w:rsidRDefault="009F2F0C" w:rsidP="001D2DC4">
            <w:pPr>
              <w:jc w:val="right"/>
              <w:rPr>
                <w:color w:val="000000"/>
                <w:szCs w:val="22"/>
                <w:lang w:val="fr-FR"/>
              </w:rPr>
            </w:pPr>
            <w:r w:rsidRPr="00947923">
              <w:rPr>
                <w:color w:val="000000"/>
                <w:lang w:val="fr-FR"/>
              </w:rPr>
              <w:t>65</w:t>
            </w:r>
          </w:p>
        </w:tc>
      </w:tr>
      <w:tr w:rsidR="009F2F0C" w:rsidRPr="00947923" w14:paraId="1918E5AE" w14:textId="77777777" w:rsidTr="00E1784A">
        <w:trPr>
          <w:trHeight w:val="288"/>
        </w:trPr>
        <w:tc>
          <w:tcPr>
            <w:tcW w:w="7225" w:type="dxa"/>
            <w:noWrap/>
            <w:tcMar>
              <w:top w:w="0" w:type="dxa"/>
              <w:left w:w="108" w:type="dxa"/>
              <w:bottom w:w="0" w:type="dxa"/>
              <w:right w:w="108" w:type="dxa"/>
            </w:tcMar>
            <w:vAlign w:val="center"/>
            <w:hideMark/>
          </w:tcPr>
          <w:p w14:paraId="4F97DA86" w14:textId="3926E0C6" w:rsidR="009F2F0C" w:rsidRPr="00947923" w:rsidRDefault="009F2F0C" w:rsidP="001D2DC4">
            <w:pPr>
              <w:rPr>
                <w:color w:val="000000"/>
                <w:szCs w:val="22"/>
                <w:lang w:val="fr-FR"/>
              </w:rPr>
            </w:pPr>
            <w:r w:rsidRPr="00947923">
              <w:rPr>
                <w:color w:val="000000"/>
                <w:lang w:val="fr-FR"/>
              </w:rPr>
              <w:t xml:space="preserve">Listage des séquences </w:t>
            </w:r>
            <w:r w:rsidR="00E9531F" w:rsidRPr="00947923">
              <w:rPr>
                <w:color w:val="000000"/>
                <w:lang w:val="fr-FR"/>
              </w:rPr>
              <w:t>–</w:t>
            </w:r>
            <w:r w:rsidRPr="00947923">
              <w:rPr>
                <w:color w:val="000000"/>
                <w:lang w:val="fr-FR"/>
              </w:rPr>
              <w:t xml:space="preserve"> Rectification</w:t>
            </w:r>
          </w:p>
        </w:tc>
        <w:tc>
          <w:tcPr>
            <w:tcW w:w="1417" w:type="dxa"/>
            <w:noWrap/>
            <w:tcMar>
              <w:top w:w="0" w:type="dxa"/>
              <w:left w:w="108" w:type="dxa"/>
              <w:bottom w:w="0" w:type="dxa"/>
              <w:right w:w="108" w:type="dxa"/>
            </w:tcMar>
            <w:vAlign w:val="bottom"/>
            <w:hideMark/>
          </w:tcPr>
          <w:p w14:paraId="0FA71D3A" w14:textId="77777777" w:rsidR="009F2F0C" w:rsidRPr="00947923" w:rsidRDefault="009F2F0C" w:rsidP="001D2DC4">
            <w:pPr>
              <w:jc w:val="right"/>
              <w:rPr>
                <w:color w:val="000000"/>
                <w:szCs w:val="22"/>
                <w:lang w:val="fr-FR"/>
              </w:rPr>
            </w:pPr>
            <w:r w:rsidRPr="00947923">
              <w:rPr>
                <w:color w:val="000000"/>
                <w:lang w:val="fr-FR"/>
              </w:rPr>
              <w:t>63</w:t>
            </w:r>
          </w:p>
        </w:tc>
      </w:tr>
      <w:tr w:rsidR="009F2F0C" w:rsidRPr="00947923" w14:paraId="4D565A0B" w14:textId="77777777" w:rsidTr="00E1784A">
        <w:trPr>
          <w:trHeight w:val="288"/>
        </w:trPr>
        <w:tc>
          <w:tcPr>
            <w:tcW w:w="7225" w:type="dxa"/>
            <w:noWrap/>
            <w:tcMar>
              <w:top w:w="0" w:type="dxa"/>
              <w:left w:w="108" w:type="dxa"/>
              <w:bottom w:w="0" w:type="dxa"/>
              <w:right w:w="108" w:type="dxa"/>
            </w:tcMar>
            <w:vAlign w:val="center"/>
            <w:hideMark/>
          </w:tcPr>
          <w:p w14:paraId="6B30131C" w14:textId="022509BE" w:rsidR="009F2F0C" w:rsidRPr="00947923" w:rsidRDefault="009F2F0C" w:rsidP="001D2DC4">
            <w:pPr>
              <w:rPr>
                <w:color w:val="000000"/>
                <w:szCs w:val="22"/>
                <w:lang w:val="fr-FR"/>
              </w:rPr>
            </w:pPr>
            <w:r w:rsidRPr="00947923">
              <w:rPr>
                <w:color w:val="000000"/>
                <w:lang w:val="fr-FR"/>
              </w:rPr>
              <w:t xml:space="preserve">Listage des séquences </w:t>
            </w:r>
            <w:r w:rsidR="00E9531F" w:rsidRPr="00947923">
              <w:rPr>
                <w:color w:val="000000"/>
                <w:lang w:val="fr-FR"/>
              </w:rPr>
              <w:t>–</w:t>
            </w:r>
            <w:r w:rsidRPr="00947923">
              <w:rPr>
                <w:color w:val="000000"/>
                <w:lang w:val="fr-FR"/>
              </w:rPr>
              <w:t xml:space="preserve"> Rectification </w:t>
            </w:r>
            <w:r w:rsidR="00E9531F" w:rsidRPr="00947923">
              <w:rPr>
                <w:color w:val="000000"/>
                <w:lang w:val="fr-FR"/>
              </w:rPr>
              <w:t>–</w:t>
            </w:r>
            <w:r w:rsidRPr="00947923">
              <w:rPr>
                <w:color w:val="000000"/>
                <w:lang w:val="fr-FR"/>
              </w:rPr>
              <w:t xml:space="preserve"> </w:t>
            </w:r>
            <w:r w:rsidR="00BA214F" w:rsidRPr="00947923">
              <w:rPr>
                <w:color w:val="000000"/>
                <w:lang w:val="fr-FR"/>
              </w:rPr>
              <w:t>règle</w:t>
            </w:r>
            <w:r w:rsidRPr="00947923">
              <w:rPr>
                <w:color w:val="000000"/>
                <w:lang w:val="fr-FR"/>
              </w:rPr>
              <w:t> 13</w:t>
            </w:r>
            <w:r w:rsidRPr="00947923">
              <w:rPr>
                <w:i/>
                <w:color w:val="000000"/>
                <w:lang w:val="fr-FR"/>
              </w:rPr>
              <w:t>ter</w:t>
            </w:r>
          </w:p>
        </w:tc>
        <w:tc>
          <w:tcPr>
            <w:tcW w:w="1417" w:type="dxa"/>
            <w:noWrap/>
            <w:tcMar>
              <w:top w:w="0" w:type="dxa"/>
              <w:left w:w="108" w:type="dxa"/>
              <w:bottom w:w="0" w:type="dxa"/>
              <w:right w:w="108" w:type="dxa"/>
            </w:tcMar>
            <w:vAlign w:val="bottom"/>
            <w:hideMark/>
          </w:tcPr>
          <w:p w14:paraId="2E59FD47" w14:textId="77777777" w:rsidR="009F2F0C" w:rsidRPr="00947923" w:rsidRDefault="009F2F0C" w:rsidP="001D2DC4">
            <w:pPr>
              <w:jc w:val="right"/>
              <w:rPr>
                <w:color w:val="000000"/>
                <w:szCs w:val="22"/>
                <w:lang w:val="fr-FR"/>
              </w:rPr>
            </w:pPr>
            <w:r w:rsidRPr="00947923">
              <w:rPr>
                <w:color w:val="000000"/>
                <w:lang w:val="fr-FR"/>
              </w:rPr>
              <w:t>50</w:t>
            </w:r>
          </w:p>
        </w:tc>
      </w:tr>
      <w:tr w:rsidR="009F2F0C" w:rsidRPr="00947923" w14:paraId="5E7D2AB3" w14:textId="77777777" w:rsidTr="00E1784A">
        <w:trPr>
          <w:trHeight w:val="288"/>
        </w:trPr>
        <w:tc>
          <w:tcPr>
            <w:tcW w:w="7225" w:type="dxa"/>
            <w:noWrap/>
            <w:tcMar>
              <w:top w:w="0" w:type="dxa"/>
              <w:left w:w="108" w:type="dxa"/>
              <w:bottom w:w="0" w:type="dxa"/>
              <w:right w:w="108" w:type="dxa"/>
            </w:tcMar>
            <w:vAlign w:val="center"/>
            <w:hideMark/>
          </w:tcPr>
          <w:p w14:paraId="04C93C41" w14:textId="77777777" w:rsidR="009F2F0C" w:rsidRPr="00947923" w:rsidRDefault="009F2F0C" w:rsidP="001D2DC4">
            <w:pPr>
              <w:rPr>
                <w:color w:val="000000"/>
                <w:szCs w:val="22"/>
                <w:lang w:val="fr-FR"/>
              </w:rPr>
            </w:pPr>
            <w:r w:rsidRPr="00947923">
              <w:rPr>
                <w:color w:val="000000"/>
                <w:lang w:val="fr-FR"/>
              </w:rPr>
              <w:t>Traduction du listage des séquences aux fins de la publication internationale</w:t>
            </w:r>
          </w:p>
        </w:tc>
        <w:tc>
          <w:tcPr>
            <w:tcW w:w="1417" w:type="dxa"/>
            <w:noWrap/>
            <w:tcMar>
              <w:top w:w="0" w:type="dxa"/>
              <w:left w:w="108" w:type="dxa"/>
              <w:bottom w:w="0" w:type="dxa"/>
              <w:right w:w="108" w:type="dxa"/>
            </w:tcMar>
            <w:vAlign w:val="bottom"/>
            <w:hideMark/>
          </w:tcPr>
          <w:p w14:paraId="37193E70" w14:textId="77777777" w:rsidR="009F2F0C" w:rsidRPr="00947923" w:rsidRDefault="009F2F0C" w:rsidP="001D2DC4">
            <w:pPr>
              <w:jc w:val="right"/>
              <w:rPr>
                <w:color w:val="000000"/>
                <w:szCs w:val="22"/>
                <w:lang w:val="fr-FR"/>
              </w:rPr>
            </w:pPr>
            <w:r w:rsidRPr="00947923">
              <w:rPr>
                <w:color w:val="000000"/>
                <w:lang w:val="fr-FR"/>
              </w:rPr>
              <w:t>20</w:t>
            </w:r>
          </w:p>
        </w:tc>
      </w:tr>
      <w:tr w:rsidR="009F2F0C" w:rsidRPr="00947923" w14:paraId="1132941F" w14:textId="77777777" w:rsidTr="00E1784A">
        <w:trPr>
          <w:trHeight w:val="288"/>
        </w:trPr>
        <w:tc>
          <w:tcPr>
            <w:tcW w:w="7225" w:type="dxa"/>
            <w:noWrap/>
            <w:tcMar>
              <w:top w:w="0" w:type="dxa"/>
              <w:left w:w="108" w:type="dxa"/>
              <w:bottom w:w="0" w:type="dxa"/>
              <w:right w:w="108" w:type="dxa"/>
            </w:tcMar>
            <w:vAlign w:val="center"/>
            <w:hideMark/>
          </w:tcPr>
          <w:p w14:paraId="02DBF0F8" w14:textId="61F377B7" w:rsidR="009F2F0C" w:rsidRPr="00947923" w:rsidRDefault="009F2F0C" w:rsidP="001D2DC4">
            <w:pPr>
              <w:rPr>
                <w:color w:val="000000"/>
                <w:szCs w:val="22"/>
                <w:lang w:val="fr-FR"/>
              </w:rPr>
            </w:pPr>
            <w:r w:rsidRPr="00947923">
              <w:rPr>
                <w:color w:val="000000"/>
                <w:lang w:val="fr-FR"/>
              </w:rPr>
              <w:t>Listage des séquences incorporé par renvoi (règle</w:t>
            </w:r>
            <w:r w:rsidR="00E9531F" w:rsidRPr="00947923">
              <w:rPr>
                <w:color w:val="000000"/>
                <w:lang w:val="fr-FR"/>
              </w:rPr>
              <w:t> </w:t>
            </w:r>
            <w:r w:rsidRPr="00947923">
              <w:rPr>
                <w:color w:val="000000"/>
                <w:lang w:val="fr-FR"/>
              </w:rPr>
              <w:t xml:space="preserve">20.6) </w:t>
            </w:r>
          </w:p>
        </w:tc>
        <w:tc>
          <w:tcPr>
            <w:tcW w:w="1417" w:type="dxa"/>
            <w:noWrap/>
            <w:tcMar>
              <w:top w:w="0" w:type="dxa"/>
              <w:left w:w="108" w:type="dxa"/>
              <w:bottom w:w="0" w:type="dxa"/>
              <w:right w:w="108" w:type="dxa"/>
            </w:tcMar>
            <w:vAlign w:val="bottom"/>
            <w:hideMark/>
          </w:tcPr>
          <w:p w14:paraId="4AB808B3" w14:textId="77777777" w:rsidR="009F2F0C" w:rsidRPr="00947923" w:rsidRDefault="009F2F0C" w:rsidP="001D2DC4">
            <w:pPr>
              <w:jc w:val="right"/>
              <w:rPr>
                <w:color w:val="000000"/>
                <w:szCs w:val="22"/>
                <w:lang w:val="fr-FR"/>
              </w:rPr>
            </w:pPr>
            <w:r w:rsidRPr="00947923">
              <w:rPr>
                <w:color w:val="000000"/>
                <w:lang w:val="fr-FR"/>
              </w:rPr>
              <w:t>19</w:t>
            </w:r>
          </w:p>
        </w:tc>
      </w:tr>
      <w:tr w:rsidR="009F2F0C" w:rsidRPr="00947923" w14:paraId="68E76E57" w14:textId="77777777" w:rsidTr="00E1784A">
        <w:trPr>
          <w:trHeight w:val="288"/>
        </w:trPr>
        <w:tc>
          <w:tcPr>
            <w:tcW w:w="7225" w:type="dxa"/>
            <w:noWrap/>
            <w:tcMar>
              <w:top w:w="0" w:type="dxa"/>
              <w:left w:w="108" w:type="dxa"/>
              <w:bottom w:w="0" w:type="dxa"/>
              <w:right w:w="108" w:type="dxa"/>
            </w:tcMar>
            <w:vAlign w:val="center"/>
            <w:hideMark/>
          </w:tcPr>
          <w:p w14:paraId="5C69329D" w14:textId="77777777" w:rsidR="009F2F0C" w:rsidRPr="00947923" w:rsidRDefault="009F2F0C" w:rsidP="001D2DC4">
            <w:pPr>
              <w:rPr>
                <w:color w:val="000000"/>
                <w:szCs w:val="22"/>
                <w:lang w:val="fr-FR"/>
              </w:rPr>
            </w:pPr>
            <w:r w:rsidRPr="00947923">
              <w:rPr>
                <w:color w:val="000000"/>
                <w:lang w:val="fr-FR"/>
              </w:rPr>
              <w:t>Traduction du listage des séquences aux fins de la recherche internationale</w:t>
            </w:r>
          </w:p>
        </w:tc>
        <w:tc>
          <w:tcPr>
            <w:tcW w:w="1417" w:type="dxa"/>
            <w:noWrap/>
            <w:tcMar>
              <w:top w:w="0" w:type="dxa"/>
              <w:left w:w="108" w:type="dxa"/>
              <w:bottom w:w="0" w:type="dxa"/>
              <w:right w:w="108" w:type="dxa"/>
            </w:tcMar>
            <w:vAlign w:val="bottom"/>
            <w:hideMark/>
          </w:tcPr>
          <w:p w14:paraId="4AC7AA92" w14:textId="77777777" w:rsidR="009F2F0C" w:rsidRPr="00947923" w:rsidRDefault="009F2F0C" w:rsidP="001D2DC4">
            <w:pPr>
              <w:jc w:val="right"/>
              <w:rPr>
                <w:color w:val="000000"/>
                <w:szCs w:val="22"/>
                <w:lang w:val="fr-FR"/>
              </w:rPr>
            </w:pPr>
            <w:r w:rsidRPr="00947923">
              <w:rPr>
                <w:color w:val="000000"/>
                <w:lang w:val="fr-FR"/>
              </w:rPr>
              <w:t>11</w:t>
            </w:r>
          </w:p>
        </w:tc>
      </w:tr>
      <w:tr w:rsidR="009F2F0C" w:rsidRPr="00947923" w14:paraId="35E0ACA9" w14:textId="77777777" w:rsidTr="00E1784A">
        <w:trPr>
          <w:trHeight w:val="288"/>
        </w:trPr>
        <w:tc>
          <w:tcPr>
            <w:tcW w:w="7225" w:type="dxa"/>
            <w:noWrap/>
            <w:tcMar>
              <w:top w:w="0" w:type="dxa"/>
              <w:left w:w="108" w:type="dxa"/>
              <w:bottom w:w="0" w:type="dxa"/>
              <w:right w:w="108" w:type="dxa"/>
            </w:tcMar>
            <w:vAlign w:val="center"/>
            <w:hideMark/>
          </w:tcPr>
          <w:p w14:paraId="1180EE81" w14:textId="77777777" w:rsidR="009F2F0C" w:rsidRPr="00947923" w:rsidRDefault="009F2F0C" w:rsidP="001D2DC4">
            <w:pPr>
              <w:rPr>
                <w:color w:val="000000"/>
                <w:szCs w:val="22"/>
                <w:lang w:val="fr-FR"/>
              </w:rPr>
            </w:pPr>
            <w:r w:rsidRPr="00947923">
              <w:rPr>
                <w:color w:val="000000"/>
                <w:lang w:val="fr-FR"/>
              </w:rPr>
              <w:t>Rapport de validation du listage des séquences</w:t>
            </w:r>
          </w:p>
        </w:tc>
        <w:tc>
          <w:tcPr>
            <w:tcW w:w="1417" w:type="dxa"/>
            <w:noWrap/>
            <w:tcMar>
              <w:top w:w="0" w:type="dxa"/>
              <w:left w:w="108" w:type="dxa"/>
              <w:bottom w:w="0" w:type="dxa"/>
              <w:right w:w="108" w:type="dxa"/>
            </w:tcMar>
            <w:vAlign w:val="bottom"/>
            <w:hideMark/>
          </w:tcPr>
          <w:p w14:paraId="1A4A77BF" w14:textId="77777777" w:rsidR="009F2F0C" w:rsidRPr="00947923" w:rsidRDefault="009F2F0C" w:rsidP="001D2DC4">
            <w:pPr>
              <w:jc w:val="right"/>
              <w:rPr>
                <w:color w:val="000000"/>
                <w:szCs w:val="22"/>
                <w:lang w:val="fr-FR"/>
              </w:rPr>
            </w:pPr>
            <w:r w:rsidRPr="00947923">
              <w:rPr>
                <w:color w:val="000000"/>
                <w:lang w:val="fr-FR"/>
              </w:rPr>
              <w:t>8</w:t>
            </w:r>
          </w:p>
        </w:tc>
      </w:tr>
      <w:tr w:rsidR="009F2F0C" w:rsidRPr="00947923" w14:paraId="67106C40" w14:textId="77777777" w:rsidTr="00E1784A">
        <w:trPr>
          <w:trHeight w:val="288"/>
        </w:trPr>
        <w:tc>
          <w:tcPr>
            <w:tcW w:w="7225" w:type="dxa"/>
            <w:noWrap/>
            <w:tcMar>
              <w:top w:w="0" w:type="dxa"/>
              <w:left w:w="108" w:type="dxa"/>
              <w:bottom w:w="0" w:type="dxa"/>
              <w:right w:w="108" w:type="dxa"/>
            </w:tcMar>
            <w:vAlign w:val="center"/>
            <w:hideMark/>
          </w:tcPr>
          <w:p w14:paraId="074C93CF" w14:textId="5444A270" w:rsidR="009F2F0C" w:rsidRPr="00947923" w:rsidRDefault="009F2F0C" w:rsidP="001D2DC4">
            <w:pPr>
              <w:rPr>
                <w:color w:val="000000"/>
                <w:szCs w:val="22"/>
                <w:lang w:val="fr-FR"/>
              </w:rPr>
            </w:pPr>
            <w:r w:rsidRPr="00947923">
              <w:rPr>
                <w:color w:val="000000"/>
                <w:lang w:val="fr-FR"/>
              </w:rPr>
              <w:t xml:space="preserve">Listage des séquences </w:t>
            </w:r>
            <w:r w:rsidR="00E9531F" w:rsidRPr="00947923">
              <w:rPr>
                <w:color w:val="000000"/>
                <w:lang w:val="fr-FR"/>
              </w:rPr>
              <w:t>–</w:t>
            </w:r>
            <w:r w:rsidRPr="00947923">
              <w:rPr>
                <w:color w:val="000000"/>
                <w:lang w:val="fr-FR"/>
              </w:rPr>
              <w:t xml:space="preserve"> Modification </w:t>
            </w:r>
            <w:r w:rsidR="00E9531F" w:rsidRPr="00947923">
              <w:rPr>
                <w:color w:val="000000"/>
                <w:lang w:val="fr-FR"/>
              </w:rPr>
              <w:t>–</w:t>
            </w:r>
            <w:r w:rsidRPr="00947923">
              <w:rPr>
                <w:color w:val="000000"/>
                <w:lang w:val="fr-FR"/>
              </w:rPr>
              <w:t xml:space="preserve"> </w:t>
            </w:r>
            <w:r w:rsidR="00BA214F" w:rsidRPr="00947923">
              <w:rPr>
                <w:color w:val="000000"/>
                <w:lang w:val="fr-FR"/>
              </w:rPr>
              <w:t>article</w:t>
            </w:r>
            <w:r w:rsidR="00E9531F" w:rsidRPr="00947923">
              <w:rPr>
                <w:color w:val="000000"/>
                <w:lang w:val="fr-FR"/>
              </w:rPr>
              <w:t> </w:t>
            </w:r>
            <w:r w:rsidRPr="00947923">
              <w:rPr>
                <w:color w:val="000000"/>
                <w:lang w:val="fr-FR"/>
              </w:rPr>
              <w:t>34</w:t>
            </w:r>
          </w:p>
        </w:tc>
        <w:tc>
          <w:tcPr>
            <w:tcW w:w="1417" w:type="dxa"/>
            <w:noWrap/>
            <w:tcMar>
              <w:top w:w="0" w:type="dxa"/>
              <w:left w:w="108" w:type="dxa"/>
              <w:bottom w:w="0" w:type="dxa"/>
              <w:right w:w="108" w:type="dxa"/>
            </w:tcMar>
            <w:vAlign w:val="bottom"/>
            <w:hideMark/>
          </w:tcPr>
          <w:p w14:paraId="1FCF1975" w14:textId="77777777" w:rsidR="009F2F0C" w:rsidRPr="00947923" w:rsidRDefault="009F2F0C" w:rsidP="001D2DC4">
            <w:pPr>
              <w:jc w:val="right"/>
              <w:rPr>
                <w:color w:val="000000"/>
                <w:szCs w:val="22"/>
                <w:lang w:val="fr-FR"/>
              </w:rPr>
            </w:pPr>
            <w:r w:rsidRPr="00947923">
              <w:rPr>
                <w:color w:val="000000"/>
                <w:lang w:val="fr-FR"/>
              </w:rPr>
              <w:t>6</w:t>
            </w:r>
          </w:p>
        </w:tc>
      </w:tr>
      <w:tr w:rsidR="009F2F0C" w:rsidRPr="00947923" w14:paraId="4C25F262" w14:textId="77777777" w:rsidTr="00E1784A">
        <w:trPr>
          <w:trHeight w:val="288"/>
        </w:trPr>
        <w:tc>
          <w:tcPr>
            <w:tcW w:w="7225" w:type="dxa"/>
            <w:noWrap/>
            <w:tcMar>
              <w:top w:w="0" w:type="dxa"/>
              <w:left w:w="108" w:type="dxa"/>
              <w:bottom w:w="0" w:type="dxa"/>
              <w:right w:w="108" w:type="dxa"/>
            </w:tcMar>
            <w:vAlign w:val="center"/>
            <w:hideMark/>
          </w:tcPr>
          <w:p w14:paraId="7C15CFC7" w14:textId="465E8A3C" w:rsidR="009F2F0C" w:rsidRPr="00947923" w:rsidRDefault="009F2F0C" w:rsidP="001D2DC4">
            <w:pPr>
              <w:rPr>
                <w:color w:val="000000"/>
                <w:szCs w:val="22"/>
                <w:lang w:val="fr-FR"/>
              </w:rPr>
            </w:pPr>
            <w:r w:rsidRPr="00947923">
              <w:rPr>
                <w:color w:val="000000"/>
                <w:lang w:val="fr-FR"/>
              </w:rPr>
              <w:t>Listages des séquences IPRP</w:t>
            </w:r>
            <w:r w:rsidR="00E9531F" w:rsidRPr="00947923">
              <w:rPr>
                <w:color w:val="000000"/>
                <w:lang w:val="fr-FR"/>
              </w:rPr>
              <w:t> </w:t>
            </w:r>
            <w:r w:rsidRPr="00947923">
              <w:rPr>
                <w:color w:val="000000"/>
                <w:lang w:val="fr-FR"/>
              </w:rPr>
              <w:t>II</w:t>
            </w:r>
          </w:p>
        </w:tc>
        <w:tc>
          <w:tcPr>
            <w:tcW w:w="1417" w:type="dxa"/>
            <w:noWrap/>
            <w:tcMar>
              <w:top w:w="0" w:type="dxa"/>
              <w:left w:w="108" w:type="dxa"/>
              <w:bottom w:w="0" w:type="dxa"/>
              <w:right w:w="108" w:type="dxa"/>
            </w:tcMar>
            <w:vAlign w:val="bottom"/>
            <w:hideMark/>
          </w:tcPr>
          <w:p w14:paraId="6BD10126" w14:textId="77777777" w:rsidR="009F2F0C" w:rsidRPr="00947923" w:rsidRDefault="009F2F0C" w:rsidP="001D2DC4">
            <w:pPr>
              <w:jc w:val="right"/>
              <w:rPr>
                <w:color w:val="000000"/>
                <w:szCs w:val="22"/>
                <w:lang w:val="fr-FR"/>
              </w:rPr>
            </w:pPr>
            <w:r w:rsidRPr="00947923">
              <w:rPr>
                <w:color w:val="000000"/>
                <w:lang w:val="fr-FR"/>
              </w:rPr>
              <w:t>5</w:t>
            </w:r>
          </w:p>
        </w:tc>
      </w:tr>
      <w:tr w:rsidR="009F2F0C" w:rsidRPr="00947923" w14:paraId="07B1D314" w14:textId="77777777" w:rsidTr="00E1784A">
        <w:trPr>
          <w:trHeight w:val="288"/>
        </w:trPr>
        <w:tc>
          <w:tcPr>
            <w:tcW w:w="7225" w:type="dxa"/>
            <w:noWrap/>
            <w:tcMar>
              <w:top w:w="0" w:type="dxa"/>
              <w:left w:w="108" w:type="dxa"/>
              <w:bottom w:w="0" w:type="dxa"/>
              <w:right w:w="108" w:type="dxa"/>
            </w:tcMar>
            <w:vAlign w:val="center"/>
            <w:hideMark/>
          </w:tcPr>
          <w:p w14:paraId="66D082E0" w14:textId="6818964D" w:rsidR="009F2F0C" w:rsidRPr="00947923" w:rsidRDefault="009F2F0C" w:rsidP="001D2DC4">
            <w:pPr>
              <w:rPr>
                <w:color w:val="000000"/>
                <w:szCs w:val="22"/>
                <w:lang w:val="fr-FR"/>
              </w:rPr>
            </w:pPr>
            <w:r w:rsidRPr="00947923">
              <w:rPr>
                <w:color w:val="000000"/>
                <w:lang w:val="fr-FR"/>
              </w:rPr>
              <w:t xml:space="preserve">Listage des séquences </w:t>
            </w:r>
            <w:r w:rsidR="00E9531F" w:rsidRPr="00947923">
              <w:rPr>
                <w:color w:val="000000"/>
                <w:lang w:val="fr-FR"/>
              </w:rPr>
              <w:t>–</w:t>
            </w:r>
            <w:r w:rsidRPr="00947923">
              <w:rPr>
                <w:color w:val="000000"/>
                <w:lang w:val="fr-FR"/>
              </w:rPr>
              <w:t xml:space="preserve"> Correction </w:t>
            </w:r>
            <w:r w:rsidR="00E9531F" w:rsidRPr="00947923">
              <w:rPr>
                <w:color w:val="000000"/>
                <w:lang w:val="fr-FR"/>
              </w:rPr>
              <w:t>–</w:t>
            </w:r>
            <w:r w:rsidRPr="00947923">
              <w:rPr>
                <w:color w:val="000000"/>
                <w:lang w:val="fr-FR"/>
              </w:rPr>
              <w:t xml:space="preserve"> </w:t>
            </w:r>
            <w:r w:rsidR="00BA214F" w:rsidRPr="00947923">
              <w:rPr>
                <w:color w:val="000000"/>
                <w:lang w:val="fr-FR"/>
              </w:rPr>
              <w:t>règle</w:t>
            </w:r>
            <w:r w:rsidR="00E9531F" w:rsidRPr="00947923">
              <w:rPr>
                <w:color w:val="000000"/>
                <w:lang w:val="fr-FR"/>
              </w:rPr>
              <w:t> </w:t>
            </w:r>
            <w:r w:rsidRPr="00947923">
              <w:rPr>
                <w:color w:val="000000"/>
                <w:lang w:val="fr-FR"/>
              </w:rPr>
              <w:t>13</w:t>
            </w:r>
            <w:r w:rsidRPr="00947923">
              <w:rPr>
                <w:i/>
                <w:color w:val="000000"/>
                <w:lang w:val="fr-FR"/>
              </w:rPr>
              <w:t>ter</w:t>
            </w:r>
          </w:p>
        </w:tc>
        <w:tc>
          <w:tcPr>
            <w:tcW w:w="1417" w:type="dxa"/>
            <w:noWrap/>
            <w:tcMar>
              <w:top w:w="0" w:type="dxa"/>
              <w:left w:w="108" w:type="dxa"/>
              <w:bottom w:w="0" w:type="dxa"/>
              <w:right w:w="108" w:type="dxa"/>
            </w:tcMar>
            <w:vAlign w:val="bottom"/>
            <w:hideMark/>
          </w:tcPr>
          <w:p w14:paraId="6839AD14" w14:textId="77777777" w:rsidR="009F2F0C" w:rsidRPr="00947923" w:rsidRDefault="009F2F0C" w:rsidP="001D2DC4">
            <w:pPr>
              <w:jc w:val="right"/>
              <w:rPr>
                <w:color w:val="000000"/>
                <w:szCs w:val="22"/>
                <w:lang w:val="fr-FR"/>
              </w:rPr>
            </w:pPr>
            <w:r w:rsidRPr="00947923">
              <w:rPr>
                <w:color w:val="000000"/>
                <w:lang w:val="fr-FR"/>
              </w:rPr>
              <w:t>3</w:t>
            </w:r>
          </w:p>
        </w:tc>
      </w:tr>
      <w:tr w:rsidR="009F2F0C" w:rsidRPr="00947923" w14:paraId="0B35A759" w14:textId="77777777" w:rsidTr="00E1784A">
        <w:trPr>
          <w:trHeight w:val="288"/>
        </w:trPr>
        <w:tc>
          <w:tcPr>
            <w:tcW w:w="7225" w:type="dxa"/>
            <w:noWrap/>
            <w:tcMar>
              <w:top w:w="0" w:type="dxa"/>
              <w:left w:w="108" w:type="dxa"/>
              <w:bottom w:w="0" w:type="dxa"/>
              <w:right w:w="108" w:type="dxa"/>
            </w:tcMar>
            <w:vAlign w:val="center"/>
            <w:hideMark/>
          </w:tcPr>
          <w:p w14:paraId="4BFB4E94" w14:textId="452D085F" w:rsidR="009F2F0C" w:rsidRPr="00947923" w:rsidRDefault="009F2F0C" w:rsidP="001D2DC4">
            <w:pPr>
              <w:rPr>
                <w:color w:val="000000"/>
                <w:szCs w:val="22"/>
                <w:lang w:val="fr-FR"/>
              </w:rPr>
            </w:pPr>
            <w:r w:rsidRPr="00947923">
              <w:rPr>
                <w:color w:val="000000"/>
                <w:lang w:val="fr-FR"/>
              </w:rPr>
              <w:t>Listage des séquences remis postérieurement (règle</w:t>
            </w:r>
            <w:r w:rsidR="00E9531F" w:rsidRPr="00947923">
              <w:rPr>
                <w:color w:val="000000"/>
                <w:lang w:val="fr-FR"/>
              </w:rPr>
              <w:t> </w:t>
            </w:r>
            <w:r w:rsidRPr="00947923">
              <w:rPr>
                <w:color w:val="000000"/>
                <w:lang w:val="fr-FR"/>
              </w:rPr>
              <w:t>20.5</w:t>
            </w:r>
            <w:r w:rsidRPr="00947923">
              <w:rPr>
                <w:i/>
                <w:color w:val="000000"/>
                <w:lang w:val="fr-FR"/>
              </w:rPr>
              <w:t>bis</w:t>
            </w:r>
            <w:r w:rsidRPr="00947923">
              <w:rPr>
                <w:color w:val="000000"/>
                <w:lang w:val="fr-FR"/>
              </w:rPr>
              <w:t>)</w:t>
            </w:r>
          </w:p>
        </w:tc>
        <w:tc>
          <w:tcPr>
            <w:tcW w:w="1417" w:type="dxa"/>
            <w:noWrap/>
            <w:tcMar>
              <w:top w:w="0" w:type="dxa"/>
              <w:left w:w="108" w:type="dxa"/>
              <w:bottom w:w="0" w:type="dxa"/>
              <w:right w:w="108" w:type="dxa"/>
            </w:tcMar>
            <w:vAlign w:val="bottom"/>
            <w:hideMark/>
          </w:tcPr>
          <w:p w14:paraId="030252F8" w14:textId="77777777" w:rsidR="009F2F0C" w:rsidRPr="00947923" w:rsidRDefault="009F2F0C" w:rsidP="001D2DC4">
            <w:pPr>
              <w:jc w:val="right"/>
              <w:rPr>
                <w:color w:val="000000"/>
                <w:szCs w:val="22"/>
                <w:lang w:val="fr-FR"/>
              </w:rPr>
            </w:pPr>
            <w:r w:rsidRPr="00947923">
              <w:rPr>
                <w:color w:val="000000"/>
                <w:lang w:val="fr-FR"/>
              </w:rPr>
              <w:t>2</w:t>
            </w:r>
          </w:p>
        </w:tc>
      </w:tr>
      <w:tr w:rsidR="009F2F0C" w:rsidRPr="00947923" w14:paraId="6806BD2A" w14:textId="77777777" w:rsidTr="00E1784A">
        <w:trPr>
          <w:trHeight w:val="288"/>
        </w:trPr>
        <w:tc>
          <w:tcPr>
            <w:tcW w:w="7225" w:type="dxa"/>
            <w:noWrap/>
            <w:tcMar>
              <w:top w:w="0" w:type="dxa"/>
              <w:left w:w="108" w:type="dxa"/>
              <w:bottom w:w="0" w:type="dxa"/>
              <w:right w:w="108" w:type="dxa"/>
            </w:tcMar>
            <w:vAlign w:val="center"/>
            <w:hideMark/>
          </w:tcPr>
          <w:p w14:paraId="2461BE1A" w14:textId="31881A7C" w:rsidR="009F2F0C" w:rsidRPr="00947923" w:rsidRDefault="009F2F0C" w:rsidP="001D2DC4">
            <w:pPr>
              <w:rPr>
                <w:color w:val="000000"/>
                <w:szCs w:val="22"/>
                <w:lang w:val="fr-FR"/>
              </w:rPr>
            </w:pPr>
            <w:r w:rsidRPr="00947923">
              <w:rPr>
                <w:color w:val="000000"/>
                <w:lang w:val="fr-FR"/>
              </w:rPr>
              <w:t>Listage des séquences remis postérieurement (règle</w:t>
            </w:r>
            <w:r w:rsidR="00E9531F" w:rsidRPr="00947923">
              <w:rPr>
                <w:color w:val="000000"/>
                <w:lang w:val="fr-FR"/>
              </w:rPr>
              <w:t> </w:t>
            </w:r>
            <w:r w:rsidRPr="00947923">
              <w:rPr>
                <w:color w:val="000000"/>
                <w:lang w:val="fr-FR"/>
              </w:rPr>
              <w:t>20.5)</w:t>
            </w:r>
          </w:p>
        </w:tc>
        <w:tc>
          <w:tcPr>
            <w:tcW w:w="1417" w:type="dxa"/>
            <w:noWrap/>
            <w:tcMar>
              <w:top w:w="0" w:type="dxa"/>
              <w:left w:w="108" w:type="dxa"/>
              <w:bottom w:w="0" w:type="dxa"/>
              <w:right w:w="108" w:type="dxa"/>
            </w:tcMar>
            <w:vAlign w:val="bottom"/>
            <w:hideMark/>
          </w:tcPr>
          <w:p w14:paraId="54C6C1D4" w14:textId="77777777" w:rsidR="009F2F0C" w:rsidRPr="00947923" w:rsidRDefault="009F2F0C" w:rsidP="001D2DC4">
            <w:pPr>
              <w:jc w:val="right"/>
              <w:rPr>
                <w:color w:val="000000"/>
                <w:szCs w:val="22"/>
                <w:lang w:val="fr-FR"/>
              </w:rPr>
            </w:pPr>
            <w:r w:rsidRPr="00947923">
              <w:rPr>
                <w:color w:val="000000"/>
                <w:lang w:val="fr-FR"/>
              </w:rPr>
              <w:t>2</w:t>
            </w:r>
          </w:p>
        </w:tc>
      </w:tr>
      <w:tr w:rsidR="009F2F0C" w:rsidRPr="00947923" w14:paraId="6B6DAF5E" w14:textId="77777777" w:rsidTr="00E1784A">
        <w:trPr>
          <w:trHeight w:val="288"/>
        </w:trPr>
        <w:tc>
          <w:tcPr>
            <w:tcW w:w="7225" w:type="dxa"/>
            <w:noWrap/>
            <w:tcMar>
              <w:top w:w="0" w:type="dxa"/>
              <w:left w:w="108" w:type="dxa"/>
              <w:bottom w:w="0" w:type="dxa"/>
              <w:right w:w="108" w:type="dxa"/>
            </w:tcMar>
            <w:vAlign w:val="center"/>
            <w:hideMark/>
          </w:tcPr>
          <w:p w14:paraId="6593E001" w14:textId="5EE35FDB" w:rsidR="009F2F0C" w:rsidRPr="002B50C4" w:rsidRDefault="009F2F0C" w:rsidP="001D2DC4">
            <w:pPr>
              <w:rPr>
                <w:color w:val="000000"/>
                <w:szCs w:val="22"/>
                <w:lang w:val="en-US"/>
              </w:rPr>
            </w:pPr>
            <w:r w:rsidRPr="002B50C4">
              <w:rPr>
                <w:color w:val="000000"/>
                <w:lang w:val="en-US"/>
              </w:rPr>
              <w:t>Certified Copy Seq List Placeholder Page</w:t>
            </w:r>
          </w:p>
        </w:tc>
        <w:tc>
          <w:tcPr>
            <w:tcW w:w="1417" w:type="dxa"/>
            <w:noWrap/>
            <w:tcMar>
              <w:top w:w="0" w:type="dxa"/>
              <w:left w:w="108" w:type="dxa"/>
              <w:bottom w:w="0" w:type="dxa"/>
              <w:right w:w="108" w:type="dxa"/>
            </w:tcMar>
            <w:vAlign w:val="bottom"/>
            <w:hideMark/>
          </w:tcPr>
          <w:p w14:paraId="750567D8" w14:textId="77777777" w:rsidR="009F2F0C" w:rsidRPr="00947923" w:rsidRDefault="009F2F0C" w:rsidP="001D2DC4">
            <w:pPr>
              <w:jc w:val="right"/>
              <w:rPr>
                <w:color w:val="000000"/>
                <w:szCs w:val="22"/>
                <w:lang w:val="fr-FR"/>
              </w:rPr>
            </w:pPr>
            <w:r w:rsidRPr="00947923">
              <w:rPr>
                <w:color w:val="000000"/>
                <w:lang w:val="fr-FR"/>
              </w:rPr>
              <w:t>1</w:t>
            </w:r>
          </w:p>
        </w:tc>
      </w:tr>
      <w:tr w:rsidR="009F2F0C" w:rsidRPr="00947923" w14:paraId="780574A8" w14:textId="77777777" w:rsidTr="00E1784A">
        <w:trPr>
          <w:trHeight w:val="288"/>
        </w:trPr>
        <w:tc>
          <w:tcPr>
            <w:tcW w:w="7225" w:type="dxa"/>
            <w:noWrap/>
            <w:tcMar>
              <w:top w:w="0" w:type="dxa"/>
              <w:left w:w="108" w:type="dxa"/>
              <w:bottom w:w="0" w:type="dxa"/>
              <w:right w:w="108" w:type="dxa"/>
            </w:tcMar>
            <w:vAlign w:val="center"/>
            <w:hideMark/>
          </w:tcPr>
          <w:p w14:paraId="69EDAA8C" w14:textId="037F6F30" w:rsidR="009F2F0C" w:rsidRPr="00947923" w:rsidRDefault="009F2F0C" w:rsidP="001D2DC4">
            <w:pPr>
              <w:rPr>
                <w:color w:val="000000"/>
                <w:szCs w:val="22"/>
                <w:lang w:val="fr-FR"/>
              </w:rPr>
            </w:pPr>
            <w:r w:rsidRPr="00947923">
              <w:rPr>
                <w:color w:val="000000"/>
                <w:lang w:val="fr-FR"/>
              </w:rPr>
              <w:t>Listage des séquences rectifié par l</w:t>
            </w:r>
            <w:r w:rsidR="00E9531F" w:rsidRPr="00947923">
              <w:rPr>
                <w:color w:val="000000"/>
                <w:lang w:val="fr-FR"/>
              </w:rPr>
              <w:t>’</w:t>
            </w:r>
            <w:r w:rsidRPr="00947923">
              <w:rPr>
                <w:color w:val="000000"/>
                <w:lang w:val="fr-FR"/>
              </w:rPr>
              <w:t>administration chargée de l</w:t>
            </w:r>
            <w:r w:rsidR="00E9531F" w:rsidRPr="00947923">
              <w:rPr>
                <w:color w:val="000000"/>
                <w:lang w:val="fr-FR"/>
              </w:rPr>
              <w:t>’</w:t>
            </w:r>
            <w:r w:rsidRPr="00947923">
              <w:rPr>
                <w:color w:val="000000"/>
                <w:lang w:val="fr-FR"/>
              </w:rPr>
              <w:t>examen préliminaire international (règle</w:t>
            </w:r>
            <w:r w:rsidR="00E9531F" w:rsidRPr="00947923">
              <w:rPr>
                <w:color w:val="000000"/>
                <w:lang w:val="fr-FR"/>
              </w:rPr>
              <w:t> </w:t>
            </w:r>
            <w:r w:rsidRPr="00947923">
              <w:rPr>
                <w:color w:val="000000"/>
                <w:lang w:val="fr-FR"/>
              </w:rPr>
              <w:t xml:space="preserve">91) </w:t>
            </w:r>
          </w:p>
        </w:tc>
        <w:tc>
          <w:tcPr>
            <w:tcW w:w="1417" w:type="dxa"/>
            <w:noWrap/>
            <w:tcMar>
              <w:top w:w="0" w:type="dxa"/>
              <w:left w:w="108" w:type="dxa"/>
              <w:bottom w:w="0" w:type="dxa"/>
              <w:right w:w="108" w:type="dxa"/>
            </w:tcMar>
            <w:vAlign w:val="bottom"/>
            <w:hideMark/>
          </w:tcPr>
          <w:p w14:paraId="5DB4B15F" w14:textId="77777777" w:rsidR="009F2F0C" w:rsidRPr="00947923" w:rsidRDefault="009F2F0C" w:rsidP="001D2DC4">
            <w:pPr>
              <w:jc w:val="right"/>
              <w:rPr>
                <w:color w:val="000000"/>
                <w:szCs w:val="22"/>
                <w:lang w:val="fr-FR"/>
              </w:rPr>
            </w:pPr>
            <w:r w:rsidRPr="00947923">
              <w:rPr>
                <w:color w:val="000000"/>
                <w:lang w:val="fr-FR"/>
              </w:rPr>
              <w:t>1</w:t>
            </w:r>
          </w:p>
        </w:tc>
      </w:tr>
      <w:tr w:rsidR="009F2F0C" w:rsidRPr="00947923" w14:paraId="78F3BB11" w14:textId="77777777" w:rsidTr="00E1784A">
        <w:trPr>
          <w:trHeight w:val="288"/>
        </w:trPr>
        <w:tc>
          <w:tcPr>
            <w:tcW w:w="7225" w:type="dxa"/>
            <w:noWrap/>
            <w:tcMar>
              <w:top w:w="0" w:type="dxa"/>
              <w:left w:w="108" w:type="dxa"/>
              <w:bottom w:w="0" w:type="dxa"/>
              <w:right w:w="108" w:type="dxa"/>
            </w:tcMar>
            <w:vAlign w:val="center"/>
            <w:hideMark/>
          </w:tcPr>
          <w:p w14:paraId="0459477F" w14:textId="7EE63AA2" w:rsidR="009F2F0C" w:rsidRPr="00947923" w:rsidRDefault="009F2F0C" w:rsidP="001D2DC4">
            <w:pPr>
              <w:rPr>
                <w:color w:val="000000"/>
                <w:szCs w:val="22"/>
                <w:lang w:val="fr-FR"/>
              </w:rPr>
            </w:pPr>
            <w:r w:rsidRPr="00947923">
              <w:rPr>
                <w:color w:val="000000"/>
                <w:lang w:val="fr-FR"/>
              </w:rPr>
              <w:t>Listage des séquences en vertu de la règle</w:t>
            </w:r>
            <w:r w:rsidR="00E9531F" w:rsidRPr="00947923">
              <w:rPr>
                <w:color w:val="000000"/>
                <w:lang w:val="fr-FR"/>
              </w:rPr>
              <w:t> </w:t>
            </w:r>
            <w:r w:rsidRPr="00947923">
              <w:rPr>
                <w:color w:val="000000"/>
                <w:lang w:val="fr-FR"/>
              </w:rPr>
              <w:t>13</w:t>
            </w:r>
            <w:r w:rsidRPr="00947923">
              <w:rPr>
                <w:i/>
                <w:color w:val="000000"/>
                <w:lang w:val="fr-FR"/>
              </w:rPr>
              <w:t>ter</w:t>
            </w:r>
            <w:r w:rsidRPr="00947923">
              <w:rPr>
                <w:color w:val="000000"/>
                <w:lang w:val="fr-FR"/>
              </w:rPr>
              <w:t xml:space="preserve"> rectifié par l</w:t>
            </w:r>
            <w:r w:rsidR="00E9531F" w:rsidRPr="00947923">
              <w:rPr>
                <w:color w:val="000000"/>
                <w:lang w:val="fr-FR"/>
              </w:rPr>
              <w:t>’</w:t>
            </w:r>
            <w:r w:rsidRPr="00947923">
              <w:rPr>
                <w:color w:val="000000"/>
                <w:lang w:val="fr-FR"/>
              </w:rPr>
              <w:t>administration chargée de l</w:t>
            </w:r>
            <w:r w:rsidR="00E9531F" w:rsidRPr="00947923">
              <w:rPr>
                <w:color w:val="000000"/>
                <w:lang w:val="fr-FR"/>
              </w:rPr>
              <w:t>’</w:t>
            </w:r>
            <w:r w:rsidRPr="00947923">
              <w:rPr>
                <w:color w:val="000000"/>
                <w:lang w:val="fr-FR"/>
              </w:rPr>
              <w:t>examen préliminaire international (règle</w:t>
            </w:r>
            <w:r w:rsidR="00E9531F" w:rsidRPr="00947923">
              <w:rPr>
                <w:color w:val="000000"/>
                <w:lang w:val="fr-FR"/>
              </w:rPr>
              <w:t> </w:t>
            </w:r>
            <w:r w:rsidRPr="00947923">
              <w:rPr>
                <w:color w:val="000000"/>
                <w:lang w:val="fr-FR"/>
              </w:rPr>
              <w:t>91)</w:t>
            </w:r>
          </w:p>
        </w:tc>
        <w:tc>
          <w:tcPr>
            <w:tcW w:w="1417" w:type="dxa"/>
            <w:noWrap/>
            <w:tcMar>
              <w:top w:w="0" w:type="dxa"/>
              <w:left w:w="108" w:type="dxa"/>
              <w:bottom w:w="0" w:type="dxa"/>
              <w:right w:w="108" w:type="dxa"/>
            </w:tcMar>
            <w:vAlign w:val="bottom"/>
            <w:hideMark/>
          </w:tcPr>
          <w:p w14:paraId="70188D5A" w14:textId="77777777" w:rsidR="009F2F0C" w:rsidRPr="00947923" w:rsidRDefault="009F2F0C" w:rsidP="001D2DC4">
            <w:pPr>
              <w:jc w:val="right"/>
              <w:rPr>
                <w:color w:val="000000"/>
                <w:szCs w:val="22"/>
                <w:lang w:val="fr-FR"/>
              </w:rPr>
            </w:pPr>
            <w:r w:rsidRPr="00947923">
              <w:rPr>
                <w:color w:val="000000"/>
                <w:lang w:val="fr-FR"/>
              </w:rPr>
              <w:t>0</w:t>
            </w:r>
          </w:p>
        </w:tc>
      </w:tr>
      <w:tr w:rsidR="009F2F0C" w:rsidRPr="00947923" w14:paraId="3131F6F5" w14:textId="77777777" w:rsidTr="00E1784A">
        <w:trPr>
          <w:trHeight w:val="288"/>
        </w:trPr>
        <w:tc>
          <w:tcPr>
            <w:tcW w:w="7225" w:type="dxa"/>
            <w:noWrap/>
            <w:tcMar>
              <w:top w:w="0" w:type="dxa"/>
              <w:left w:w="108" w:type="dxa"/>
              <w:bottom w:w="0" w:type="dxa"/>
              <w:right w:w="108" w:type="dxa"/>
            </w:tcMar>
            <w:vAlign w:val="center"/>
            <w:hideMark/>
          </w:tcPr>
          <w:p w14:paraId="395C614E" w14:textId="77777777" w:rsidR="009F2F0C" w:rsidRPr="00947923" w:rsidRDefault="009F2F0C" w:rsidP="001D2DC4">
            <w:pPr>
              <w:rPr>
                <w:color w:val="000000"/>
                <w:szCs w:val="22"/>
                <w:lang w:val="fr-FR"/>
              </w:rPr>
            </w:pPr>
            <w:r w:rsidRPr="00947923">
              <w:rPr>
                <w:color w:val="000000"/>
                <w:lang w:val="fr-FR"/>
              </w:rPr>
              <w:t>Traduction du listage des séquences aux fins de la recherche internationale supplémentaire</w:t>
            </w:r>
          </w:p>
        </w:tc>
        <w:tc>
          <w:tcPr>
            <w:tcW w:w="1417" w:type="dxa"/>
            <w:noWrap/>
            <w:tcMar>
              <w:top w:w="0" w:type="dxa"/>
              <w:left w:w="108" w:type="dxa"/>
              <w:bottom w:w="0" w:type="dxa"/>
              <w:right w:w="108" w:type="dxa"/>
            </w:tcMar>
            <w:vAlign w:val="bottom"/>
            <w:hideMark/>
          </w:tcPr>
          <w:p w14:paraId="280DB6FE" w14:textId="77777777" w:rsidR="009F2F0C" w:rsidRPr="00947923" w:rsidRDefault="009F2F0C" w:rsidP="001D2DC4">
            <w:pPr>
              <w:jc w:val="right"/>
              <w:rPr>
                <w:color w:val="000000"/>
                <w:szCs w:val="22"/>
                <w:lang w:val="fr-FR"/>
              </w:rPr>
            </w:pPr>
            <w:r w:rsidRPr="00947923">
              <w:rPr>
                <w:color w:val="000000"/>
                <w:lang w:val="fr-FR"/>
              </w:rPr>
              <w:t>0</w:t>
            </w:r>
          </w:p>
        </w:tc>
      </w:tr>
    </w:tbl>
    <w:p w14:paraId="5F9C06E9" w14:textId="29CEEAA7" w:rsidR="00E9531F" w:rsidRPr="00947923" w:rsidRDefault="009F2F0C" w:rsidP="00E1784A">
      <w:pPr>
        <w:pStyle w:val="ONUMFS"/>
        <w:spacing w:before="220"/>
        <w:rPr>
          <w:lang w:val="fr-FR"/>
        </w:rPr>
      </w:pPr>
      <w:bookmarkStart w:id="7" w:name="_Ref187851457"/>
      <w:r w:rsidRPr="00947923">
        <w:rPr>
          <w:lang w:val="fr-FR"/>
        </w:rPr>
        <w:t>Pour l</w:t>
      </w:r>
      <w:r w:rsidR="00E9531F" w:rsidRPr="00947923">
        <w:rPr>
          <w:lang w:val="fr-FR"/>
        </w:rPr>
        <w:t>’</w:t>
      </w:r>
      <w:r w:rsidRPr="00947923">
        <w:rPr>
          <w:lang w:val="fr-FR"/>
        </w:rPr>
        <w:t>heure, certains offices récepteurs vérifient les données bibliographiques figurant dans les listages de séquences et invitent le déposant à communiquer des corrections en vertu de la règle 26.  Depuis juillet 2022, le Bureau international a reçu 128 listages de séquences corrigés en raison d</w:t>
      </w:r>
      <w:r w:rsidR="00E9531F" w:rsidRPr="00947923">
        <w:rPr>
          <w:lang w:val="fr-FR"/>
        </w:rPr>
        <w:t>’</w:t>
      </w:r>
      <w:r w:rsidRPr="00947923">
        <w:rPr>
          <w:lang w:val="fr-FR"/>
        </w:rPr>
        <w:t>erreurs dans le nom du déposant, de la date de priorité, du titre de l</w:t>
      </w:r>
      <w:r w:rsidR="00E9531F" w:rsidRPr="00947923">
        <w:rPr>
          <w:lang w:val="fr-FR"/>
        </w:rPr>
        <w:t>’</w:t>
      </w:r>
      <w:r w:rsidRPr="00947923">
        <w:rPr>
          <w:lang w:val="fr-FR"/>
        </w:rPr>
        <w:t>invention, e</w:t>
      </w:r>
      <w:r w:rsidR="00EC7A31" w:rsidRPr="00947923">
        <w:rPr>
          <w:lang w:val="fr-FR"/>
        </w:rPr>
        <w:t>tc.  Af</w:t>
      </w:r>
      <w:r w:rsidRPr="00947923">
        <w:rPr>
          <w:lang w:val="fr-FR"/>
        </w:rPr>
        <w:t>in de réduire le nombre de ce type de corrections, les données bibliographiques figurant dans les listages de séquences pourraient être soit simplifiées, ou ne pas être nécessairement vérifiées par les offices récepteurs.</w:t>
      </w:r>
      <w:bookmarkEnd w:id="7"/>
    </w:p>
    <w:p w14:paraId="7B214DBB" w14:textId="2ECF3E76" w:rsidR="009F2F0C" w:rsidRPr="00947923" w:rsidRDefault="009F2F0C" w:rsidP="00E66481">
      <w:pPr>
        <w:pStyle w:val="Heading1"/>
        <w:tabs>
          <w:tab w:val="center" w:pos="4677"/>
        </w:tabs>
        <w:rPr>
          <w:lang w:val="fr-FR"/>
        </w:rPr>
      </w:pPr>
      <w:r w:rsidRPr="00947923">
        <w:rPr>
          <w:lang w:val="fr-FR"/>
        </w:rPr>
        <w:t>Traduction des listages de séquences</w:t>
      </w:r>
    </w:p>
    <w:p w14:paraId="47AFF1E0" w14:textId="53E13225" w:rsidR="009F2F0C" w:rsidRPr="00947923" w:rsidRDefault="009F2F0C" w:rsidP="00472223">
      <w:pPr>
        <w:pStyle w:val="ONUMFS"/>
        <w:rPr>
          <w:lang w:val="fr-FR"/>
        </w:rPr>
      </w:pPr>
      <w:r w:rsidRPr="00947923">
        <w:rPr>
          <w:lang w:val="fr-FR"/>
        </w:rPr>
        <w:t>La norme ST.26 de l</w:t>
      </w:r>
      <w:r w:rsidR="00E9531F" w:rsidRPr="00947923">
        <w:rPr>
          <w:lang w:val="fr-FR"/>
        </w:rPr>
        <w:t>’</w:t>
      </w:r>
      <w:r w:rsidRPr="00947923">
        <w:rPr>
          <w:lang w:val="fr-FR"/>
        </w:rPr>
        <w:t>OMPI exige qu</w:t>
      </w:r>
      <w:r w:rsidR="00E9531F" w:rsidRPr="00947923">
        <w:rPr>
          <w:lang w:val="fr-FR"/>
        </w:rPr>
        <w:t>’</w:t>
      </w:r>
      <w:r w:rsidRPr="00947923">
        <w:rPr>
          <w:lang w:val="fr-FR"/>
        </w:rPr>
        <w:t>un fichier XML soit fourni en deux</w:t>
      </w:r>
      <w:r w:rsidR="00BA214F" w:rsidRPr="00947923">
        <w:rPr>
          <w:lang w:val="fr-FR"/>
        </w:rPr>
        <w:t> </w:t>
      </w:r>
      <w:r w:rsidRPr="00947923">
        <w:rPr>
          <w:lang w:val="fr-FR"/>
        </w:rPr>
        <w:t>parties</w:t>
      </w:r>
      <w:r w:rsidR="00E9531F" w:rsidRPr="00947923">
        <w:rPr>
          <w:lang w:val="fr-FR"/>
        </w:rPr>
        <w:t> :</w:t>
      </w:r>
      <w:r w:rsidRPr="00947923">
        <w:rPr>
          <w:lang w:val="fr-FR"/>
        </w:rPr>
        <w:t xml:space="preserve"> une partie consacrée aux informations générales et une partie destinée aux données des séquences.</w:t>
      </w:r>
    </w:p>
    <w:p w14:paraId="43DEEA6D" w14:textId="77777777" w:rsidR="009F2F0C" w:rsidRPr="00947923" w:rsidRDefault="009F2F0C" w:rsidP="009F2F0C">
      <w:pPr>
        <w:pStyle w:val="Heading3"/>
        <w:rPr>
          <w:lang w:val="fr-FR"/>
        </w:rPr>
      </w:pPr>
      <w:r w:rsidRPr="00947923">
        <w:rPr>
          <w:lang w:val="fr-FR"/>
        </w:rPr>
        <w:t>Langue des éléments figurant dans la partie consacrée aux informations générales</w:t>
      </w:r>
    </w:p>
    <w:p w14:paraId="59D43F72" w14:textId="7AEF35A1" w:rsidR="009F2F0C" w:rsidRPr="00947923" w:rsidRDefault="009F2F0C" w:rsidP="00472223">
      <w:pPr>
        <w:pStyle w:val="ONUMFS"/>
        <w:rPr>
          <w:lang w:val="fr-FR"/>
        </w:rPr>
      </w:pPr>
      <w:r w:rsidRPr="00947923">
        <w:rPr>
          <w:lang w:val="fr-FR"/>
        </w:rPr>
        <w:t>La partie consacrée aux informations générales du listage de séquences permet de fournir des renseignements concernant le numéro de la demande, la date de dépôt, la référence du dossier du déposant, la demande de priorité la plus ancienne, le nom du déposant, le nom de l</w:t>
      </w:r>
      <w:r w:rsidR="00E9531F" w:rsidRPr="00947923">
        <w:rPr>
          <w:lang w:val="fr-FR"/>
        </w:rPr>
        <w:t>’</w:t>
      </w:r>
      <w:r w:rsidRPr="00947923">
        <w:rPr>
          <w:lang w:val="fr-FR"/>
        </w:rPr>
        <w:t>inventeur et le titre de l</w:t>
      </w:r>
      <w:r w:rsidR="00E9531F" w:rsidRPr="00947923">
        <w:rPr>
          <w:lang w:val="fr-FR"/>
        </w:rPr>
        <w:t>’</w:t>
      </w:r>
      <w:r w:rsidRPr="00947923">
        <w:rPr>
          <w:lang w:val="fr-FR"/>
        </w:rPr>
        <w:t>inventi</w:t>
      </w:r>
      <w:r w:rsidR="00EC7A31" w:rsidRPr="00947923">
        <w:rPr>
          <w:lang w:val="fr-FR"/>
        </w:rPr>
        <w:t>on.  Le</w:t>
      </w:r>
      <w:r w:rsidRPr="00947923">
        <w:rPr>
          <w:lang w:val="fr-FR"/>
        </w:rPr>
        <w:t>s noms du déposant et de l</w:t>
      </w:r>
      <w:r w:rsidR="00E9531F" w:rsidRPr="00947923">
        <w:rPr>
          <w:lang w:val="fr-FR"/>
        </w:rPr>
        <w:t>’</w:t>
      </w:r>
      <w:r w:rsidRPr="00947923">
        <w:rPr>
          <w:lang w:val="fr-FR"/>
        </w:rPr>
        <w:t>inventeur ainsi que le titre de l</w:t>
      </w:r>
      <w:r w:rsidR="00E9531F" w:rsidRPr="00947923">
        <w:rPr>
          <w:lang w:val="fr-FR"/>
        </w:rPr>
        <w:t>’</w:t>
      </w:r>
      <w:r w:rsidRPr="00947923">
        <w:rPr>
          <w:lang w:val="fr-FR"/>
        </w:rPr>
        <w:t>invention peuvent être fournis dans plusieurs langues ou jeux de caractèr</w:t>
      </w:r>
      <w:r w:rsidR="00EC7A31" w:rsidRPr="00947923">
        <w:rPr>
          <w:lang w:val="fr-FR"/>
        </w:rPr>
        <w:t>es.  Le</w:t>
      </w:r>
      <w:r w:rsidRPr="00947923">
        <w:rPr>
          <w:lang w:val="fr-FR"/>
        </w:rPr>
        <w:t>s renseignements communiqués dans cette partie ont pour objet de confirmer que le listage des séquences a été joint à la bonne demande internationa</w:t>
      </w:r>
      <w:r w:rsidR="00EC7A31" w:rsidRPr="00947923">
        <w:rPr>
          <w:lang w:val="fr-FR"/>
        </w:rPr>
        <w:t>le.  S’i</w:t>
      </w:r>
      <w:r w:rsidRPr="00947923">
        <w:rPr>
          <w:lang w:val="fr-FR"/>
        </w:rPr>
        <w:t>ls divergent des informations figurant dans le formulaire de requête ou s</w:t>
      </w:r>
      <w:r w:rsidR="00E9531F" w:rsidRPr="00947923">
        <w:rPr>
          <w:lang w:val="fr-FR"/>
        </w:rPr>
        <w:t>’</w:t>
      </w:r>
      <w:r w:rsidRPr="00947923">
        <w:rPr>
          <w:lang w:val="fr-FR"/>
        </w:rPr>
        <w:t>ils sont communiqués dans une langue différente, l</w:t>
      </w:r>
      <w:r w:rsidR="00E9531F" w:rsidRPr="00947923">
        <w:rPr>
          <w:lang w:val="fr-FR"/>
        </w:rPr>
        <w:t>’</w:t>
      </w:r>
      <w:r w:rsidRPr="00947923">
        <w:rPr>
          <w:lang w:val="fr-FR"/>
        </w:rPr>
        <w:t>office récepteur peut attirer l</w:t>
      </w:r>
      <w:r w:rsidR="00E9531F" w:rsidRPr="00947923">
        <w:rPr>
          <w:lang w:val="fr-FR"/>
        </w:rPr>
        <w:t>’</w:t>
      </w:r>
      <w:r w:rsidRPr="00947923">
        <w:rPr>
          <w:lang w:val="fr-FR"/>
        </w:rPr>
        <w:t>attention du déposant sur ce fait, mais il ne peut exiger du déposant qu</w:t>
      </w:r>
      <w:r w:rsidR="00E9531F" w:rsidRPr="00947923">
        <w:rPr>
          <w:lang w:val="fr-FR"/>
        </w:rPr>
        <w:t>’</w:t>
      </w:r>
      <w:r w:rsidRPr="00947923">
        <w:rPr>
          <w:lang w:val="fr-FR"/>
        </w:rPr>
        <w:t>il les corrige et la demande doit être traitée sur la base des renseignements figurant dans le formulaire de requête (paragraphe 28 de l</w:t>
      </w:r>
      <w:r w:rsidR="00E9531F" w:rsidRPr="00947923">
        <w:rPr>
          <w:lang w:val="fr-FR"/>
        </w:rPr>
        <w:t>’</w:t>
      </w:r>
      <w:r w:rsidRPr="00947923">
        <w:rPr>
          <w:lang w:val="fr-FR"/>
        </w:rPr>
        <w:t>annexe C des instructions administratives).</w:t>
      </w:r>
    </w:p>
    <w:p w14:paraId="3E92EF2D" w14:textId="77777777" w:rsidR="009F2F0C" w:rsidRPr="00947923" w:rsidRDefault="009F2F0C" w:rsidP="009F2F0C">
      <w:pPr>
        <w:pStyle w:val="Heading3"/>
        <w:rPr>
          <w:lang w:val="fr-FR"/>
        </w:rPr>
      </w:pPr>
      <w:r w:rsidRPr="00947923">
        <w:rPr>
          <w:lang w:val="fr-FR"/>
        </w:rPr>
        <w:t>Texte libre dépendant de la langue dans la partie destinée aux données des séquences</w:t>
      </w:r>
    </w:p>
    <w:p w14:paraId="25EE675E" w14:textId="42346F6B" w:rsidR="009F2F0C" w:rsidRPr="00947923" w:rsidRDefault="009F2F0C" w:rsidP="00472223">
      <w:pPr>
        <w:pStyle w:val="ONUMFS"/>
        <w:rPr>
          <w:lang w:val="fr-FR"/>
        </w:rPr>
      </w:pPr>
      <w:r w:rsidRPr="00947923">
        <w:rPr>
          <w:lang w:val="fr-FR"/>
        </w:rPr>
        <w:t>La partie destinée aux données des séquences du listage repose sur une norme du secteur utilisée par les fournisseurs de bases de données et comprend des éléments qui contiennent du texte libre (“valeurs des qualificateurs”).  La norme du secteur veut que ces valeurs soient exprimées en termes neutres du point de vue de la langue ou bien indiquées en angla</w:t>
      </w:r>
      <w:r w:rsidR="00EC7A31" w:rsidRPr="00947923">
        <w:rPr>
          <w:lang w:val="fr-FR"/>
        </w:rPr>
        <w:t>is.  Al</w:t>
      </w:r>
      <w:r w:rsidRPr="00947923">
        <w:rPr>
          <w:lang w:val="fr-FR"/>
        </w:rPr>
        <w:t>ors que certains offices nationaux ont déclaré qu</w:t>
      </w:r>
      <w:r w:rsidR="00E9531F" w:rsidRPr="00947923">
        <w:rPr>
          <w:lang w:val="fr-FR"/>
        </w:rPr>
        <w:t>’</w:t>
      </w:r>
      <w:r w:rsidRPr="00947923">
        <w:rPr>
          <w:lang w:val="fr-FR"/>
        </w:rPr>
        <w:t>ils seraient en mesure d</w:t>
      </w:r>
      <w:r w:rsidR="00E9531F" w:rsidRPr="00947923">
        <w:rPr>
          <w:lang w:val="fr-FR"/>
        </w:rPr>
        <w:t>’</w:t>
      </w:r>
      <w:r w:rsidRPr="00947923">
        <w:rPr>
          <w:lang w:val="fr-FR"/>
        </w:rPr>
        <w:t>accepter des listages de séquences comportant du texte libre dépendant de la langue en anglais, même si la langue utilisée pour la description pouvait être différente, de nombreux offices ont indiqué qu</w:t>
      </w:r>
      <w:r w:rsidR="00E9531F" w:rsidRPr="00947923">
        <w:rPr>
          <w:lang w:val="fr-FR"/>
        </w:rPr>
        <w:t>’</w:t>
      </w:r>
      <w:r w:rsidRPr="00947923">
        <w:rPr>
          <w:lang w:val="fr-FR"/>
        </w:rPr>
        <w:t>il était essentiel que leurs déposants soient autorisés à fournir un texte libre dépendant de la langue dans la langue de la description ou qu</w:t>
      </w:r>
      <w:r w:rsidR="00E9531F" w:rsidRPr="00947923">
        <w:rPr>
          <w:lang w:val="fr-FR"/>
        </w:rPr>
        <w:t>’</w:t>
      </w:r>
      <w:r w:rsidRPr="00947923">
        <w:rPr>
          <w:lang w:val="fr-FR"/>
        </w:rPr>
        <w:t>ils soient tenus de le fai</w:t>
      </w:r>
      <w:r w:rsidR="00EC7A31" w:rsidRPr="00947923">
        <w:rPr>
          <w:lang w:val="fr-FR"/>
        </w:rPr>
        <w:t>re.  En</w:t>
      </w:r>
      <w:r w:rsidRPr="00947923">
        <w:rPr>
          <w:lang w:val="fr-FR"/>
        </w:rPr>
        <w:t xml:space="preserve"> conséquence, la norme ST.26 de l</w:t>
      </w:r>
      <w:r w:rsidR="00E9531F" w:rsidRPr="00947923">
        <w:rPr>
          <w:lang w:val="fr-FR"/>
        </w:rPr>
        <w:t>’</w:t>
      </w:r>
      <w:r w:rsidRPr="00947923">
        <w:rPr>
          <w:lang w:val="fr-FR"/>
        </w:rPr>
        <w:t>OMPI exige que les qualificateurs susceptibles de comporter des valeurs dépendant de la langue contiennent l</w:t>
      </w:r>
      <w:r w:rsidR="00E9531F" w:rsidRPr="00947923">
        <w:rPr>
          <w:lang w:val="fr-FR"/>
        </w:rPr>
        <w:t>’</w:t>
      </w:r>
      <w:r w:rsidRPr="00947923">
        <w:rPr>
          <w:lang w:val="fr-FR"/>
        </w:rPr>
        <w:t>un des éléments suivants ou les deux</w:t>
      </w:r>
      <w:r w:rsidR="00E9531F" w:rsidRPr="00947923">
        <w:rPr>
          <w:lang w:val="fr-FR"/>
        </w:rPr>
        <w:t> :</w:t>
      </w:r>
    </w:p>
    <w:p w14:paraId="460048B4" w14:textId="77777777" w:rsidR="009F2F0C" w:rsidRPr="00947923" w:rsidRDefault="009F2F0C" w:rsidP="00472223">
      <w:pPr>
        <w:pStyle w:val="ONUMFS"/>
        <w:numPr>
          <w:ilvl w:val="1"/>
          <w:numId w:val="6"/>
        </w:numPr>
        <w:rPr>
          <w:lang w:val="fr-FR"/>
        </w:rPr>
      </w:pPr>
      <w:proofErr w:type="spellStart"/>
      <w:r w:rsidRPr="00947923">
        <w:rPr>
          <w:rFonts w:ascii="Courier New" w:hAnsi="Courier New"/>
          <w:lang w:val="fr-FR"/>
        </w:rPr>
        <w:t>INSDQualifier_value</w:t>
      </w:r>
      <w:proofErr w:type="spellEnd"/>
      <w:r w:rsidRPr="00947923">
        <w:rPr>
          <w:lang w:val="fr-FR"/>
        </w:rPr>
        <w:t xml:space="preserve"> – valeur du qualificateur en </w:t>
      </w:r>
      <w:proofErr w:type="gramStart"/>
      <w:r w:rsidRPr="00947923">
        <w:rPr>
          <w:lang w:val="fr-FR"/>
        </w:rPr>
        <w:t>anglais;  et</w:t>
      </w:r>
      <w:proofErr w:type="gramEnd"/>
    </w:p>
    <w:p w14:paraId="13F20D24" w14:textId="3A66C235" w:rsidR="009F2F0C" w:rsidRPr="00947923" w:rsidRDefault="009F2F0C" w:rsidP="00472223">
      <w:pPr>
        <w:pStyle w:val="ONUMFS"/>
        <w:numPr>
          <w:ilvl w:val="1"/>
          <w:numId w:val="6"/>
        </w:numPr>
        <w:rPr>
          <w:lang w:val="fr-FR"/>
        </w:rPr>
      </w:pPr>
      <w:proofErr w:type="spellStart"/>
      <w:r w:rsidRPr="00947923">
        <w:rPr>
          <w:rFonts w:ascii="Courier New" w:hAnsi="Courier New"/>
          <w:lang w:val="fr-FR"/>
        </w:rPr>
        <w:t>NonEnglishQualifier_value</w:t>
      </w:r>
      <w:proofErr w:type="spellEnd"/>
      <w:r w:rsidRPr="00947923">
        <w:rPr>
          <w:lang w:val="fr-FR"/>
        </w:rPr>
        <w:t xml:space="preserve"> – valeur du qualificateur dans une autre langue, telle qu</w:t>
      </w:r>
      <w:r w:rsidR="00E9531F" w:rsidRPr="00947923">
        <w:rPr>
          <w:lang w:val="fr-FR"/>
        </w:rPr>
        <w:t>’</w:t>
      </w:r>
      <w:r w:rsidRPr="00947923">
        <w:rPr>
          <w:lang w:val="fr-FR"/>
        </w:rPr>
        <w:t xml:space="preserve">indiquée par un attribut </w:t>
      </w:r>
      <w:proofErr w:type="spellStart"/>
      <w:r w:rsidRPr="00947923">
        <w:rPr>
          <w:rFonts w:ascii="Courier New" w:hAnsi="Courier New"/>
          <w:lang w:val="fr-FR"/>
        </w:rPr>
        <w:t>nonEnglishFreeTextLanguageCode</w:t>
      </w:r>
      <w:proofErr w:type="spellEnd"/>
      <w:r w:rsidRPr="00947923">
        <w:rPr>
          <w:lang w:val="fr-FR"/>
        </w:rPr>
        <w:t xml:space="preserve"> dans l</w:t>
      </w:r>
      <w:r w:rsidR="00E9531F" w:rsidRPr="00947923">
        <w:rPr>
          <w:lang w:val="fr-FR"/>
        </w:rPr>
        <w:t>’</w:t>
      </w:r>
      <w:r w:rsidRPr="00947923">
        <w:rPr>
          <w:lang w:val="fr-FR"/>
        </w:rPr>
        <w:t>élément racine du listage.</w:t>
      </w:r>
    </w:p>
    <w:p w14:paraId="47EED932" w14:textId="4E60AB0E" w:rsidR="009F2F0C" w:rsidRPr="00947923" w:rsidRDefault="009F2F0C" w:rsidP="00472223">
      <w:pPr>
        <w:pStyle w:val="ONUMFS"/>
        <w:rPr>
          <w:lang w:val="fr-FR"/>
        </w:rPr>
      </w:pPr>
      <w:r w:rsidRPr="00947923">
        <w:rPr>
          <w:lang w:val="fr-FR"/>
        </w:rPr>
        <w:t>En vertu de la règle 12.1.d), les offices récepteurs peuvent préciser les langues qu</w:t>
      </w:r>
      <w:r w:rsidR="00E9531F" w:rsidRPr="00947923">
        <w:rPr>
          <w:lang w:val="fr-FR"/>
        </w:rPr>
        <w:t>’</w:t>
      </w:r>
      <w:r w:rsidRPr="00947923">
        <w:rPr>
          <w:lang w:val="fr-FR"/>
        </w:rPr>
        <w:t>ils acceptent pour les valeurs du qualificateur en texte libre dépendant de la langue, qui peuvent être différentes de celles qu</w:t>
      </w:r>
      <w:r w:rsidR="00E9531F" w:rsidRPr="00947923">
        <w:rPr>
          <w:lang w:val="fr-FR"/>
        </w:rPr>
        <w:t>’</w:t>
      </w:r>
      <w:r w:rsidRPr="00947923">
        <w:rPr>
          <w:lang w:val="fr-FR"/>
        </w:rPr>
        <w:t>ils acceptent pour la description en génér</w:t>
      </w:r>
      <w:r w:rsidR="00EC7A31" w:rsidRPr="00947923">
        <w:rPr>
          <w:lang w:val="fr-FR"/>
        </w:rPr>
        <w:t>al.  En</w:t>
      </w:r>
      <w:r w:rsidRPr="00947923">
        <w:rPr>
          <w:lang w:val="fr-FR"/>
        </w:rPr>
        <w:t xml:space="preserve"> outre, ils peuvent autoriser le déposant à remettre le listage des séquences comportant du texte libre dépendant de la langue dans plus d</w:t>
      </w:r>
      <w:r w:rsidR="00E9531F" w:rsidRPr="00947923">
        <w:rPr>
          <w:lang w:val="fr-FR"/>
        </w:rPr>
        <w:t>’</w:t>
      </w:r>
      <w:r w:rsidRPr="00947923">
        <w:rPr>
          <w:lang w:val="fr-FR"/>
        </w:rPr>
        <w:t>une langue, mais ne peuvent pas l</w:t>
      </w:r>
      <w:r w:rsidR="00E9531F" w:rsidRPr="00947923">
        <w:rPr>
          <w:lang w:val="fr-FR"/>
        </w:rPr>
        <w:t>’</w:t>
      </w:r>
      <w:r w:rsidRPr="00947923">
        <w:rPr>
          <w:lang w:val="fr-FR"/>
        </w:rPr>
        <w:t>obliger à le fai</w:t>
      </w:r>
      <w:r w:rsidR="00EC7A31" w:rsidRPr="00947923">
        <w:rPr>
          <w:lang w:val="fr-FR"/>
        </w:rPr>
        <w:t>re.  D’u</w:t>
      </w:r>
      <w:r w:rsidRPr="00947923">
        <w:rPr>
          <w:lang w:val="fr-FR"/>
        </w:rPr>
        <w:t>n point de vue technique, la norme autorise uniquement l</w:t>
      </w:r>
      <w:r w:rsidR="00E9531F" w:rsidRPr="00947923">
        <w:rPr>
          <w:lang w:val="fr-FR"/>
        </w:rPr>
        <w:t>’</w:t>
      </w:r>
      <w:r w:rsidRPr="00947923">
        <w:rPr>
          <w:lang w:val="fr-FR"/>
        </w:rPr>
        <w:t>anglais et une seule autre langue dans le listage des séquences.</w:t>
      </w:r>
    </w:p>
    <w:p w14:paraId="310F3911" w14:textId="7748FD51" w:rsidR="009F2F0C" w:rsidRPr="00947923" w:rsidRDefault="009F2F0C" w:rsidP="00472223">
      <w:pPr>
        <w:pStyle w:val="ONUMFS"/>
        <w:rPr>
          <w:lang w:val="fr-FR"/>
        </w:rPr>
      </w:pPr>
      <w:r w:rsidRPr="00947923">
        <w:rPr>
          <w:lang w:val="fr-FR"/>
        </w:rPr>
        <w:t>Une telle souplesse a été jugée importante pour garantir que les informations communiquées aux bases de données soient présentées dans le format des base</w:t>
      </w:r>
      <w:r w:rsidR="00E9531F" w:rsidRPr="00947923">
        <w:rPr>
          <w:lang w:val="fr-FR"/>
        </w:rPr>
        <w:t>s</w:t>
      </w:r>
      <w:r w:rsidRPr="00947923">
        <w:rPr>
          <w:lang w:val="fr-FR"/>
        </w:rPr>
        <w:t xml:space="preserve"> de données du secteur (où la norme prévoit spécifiquement un texte en anglais dans les champs pertinents) et pour permettre au déposant de répondre aux exigences linguistiques potentiellement différentes des offices aux fins du dépôt, de la recherche internationale et des diverses entrées dans la phase nationa</w:t>
      </w:r>
      <w:r w:rsidR="00EC7A31" w:rsidRPr="00947923">
        <w:rPr>
          <w:lang w:val="fr-FR"/>
        </w:rPr>
        <w:t>le.  Le</w:t>
      </w:r>
      <w:r w:rsidRPr="00947923">
        <w:rPr>
          <w:lang w:val="fr-FR"/>
        </w:rPr>
        <w:t xml:space="preserve"> fait d</w:t>
      </w:r>
      <w:r w:rsidR="00E9531F" w:rsidRPr="00947923">
        <w:rPr>
          <w:lang w:val="fr-FR"/>
        </w:rPr>
        <w:t>’</w:t>
      </w:r>
      <w:r w:rsidRPr="00947923">
        <w:rPr>
          <w:lang w:val="fr-FR"/>
        </w:rPr>
        <w:t>autoriser simultanément l</w:t>
      </w:r>
      <w:r w:rsidR="00E9531F" w:rsidRPr="00947923">
        <w:rPr>
          <w:lang w:val="fr-FR"/>
        </w:rPr>
        <w:t>’</w:t>
      </w:r>
      <w:r w:rsidRPr="00947923">
        <w:rPr>
          <w:lang w:val="fr-FR"/>
        </w:rPr>
        <w:t>anglais et une deuxième langue permet d</w:t>
      </w:r>
      <w:r w:rsidR="00E9531F" w:rsidRPr="00947923">
        <w:rPr>
          <w:lang w:val="fr-FR"/>
        </w:rPr>
        <w:t>’</w:t>
      </w:r>
      <w:r w:rsidRPr="00947923">
        <w:rPr>
          <w:lang w:val="fr-FR"/>
        </w:rPr>
        <w:t>éviter de devoir fournir des listages distincts pour le cas le plus courant où différentes langues sont utilisées pour le dépôt et la recherche internationale.</w:t>
      </w:r>
    </w:p>
    <w:p w14:paraId="300D1C37" w14:textId="1D1382AF" w:rsidR="009F2F0C" w:rsidRPr="00947923" w:rsidRDefault="009F2F0C" w:rsidP="00472223">
      <w:pPr>
        <w:pStyle w:val="ONUMFS"/>
        <w:rPr>
          <w:lang w:val="fr-FR"/>
        </w:rPr>
      </w:pPr>
      <w:r w:rsidRPr="00947923">
        <w:rPr>
          <w:lang w:val="fr-FR"/>
        </w:rPr>
        <w:t>Un projet créé dans WIPO </w:t>
      </w:r>
      <w:proofErr w:type="spellStart"/>
      <w:r w:rsidRPr="00947923">
        <w:rPr>
          <w:lang w:val="fr-FR"/>
        </w:rPr>
        <w:t>Sequence</w:t>
      </w:r>
      <w:proofErr w:type="spellEnd"/>
      <w:r w:rsidRPr="00947923">
        <w:rPr>
          <w:lang w:val="fr-FR"/>
        </w:rPr>
        <w:t xml:space="preserve"> permet de fournir plusieurs versions linguistiques et de générer, sur demande, un listage des séquences dans la langue souhait</w:t>
      </w:r>
      <w:r w:rsidR="00EC7A31" w:rsidRPr="00947923">
        <w:rPr>
          <w:lang w:val="fr-FR"/>
        </w:rPr>
        <w:t>ée.  Pa</w:t>
      </w:r>
      <w:r w:rsidRPr="00947923">
        <w:rPr>
          <w:lang w:val="fr-FR"/>
        </w:rPr>
        <w:t>r conséquent, il devrait être possible de concevoir un projet et d</w:t>
      </w:r>
      <w:r w:rsidR="00E9531F" w:rsidRPr="00947923">
        <w:rPr>
          <w:lang w:val="fr-FR"/>
        </w:rPr>
        <w:t>’</w:t>
      </w:r>
      <w:r w:rsidRPr="00947923">
        <w:rPr>
          <w:lang w:val="fr-FR"/>
        </w:rPr>
        <w:t>exporter facilement des versions linguistiques appropriées en fonction des exigences en matière de dép</w:t>
      </w:r>
      <w:r w:rsidR="00EC7A31" w:rsidRPr="00947923">
        <w:rPr>
          <w:lang w:val="fr-FR"/>
        </w:rPr>
        <w:t>ôt.  Pa</w:t>
      </w:r>
      <w:r w:rsidRPr="00947923">
        <w:rPr>
          <w:lang w:val="fr-FR"/>
        </w:rPr>
        <w:t xml:space="preserve">r exemple, un listage de séquences peut être généré pour la demande internationale avec du texte libre dépendant de la langue en japonais et en </w:t>
      </w:r>
      <w:proofErr w:type="gramStart"/>
      <w:r w:rsidRPr="00947923">
        <w:rPr>
          <w:lang w:val="fr-FR"/>
        </w:rPr>
        <w:t>anglais;  ensuite</w:t>
      </w:r>
      <w:proofErr w:type="gramEnd"/>
      <w:r w:rsidRPr="00947923">
        <w:rPr>
          <w:lang w:val="fr-FR"/>
        </w:rPr>
        <w:t>, lors de l</w:t>
      </w:r>
      <w:r w:rsidR="00E9531F" w:rsidRPr="00947923">
        <w:rPr>
          <w:lang w:val="fr-FR"/>
        </w:rPr>
        <w:t>’</w:t>
      </w:r>
      <w:r w:rsidRPr="00947923">
        <w:rPr>
          <w:lang w:val="fr-FR"/>
        </w:rPr>
        <w:t>entrée en phase nationale, des listages substantiellement identiques peuvent être générés pour différents offices désignés contenant le texte en anglais seulement, en chinois et en anglais, et en coréen.</w:t>
      </w:r>
    </w:p>
    <w:p w14:paraId="0200380F" w14:textId="3798815B" w:rsidR="009F2F0C" w:rsidRPr="00947923" w:rsidRDefault="009F2F0C" w:rsidP="00472223">
      <w:pPr>
        <w:pStyle w:val="ONUMFS"/>
        <w:rPr>
          <w:lang w:val="fr-FR"/>
        </w:rPr>
      </w:pPr>
      <w:r w:rsidRPr="00947923">
        <w:rPr>
          <w:lang w:val="fr-FR"/>
        </w:rPr>
        <w:t xml:space="preserve">Dans WIPO </w:t>
      </w:r>
      <w:proofErr w:type="spellStart"/>
      <w:r w:rsidRPr="00947923">
        <w:rPr>
          <w:lang w:val="fr-FR"/>
        </w:rPr>
        <w:t>Sequence</w:t>
      </w:r>
      <w:proofErr w:type="spellEnd"/>
      <w:r w:rsidRPr="00947923">
        <w:rPr>
          <w:lang w:val="fr-FR"/>
        </w:rPr>
        <w:t>, les différentes valeurs linguistiques peuvent être également exportées dans un fichier XLIFF, un format standard utilisé par les traducteurs, indiquant les langues source et cib</w:t>
      </w:r>
      <w:r w:rsidR="00EC7A31" w:rsidRPr="00947923">
        <w:rPr>
          <w:lang w:val="fr-FR"/>
        </w:rPr>
        <w:t>le.  Ce</w:t>
      </w:r>
      <w:r w:rsidRPr="00947923">
        <w:rPr>
          <w:lang w:val="fr-FR"/>
        </w:rPr>
        <w:t xml:space="preserve"> fichier peut être lu dans un logiciel de traduction standard, les valeurs appropriées peuvent être renseignées et le résultat importé dans WIPO </w:t>
      </w:r>
      <w:proofErr w:type="spellStart"/>
      <w:r w:rsidRPr="00947923">
        <w:rPr>
          <w:lang w:val="fr-FR"/>
        </w:rPr>
        <w:t>Sequence</w:t>
      </w:r>
      <w:proofErr w:type="spellEnd"/>
      <w:r w:rsidRPr="00947923">
        <w:rPr>
          <w:lang w:val="fr-FR"/>
        </w:rPr>
        <w:t>, plutôt que d</w:t>
      </w:r>
      <w:r w:rsidR="00E9531F" w:rsidRPr="00947923">
        <w:rPr>
          <w:lang w:val="fr-FR"/>
        </w:rPr>
        <w:t>’</w:t>
      </w:r>
      <w:r w:rsidRPr="00947923">
        <w:rPr>
          <w:lang w:val="fr-FR"/>
        </w:rPr>
        <w:t>ajouter manuellement les valeurs de la langue cible une par u</w:t>
      </w:r>
      <w:r w:rsidR="00EC7A31" w:rsidRPr="00947923">
        <w:rPr>
          <w:lang w:val="fr-FR"/>
        </w:rPr>
        <w:t>ne.  Il</w:t>
      </w:r>
      <w:r w:rsidRPr="00947923">
        <w:rPr>
          <w:lang w:val="fr-FR"/>
        </w:rPr>
        <w:t xml:space="preserve"> n</w:t>
      </w:r>
      <w:r w:rsidR="00E9531F" w:rsidRPr="00947923">
        <w:rPr>
          <w:lang w:val="fr-FR"/>
        </w:rPr>
        <w:t>’</w:t>
      </w:r>
      <w:r w:rsidRPr="00947923">
        <w:rPr>
          <w:lang w:val="fr-FR"/>
        </w:rPr>
        <w:t>est pas certain que ces fonctionnalités soient bien comprises ou utilisées par les déposan</w:t>
      </w:r>
      <w:r w:rsidR="00EC7A31" w:rsidRPr="00947923">
        <w:rPr>
          <w:lang w:val="fr-FR"/>
        </w:rPr>
        <w:t>ts.  Il</w:t>
      </w:r>
      <w:r w:rsidRPr="00947923">
        <w:rPr>
          <w:lang w:val="fr-FR"/>
        </w:rPr>
        <w:t xml:space="preserve"> convient également de noter que les listages de séquences contiennent des attributs d</w:t>
      </w:r>
      <w:r w:rsidR="00E9531F" w:rsidRPr="00947923">
        <w:rPr>
          <w:lang w:val="fr-FR"/>
        </w:rPr>
        <w:t>’</w:t>
      </w:r>
      <w:r w:rsidRPr="00947923">
        <w:rPr>
          <w:lang w:val="fr-FR"/>
        </w:rPr>
        <w:t>identification ID pour les qualificateurs en texte libre dépendant de la langue, ce qui permet de faire concorder différentes valeurs linguistiques lors de l</w:t>
      </w:r>
      <w:r w:rsidR="00E9531F" w:rsidRPr="00947923">
        <w:rPr>
          <w:lang w:val="fr-FR"/>
        </w:rPr>
        <w:t>’</w:t>
      </w:r>
      <w:r w:rsidRPr="00947923">
        <w:rPr>
          <w:lang w:val="fr-FR"/>
        </w:rPr>
        <w:t>importation de fichiers XL</w:t>
      </w:r>
      <w:r w:rsidR="00EC7A31" w:rsidRPr="00947923">
        <w:rPr>
          <w:lang w:val="fr-FR"/>
        </w:rPr>
        <w:t>IFF.  Ce</w:t>
      </w:r>
      <w:r w:rsidRPr="00947923">
        <w:rPr>
          <w:lang w:val="fr-FR"/>
        </w:rPr>
        <w:t>pendant, plusieurs problèmes liés à ces attributs ont provoqué des erreu</w:t>
      </w:r>
      <w:r w:rsidR="00EC7A31" w:rsidRPr="00947923">
        <w:rPr>
          <w:lang w:val="fr-FR"/>
        </w:rPr>
        <w:t>rs.  Un</w:t>
      </w:r>
      <w:r w:rsidRPr="00947923">
        <w:rPr>
          <w:lang w:val="fr-FR"/>
        </w:rPr>
        <w:t>e réflexion est en cours pour déterminer si ces attributs ID doivent être conservés ou cachés à l</w:t>
      </w:r>
      <w:r w:rsidR="00E9531F" w:rsidRPr="00947923">
        <w:rPr>
          <w:lang w:val="fr-FR"/>
        </w:rPr>
        <w:t>’</w:t>
      </w:r>
      <w:r w:rsidRPr="00947923">
        <w:rPr>
          <w:lang w:val="fr-FR"/>
        </w:rPr>
        <w:t>utilisateur, même après la génération du listage des séquences.</w:t>
      </w:r>
    </w:p>
    <w:p w14:paraId="5D735543" w14:textId="7FB30866" w:rsidR="009F2F0C" w:rsidRPr="00DA36F3" w:rsidRDefault="009F2F0C" w:rsidP="00472223">
      <w:pPr>
        <w:pStyle w:val="ONUMFS"/>
        <w:rPr>
          <w:lang w:val="fr-FR"/>
        </w:rPr>
      </w:pPr>
      <w:r w:rsidRPr="00DA36F3">
        <w:rPr>
          <w:lang w:val="fr-FR"/>
        </w:rPr>
        <w:t xml:space="preserve">WIPO </w:t>
      </w:r>
      <w:proofErr w:type="spellStart"/>
      <w:r w:rsidRPr="00DA36F3">
        <w:rPr>
          <w:lang w:val="fr-FR"/>
        </w:rPr>
        <w:t>Sequence</w:t>
      </w:r>
      <w:proofErr w:type="spellEnd"/>
      <w:r w:rsidRPr="00DA36F3">
        <w:rPr>
          <w:lang w:val="fr-FR"/>
        </w:rPr>
        <w:t xml:space="preserve"> ne vérifie pas si la langue appropriée a été précisée dans le cadre d</w:t>
      </w:r>
      <w:r w:rsidR="00E9531F" w:rsidRPr="00DA36F3">
        <w:rPr>
          <w:lang w:val="fr-FR"/>
        </w:rPr>
        <w:t>’</w:t>
      </w:r>
      <w:r w:rsidRPr="00DA36F3">
        <w:rPr>
          <w:lang w:val="fr-FR"/>
        </w:rPr>
        <w:t>un proj</w:t>
      </w:r>
      <w:r w:rsidR="00EC7A31" w:rsidRPr="00DA36F3">
        <w:rPr>
          <w:lang w:val="fr-FR"/>
        </w:rPr>
        <w:t>et.  La</w:t>
      </w:r>
      <w:r w:rsidRPr="00DA36F3">
        <w:rPr>
          <w:lang w:val="fr-FR"/>
        </w:rPr>
        <w:t xml:space="preserve"> seule vérification effectuée est que le texte de </w:t>
      </w:r>
      <w:proofErr w:type="spellStart"/>
      <w:r w:rsidRPr="00DA36F3">
        <w:rPr>
          <w:rFonts w:ascii="Courier New" w:hAnsi="Courier New"/>
          <w:lang w:val="fr-FR"/>
        </w:rPr>
        <w:t>INSDQualifier_value</w:t>
      </w:r>
      <w:proofErr w:type="spellEnd"/>
      <w:r w:rsidRPr="00DA36F3">
        <w:rPr>
          <w:lang w:val="fr-FR"/>
        </w:rPr>
        <w:t xml:space="preserve"> est conforme au paragraphe 40.b) de la norme et ne contient que des caractères du jeu de caractères latins de base (non accentués).</w:t>
      </w:r>
    </w:p>
    <w:p w14:paraId="2C9AE5ED" w14:textId="3653DF2C" w:rsidR="009F2F0C" w:rsidRPr="00DA36F3" w:rsidRDefault="009F2F0C" w:rsidP="00472223">
      <w:pPr>
        <w:pStyle w:val="ONUMFS"/>
        <w:rPr>
          <w:lang w:val="fr-FR"/>
        </w:rPr>
      </w:pPr>
      <w:r w:rsidRPr="00DA36F3">
        <w:rPr>
          <w:lang w:val="fr-FR"/>
        </w:rPr>
        <w:t>Étant donné qu</w:t>
      </w:r>
      <w:r w:rsidR="00E9531F" w:rsidRPr="00DA36F3">
        <w:rPr>
          <w:lang w:val="fr-FR"/>
        </w:rPr>
        <w:t>’</w:t>
      </w:r>
      <w:r w:rsidRPr="00DA36F3">
        <w:rPr>
          <w:lang w:val="fr-FR"/>
        </w:rPr>
        <w:t>il est possible de remettre des listages des séquences contenant du texte libre en deux langues (anglais et une autre langue) et que les examinateurs des administrations chargées de la recherche internationale maîtrisent le plus souvent la langue de dépôt, qu</w:t>
      </w:r>
      <w:r w:rsidR="00E9531F" w:rsidRPr="00DA36F3">
        <w:rPr>
          <w:lang w:val="fr-FR"/>
        </w:rPr>
        <w:t>’</w:t>
      </w:r>
      <w:r w:rsidRPr="00DA36F3">
        <w:rPr>
          <w:lang w:val="fr-FR"/>
        </w:rPr>
        <w:t>il s</w:t>
      </w:r>
      <w:r w:rsidR="00E9531F" w:rsidRPr="00DA36F3">
        <w:rPr>
          <w:lang w:val="fr-FR"/>
        </w:rPr>
        <w:t>’</w:t>
      </w:r>
      <w:r w:rsidRPr="00DA36F3">
        <w:rPr>
          <w:lang w:val="fr-FR"/>
        </w:rPr>
        <w:t>agisse ou non de la langue de publication, il n</w:t>
      </w:r>
      <w:r w:rsidR="00E9531F" w:rsidRPr="00DA36F3">
        <w:rPr>
          <w:lang w:val="fr-FR"/>
        </w:rPr>
        <w:t>’</w:t>
      </w:r>
      <w:r w:rsidRPr="00DA36F3">
        <w:rPr>
          <w:lang w:val="fr-FR"/>
        </w:rPr>
        <w:t>est pas surprenant que les traductions des listages des séquences soient rarement remises au cours de la phase internationa</w:t>
      </w:r>
      <w:r w:rsidR="00EC7A31" w:rsidRPr="00DA36F3">
        <w:rPr>
          <w:lang w:val="fr-FR"/>
        </w:rPr>
        <w:t>le.  De</w:t>
      </w:r>
      <w:r w:rsidRPr="00DA36F3">
        <w:rPr>
          <w:lang w:val="fr-FR"/>
        </w:rPr>
        <w:t>puis juillet 2022, le Bureau international n</w:t>
      </w:r>
      <w:r w:rsidR="00E9531F" w:rsidRPr="00DA36F3">
        <w:rPr>
          <w:lang w:val="fr-FR"/>
        </w:rPr>
        <w:t>’</w:t>
      </w:r>
      <w:r w:rsidRPr="00DA36F3">
        <w:rPr>
          <w:lang w:val="fr-FR"/>
        </w:rPr>
        <w:t>a reçu que 31 documents présentés comme des traductions de listages de séquences à des fins de publication ou de recherc</w:t>
      </w:r>
      <w:r w:rsidR="00EC7A31" w:rsidRPr="00DA36F3">
        <w:rPr>
          <w:lang w:val="fr-FR"/>
        </w:rPr>
        <w:t>he.  Ce</w:t>
      </w:r>
      <w:r w:rsidRPr="00DA36F3">
        <w:rPr>
          <w:lang w:val="fr-FR"/>
        </w:rPr>
        <w:t>pendant, l</w:t>
      </w:r>
      <w:r w:rsidR="00E9531F" w:rsidRPr="00DA36F3">
        <w:rPr>
          <w:lang w:val="fr-FR"/>
        </w:rPr>
        <w:t>’</w:t>
      </w:r>
      <w:r w:rsidRPr="00DA36F3">
        <w:rPr>
          <w:lang w:val="fr-FR"/>
        </w:rPr>
        <w:t>inspection d</w:t>
      </w:r>
      <w:r w:rsidR="00E9531F" w:rsidRPr="00DA36F3">
        <w:rPr>
          <w:lang w:val="fr-FR"/>
        </w:rPr>
        <w:t>’</w:t>
      </w:r>
      <w:r w:rsidRPr="00DA36F3">
        <w:rPr>
          <w:lang w:val="fr-FR"/>
        </w:rPr>
        <w:t>échantillons de listages donne à penser que les options linguistiques ne sont pas toujours utilisées comme pré</w:t>
      </w:r>
      <w:r w:rsidR="00EC7A31" w:rsidRPr="00DA36F3">
        <w:rPr>
          <w:lang w:val="fr-FR"/>
        </w:rPr>
        <w:t>vu.  Da</w:t>
      </w:r>
      <w:r w:rsidRPr="00DA36F3">
        <w:rPr>
          <w:lang w:val="fr-FR"/>
        </w:rPr>
        <w:t>ns certains cas (notamment les documents transmis à titre de corrections, comme indiqué au paragraphe </w:t>
      </w:r>
      <w:r w:rsidRPr="00DA36F3">
        <w:rPr>
          <w:lang w:val="fr-FR"/>
        </w:rPr>
        <w:fldChar w:fldCharType="begin"/>
      </w:r>
      <w:r w:rsidRPr="00DA36F3">
        <w:rPr>
          <w:lang w:val="fr-FR"/>
        </w:rPr>
        <w:instrText xml:space="preserve"> REF _Ref187851457 \r \h </w:instrText>
      </w:r>
      <w:r w:rsidR="00472223" w:rsidRPr="00DA36F3">
        <w:rPr>
          <w:lang w:val="fr-FR"/>
        </w:rPr>
        <w:instrText xml:space="preserve"> \* MERGEFORMAT </w:instrText>
      </w:r>
      <w:r w:rsidRPr="00DA36F3">
        <w:rPr>
          <w:lang w:val="fr-FR"/>
        </w:rPr>
      </w:r>
      <w:r w:rsidRPr="00DA36F3">
        <w:rPr>
          <w:lang w:val="fr-FR"/>
        </w:rPr>
        <w:fldChar w:fldCharType="separate"/>
      </w:r>
      <w:r w:rsidR="002B50C4">
        <w:rPr>
          <w:lang w:val="fr-FR"/>
        </w:rPr>
        <w:t>20</w:t>
      </w:r>
      <w:r w:rsidRPr="00DA36F3">
        <w:rPr>
          <w:lang w:val="fr-FR"/>
        </w:rPr>
        <w:fldChar w:fldCharType="end"/>
      </w:r>
      <w:r w:rsidRPr="00DA36F3">
        <w:rPr>
          <w:lang w:val="fr-FR"/>
        </w:rPr>
        <w:t xml:space="preserve"> ci</w:t>
      </w:r>
      <w:r w:rsidR="00EC7A31" w:rsidRPr="00DA36F3">
        <w:rPr>
          <w:lang w:val="fr-FR"/>
        </w:rPr>
        <w:noBreakHyphen/>
      </w:r>
      <w:r w:rsidRPr="00DA36F3">
        <w:rPr>
          <w:lang w:val="fr-FR"/>
        </w:rPr>
        <w:t>dessus), la traduction du listage des séquences a uniquement été communiquée pour indiquer la langue pertinente dans la partie relative aux informations générales, ce qui ne devrait pas être exi</w:t>
      </w:r>
      <w:r w:rsidR="00EC7A31" w:rsidRPr="00DA36F3">
        <w:rPr>
          <w:lang w:val="fr-FR"/>
        </w:rPr>
        <w:t>gé.  En</w:t>
      </w:r>
      <w:r w:rsidRPr="00DA36F3">
        <w:rPr>
          <w:lang w:val="fr-FR"/>
        </w:rPr>
        <w:t xml:space="preserve"> outre, il n</w:t>
      </w:r>
      <w:r w:rsidR="00E9531F" w:rsidRPr="00DA36F3">
        <w:rPr>
          <w:lang w:val="fr-FR"/>
        </w:rPr>
        <w:t>’</w:t>
      </w:r>
      <w:r w:rsidRPr="00DA36F3">
        <w:rPr>
          <w:lang w:val="fr-FR"/>
        </w:rPr>
        <w:t>est pas certain que le contenu des qualificateurs soit toujours dans les bonnes langues et, lorsqu</w:t>
      </w:r>
      <w:r w:rsidR="00E9531F" w:rsidRPr="00DA36F3">
        <w:rPr>
          <w:lang w:val="fr-FR"/>
        </w:rPr>
        <w:t>’</w:t>
      </w:r>
      <w:r w:rsidRPr="00DA36F3">
        <w:rPr>
          <w:lang w:val="fr-FR"/>
        </w:rPr>
        <w:t>il est indiqué que l</w:t>
      </w:r>
      <w:r w:rsidR="00E9531F" w:rsidRPr="00DA36F3">
        <w:rPr>
          <w:lang w:val="fr-FR"/>
        </w:rPr>
        <w:t>’</w:t>
      </w:r>
      <w:r w:rsidRPr="00DA36F3">
        <w:rPr>
          <w:lang w:val="fr-FR"/>
        </w:rPr>
        <w:t>anglais et une deuxième langue sont utilisés, que les textes des qualificateurs corresponde</w:t>
      </w:r>
      <w:r w:rsidR="00EC7A31" w:rsidRPr="00DA36F3">
        <w:rPr>
          <w:lang w:val="fr-FR"/>
        </w:rPr>
        <w:t>nt.  Le</w:t>
      </w:r>
      <w:r w:rsidRPr="00DA36F3">
        <w:rPr>
          <w:lang w:val="fr-FR"/>
        </w:rPr>
        <w:t xml:space="preserve"> Bureau international espère pouvoir procéder à une analyse plus systématique de l</w:t>
      </w:r>
      <w:r w:rsidR="00E9531F" w:rsidRPr="00DA36F3">
        <w:rPr>
          <w:lang w:val="fr-FR"/>
        </w:rPr>
        <w:t>’</w:t>
      </w:r>
      <w:r w:rsidRPr="00DA36F3">
        <w:rPr>
          <w:lang w:val="fr-FR"/>
        </w:rPr>
        <w:t>utilisation des options linguistiques dans les listages de séquences au cours de la phase internationale afin de déterminer s</w:t>
      </w:r>
      <w:r w:rsidR="00E9531F" w:rsidRPr="00DA36F3">
        <w:rPr>
          <w:lang w:val="fr-FR"/>
        </w:rPr>
        <w:t>’</w:t>
      </w:r>
      <w:r w:rsidRPr="00DA36F3">
        <w:rPr>
          <w:lang w:val="fr-FR"/>
        </w:rPr>
        <w:t>il convient de prendre des mesures de type équivalent à celles visées au paragraphe </w:t>
      </w:r>
      <w:r w:rsidRPr="00DA36F3">
        <w:rPr>
          <w:lang w:val="fr-FR"/>
        </w:rPr>
        <w:fldChar w:fldCharType="begin"/>
      </w:r>
      <w:r w:rsidRPr="00DA36F3">
        <w:rPr>
          <w:lang w:val="fr-FR"/>
        </w:rPr>
        <w:instrText xml:space="preserve"> REF _Ref187851302 \r \h </w:instrText>
      </w:r>
      <w:r w:rsidR="002E74CA" w:rsidRPr="00DA36F3">
        <w:rPr>
          <w:lang w:val="fr-FR"/>
        </w:rPr>
        <w:instrText xml:space="preserve"> \* MERGEFORMAT </w:instrText>
      </w:r>
      <w:r w:rsidRPr="00DA36F3">
        <w:rPr>
          <w:lang w:val="fr-FR"/>
        </w:rPr>
      </w:r>
      <w:r w:rsidRPr="00DA36F3">
        <w:rPr>
          <w:lang w:val="fr-FR"/>
        </w:rPr>
        <w:fldChar w:fldCharType="separate"/>
      </w:r>
      <w:r w:rsidR="002B50C4">
        <w:rPr>
          <w:lang w:val="fr-FR"/>
        </w:rPr>
        <w:t>18</w:t>
      </w:r>
      <w:r w:rsidRPr="00DA36F3">
        <w:rPr>
          <w:lang w:val="fr-FR"/>
        </w:rPr>
        <w:fldChar w:fldCharType="end"/>
      </w:r>
      <w:r w:rsidRPr="00DA36F3">
        <w:rPr>
          <w:lang w:val="fr-FR"/>
        </w:rPr>
        <w:t xml:space="preserve"> ci</w:t>
      </w:r>
      <w:r w:rsidR="00EC7A31" w:rsidRPr="00DA36F3">
        <w:rPr>
          <w:lang w:val="fr-FR"/>
        </w:rPr>
        <w:noBreakHyphen/>
      </w:r>
      <w:r w:rsidRPr="00DA36F3">
        <w:rPr>
          <w:lang w:val="fr-FR"/>
        </w:rPr>
        <w:t>dess</w:t>
      </w:r>
      <w:r w:rsidR="00EC7A31" w:rsidRPr="00DA36F3">
        <w:rPr>
          <w:lang w:val="fr-FR"/>
        </w:rPr>
        <w:t>us.  De</w:t>
      </w:r>
      <w:r w:rsidRPr="00DA36F3">
        <w:rPr>
          <w:lang w:val="fr-FR"/>
        </w:rPr>
        <w:t>s informations de la part des offices désignés seraient les bienvenues concernant l</w:t>
      </w:r>
      <w:r w:rsidR="00E9531F" w:rsidRPr="00DA36F3">
        <w:rPr>
          <w:lang w:val="fr-FR"/>
        </w:rPr>
        <w:t>’</w:t>
      </w:r>
      <w:r w:rsidRPr="00DA36F3">
        <w:rPr>
          <w:lang w:val="fr-FR"/>
        </w:rPr>
        <w:t>utilisation des traductions des listages de séquences au format prescrit par la norme ST.26 de l</w:t>
      </w:r>
      <w:r w:rsidR="00E9531F" w:rsidRPr="00DA36F3">
        <w:rPr>
          <w:lang w:val="fr-FR"/>
        </w:rPr>
        <w:t>’</w:t>
      </w:r>
      <w:r w:rsidRPr="00DA36F3">
        <w:rPr>
          <w:lang w:val="fr-FR"/>
        </w:rPr>
        <w:t>OMPI lors de l</w:t>
      </w:r>
      <w:r w:rsidR="00E9531F" w:rsidRPr="00DA36F3">
        <w:rPr>
          <w:lang w:val="fr-FR"/>
        </w:rPr>
        <w:t>’</w:t>
      </w:r>
      <w:r w:rsidRPr="00DA36F3">
        <w:rPr>
          <w:lang w:val="fr-FR"/>
        </w:rPr>
        <w:t>entrée dans la phase nationale.</w:t>
      </w:r>
    </w:p>
    <w:p w14:paraId="4D7385DF" w14:textId="77777777" w:rsidR="009F2F0C" w:rsidRPr="00DA36F3" w:rsidRDefault="009F2F0C" w:rsidP="009F2F0C">
      <w:pPr>
        <w:pStyle w:val="Heading1"/>
        <w:tabs>
          <w:tab w:val="center" w:pos="4677"/>
        </w:tabs>
        <w:rPr>
          <w:lang w:val="fr-FR"/>
        </w:rPr>
      </w:pPr>
      <w:r w:rsidRPr="00DA36F3">
        <w:rPr>
          <w:lang w:val="fr-FR"/>
        </w:rPr>
        <w:t>Publication des listages de séquences</w:t>
      </w:r>
    </w:p>
    <w:p w14:paraId="43BE45E1" w14:textId="7D92D8C7" w:rsidR="00E9531F" w:rsidRPr="00DA36F3" w:rsidRDefault="009F2F0C" w:rsidP="00472223">
      <w:pPr>
        <w:pStyle w:val="ONUMFS"/>
        <w:rPr>
          <w:lang w:val="fr-FR"/>
        </w:rPr>
      </w:pPr>
      <w:r w:rsidRPr="00DA36F3">
        <w:rPr>
          <w:lang w:val="fr-FR"/>
        </w:rPr>
        <w:t>PATENTSCOPE comprend depuis longtemps une fonction permettant de visualiser les listages de séquences dans un format convivial similaire au format d</w:t>
      </w:r>
      <w:r w:rsidR="00E9531F" w:rsidRPr="00DA36F3">
        <w:rPr>
          <w:lang w:val="fr-FR"/>
        </w:rPr>
        <w:t>’</w:t>
      </w:r>
      <w:r w:rsidRPr="00DA36F3">
        <w:rPr>
          <w:lang w:val="fr-FR"/>
        </w:rPr>
        <w:t>affichage de la norme ST.26 de l</w:t>
      </w:r>
      <w:r w:rsidR="00E9531F" w:rsidRPr="00DA36F3">
        <w:rPr>
          <w:lang w:val="fr-FR"/>
        </w:rPr>
        <w:t>’</w:t>
      </w:r>
      <w:r w:rsidRPr="00DA36F3">
        <w:rPr>
          <w:lang w:val="fr-FR"/>
        </w:rPr>
        <w:t>O</w:t>
      </w:r>
      <w:r w:rsidR="00EC7A31" w:rsidRPr="00DA36F3">
        <w:rPr>
          <w:lang w:val="fr-FR"/>
        </w:rPr>
        <w:t>MPI.  Un</w:t>
      </w:r>
      <w:r w:rsidRPr="00DA36F3">
        <w:rPr>
          <w:lang w:val="fr-FR"/>
        </w:rPr>
        <w:t>e version actualisée de PATENTSCOPE a été déployée en novembre 2024 comprenant un nouveau moteur d</w:t>
      </w:r>
      <w:r w:rsidR="00E9531F" w:rsidRPr="00DA36F3">
        <w:rPr>
          <w:lang w:val="fr-FR"/>
        </w:rPr>
        <w:t>’</w:t>
      </w:r>
      <w:r w:rsidRPr="00DA36F3">
        <w:rPr>
          <w:lang w:val="fr-FR"/>
        </w:rPr>
        <w:t>affichage visant à faciliter la visualisation de très grands listages de séquenc</w:t>
      </w:r>
      <w:r w:rsidR="00EC7A31" w:rsidRPr="00DA36F3">
        <w:rPr>
          <w:lang w:val="fr-FR"/>
        </w:rPr>
        <w:t>es.  La</w:t>
      </w:r>
      <w:r w:rsidRPr="00DA36F3">
        <w:rPr>
          <w:lang w:val="fr-FR"/>
        </w:rPr>
        <w:t xml:space="preserve"> transformation est effectuée en continu plutôt que d</w:t>
      </w:r>
      <w:r w:rsidR="00E9531F" w:rsidRPr="00DA36F3">
        <w:rPr>
          <w:lang w:val="fr-FR"/>
        </w:rPr>
        <w:t>’</w:t>
      </w:r>
      <w:r w:rsidRPr="00DA36F3">
        <w:rPr>
          <w:lang w:val="fr-FR"/>
        </w:rPr>
        <w:t>avoir à charger l</w:t>
      </w:r>
      <w:r w:rsidR="00E9531F" w:rsidRPr="00DA36F3">
        <w:rPr>
          <w:lang w:val="fr-FR"/>
        </w:rPr>
        <w:t>’</w:t>
      </w:r>
      <w:r w:rsidRPr="00DA36F3">
        <w:rPr>
          <w:lang w:val="fr-FR"/>
        </w:rPr>
        <w:t>ensemble du document pour le trait</w:t>
      </w:r>
      <w:r w:rsidR="00EC7A31" w:rsidRPr="00DA36F3">
        <w:rPr>
          <w:lang w:val="fr-FR"/>
        </w:rPr>
        <w:t>er.  Al</w:t>
      </w:r>
      <w:r w:rsidRPr="00DA36F3">
        <w:rPr>
          <w:lang w:val="fr-FR"/>
        </w:rPr>
        <w:t>ors qu</w:t>
      </w:r>
      <w:r w:rsidR="00E9531F" w:rsidRPr="00DA36F3">
        <w:rPr>
          <w:lang w:val="fr-FR"/>
        </w:rPr>
        <w:t>’</w:t>
      </w:r>
      <w:r w:rsidRPr="00DA36F3">
        <w:rPr>
          <w:lang w:val="fr-FR"/>
        </w:rPr>
        <w:t>auparavant l</w:t>
      </w:r>
      <w:r w:rsidR="00E9531F" w:rsidRPr="00DA36F3">
        <w:rPr>
          <w:lang w:val="fr-FR"/>
        </w:rPr>
        <w:t>’</w:t>
      </w:r>
      <w:r w:rsidRPr="00DA36F3">
        <w:rPr>
          <w:lang w:val="fr-FR"/>
        </w:rPr>
        <w:t>affichage des grands listages de séquences pouvait prendre une minute ou plus, ou complètement échouer, le début du listage apparaît désormais presque instantanément et, s</w:t>
      </w:r>
      <w:r w:rsidR="00E9531F" w:rsidRPr="00DA36F3">
        <w:rPr>
          <w:lang w:val="fr-FR"/>
        </w:rPr>
        <w:t>’</w:t>
      </w:r>
      <w:r w:rsidRPr="00DA36F3">
        <w:rPr>
          <w:lang w:val="fr-FR"/>
        </w:rPr>
        <w:t>il ne s</w:t>
      </w:r>
      <w:r w:rsidR="00E9531F" w:rsidRPr="00DA36F3">
        <w:rPr>
          <w:lang w:val="fr-FR"/>
        </w:rPr>
        <w:t>’</w:t>
      </w:r>
      <w:r w:rsidRPr="00DA36F3">
        <w:rPr>
          <w:lang w:val="fr-FR"/>
        </w:rPr>
        <w:t>affiche pas entièrement, il est possible de charger des parties supplémentaires sur demande.</w:t>
      </w:r>
    </w:p>
    <w:p w14:paraId="2BDEEA8B" w14:textId="19700605" w:rsidR="009F2F0C" w:rsidRPr="00DA36F3" w:rsidRDefault="009F2F0C" w:rsidP="00472223">
      <w:pPr>
        <w:pStyle w:val="ONUMFS"/>
        <w:ind w:left="5533"/>
        <w:rPr>
          <w:i/>
          <w:lang w:val="fr-FR"/>
        </w:rPr>
      </w:pPr>
      <w:r w:rsidRPr="00DA36F3">
        <w:rPr>
          <w:i/>
          <w:lang w:val="fr-FR"/>
        </w:rPr>
        <w:t xml:space="preserve">Le groupe de travail est invité à prendre note du contenu du </w:t>
      </w:r>
      <w:r w:rsidR="00E9531F" w:rsidRPr="00DA36F3">
        <w:rPr>
          <w:i/>
          <w:lang w:val="fr-FR"/>
        </w:rPr>
        <w:t>document PC</w:t>
      </w:r>
      <w:r w:rsidRPr="00DA36F3">
        <w:rPr>
          <w:i/>
          <w:lang w:val="fr-FR"/>
        </w:rPr>
        <w:t>T/WG/18/14 et à formuler toute observation aux fins d</w:t>
      </w:r>
      <w:r w:rsidR="00E9531F" w:rsidRPr="00DA36F3">
        <w:rPr>
          <w:i/>
          <w:lang w:val="fr-FR"/>
        </w:rPr>
        <w:t>’</w:t>
      </w:r>
      <w:r w:rsidRPr="00DA36F3">
        <w:rPr>
          <w:i/>
          <w:lang w:val="fr-FR"/>
        </w:rPr>
        <w:t>un examen et d</w:t>
      </w:r>
      <w:r w:rsidR="00E9531F" w:rsidRPr="00DA36F3">
        <w:rPr>
          <w:i/>
          <w:lang w:val="fr-FR"/>
        </w:rPr>
        <w:t>’</w:t>
      </w:r>
      <w:r w:rsidRPr="00DA36F3">
        <w:rPr>
          <w:i/>
          <w:lang w:val="fr-FR"/>
        </w:rPr>
        <w:t>une analyse approfondis du traitement des listages de séquences selon le PCT.</w:t>
      </w:r>
    </w:p>
    <w:p w14:paraId="03684003" w14:textId="1191AF42" w:rsidR="000F5E56" w:rsidRPr="00947923" w:rsidRDefault="009F2F0C" w:rsidP="00472223">
      <w:pPr>
        <w:pStyle w:val="Endofdocument-Annex"/>
        <w:spacing w:before="720"/>
        <w:rPr>
          <w:lang w:val="fr-FR"/>
        </w:rPr>
      </w:pPr>
      <w:r w:rsidRPr="00947923">
        <w:rPr>
          <w:lang w:val="fr-FR"/>
        </w:rPr>
        <w:t>[Fin du document]</w:t>
      </w:r>
    </w:p>
    <w:sectPr w:rsidR="000F5E56" w:rsidRPr="00947923" w:rsidSect="009F2F0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4544B" w14:textId="77777777" w:rsidR="009F2F0C" w:rsidRDefault="009F2F0C">
      <w:r>
        <w:separator/>
      </w:r>
    </w:p>
  </w:endnote>
  <w:endnote w:type="continuationSeparator" w:id="0">
    <w:p w14:paraId="095891EA" w14:textId="77777777" w:rsidR="009F2F0C" w:rsidRPr="009D30E6" w:rsidRDefault="009F2F0C" w:rsidP="00D45252">
      <w:pPr>
        <w:rPr>
          <w:sz w:val="17"/>
          <w:szCs w:val="17"/>
        </w:rPr>
      </w:pPr>
      <w:r w:rsidRPr="009D30E6">
        <w:rPr>
          <w:sz w:val="17"/>
          <w:szCs w:val="17"/>
        </w:rPr>
        <w:separator/>
      </w:r>
    </w:p>
    <w:p w14:paraId="25E26EA3" w14:textId="77777777" w:rsidR="009F2F0C" w:rsidRPr="009D30E6" w:rsidRDefault="009F2F0C" w:rsidP="00D45252">
      <w:pPr>
        <w:spacing w:after="60"/>
        <w:rPr>
          <w:sz w:val="17"/>
          <w:szCs w:val="17"/>
        </w:rPr>
      </w:pPr>
      <w:r w:rsidRPr="009D30E6">
        <w:rPr>
          <w:sz w:val="17"/>
          <w:szCs w:val="17"/>
        </w:rPr>
        <w:t>[Suite de la note de la page précédente]</w:t>
      </w:r>
    </w:p>
  </w:endnote>
  <w:endnote w:type="continuationNotice" w:id="1">
    <w:p w14:paraId="7B787B62" w14:textId="77777777" w:rsidR="009F2F0C" w:rsidRPr="009D30E6" w:rsidRDefault="009F2F0C"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482E3" w14:textId="77777777" w:rsidR="009F2F0C" w:rsidRDefault="009F2F0C">
      <w:r>
        <w:separator/>
      </w:r>
    </w:p>
  </w:footnote>
  <w:footnote w:type="continuationSeparator" w:id="0">
    <w:p w14:paraId="6A1F7C85" w14:textId="77777777" w:rsidR="009F2F0C" w:rsidRDefault="009F2F0C" w:rsidP="007461F1">
      <w:r>
        <w:separator/>
      </w:r>
    </w:p>
    <w:p w14:paraId="54F8FBF1" w14:textId="77777777" w:rsidR="009F2F0C" w:rsidRPr="009D30E6" w:rsidRDefault="009F2F0C" w:rsidP="007461F1">
      <w:pPr>
        <w:spacing w:after="60"/>
        <w:rPr>
          <w:sz w:val="17"/>
          <w:szCs w:val="17"/>
        </w:rPr>
      </w:pPr>
      <w:r w:rsidRPr="009D30E6">
        <w:rPr>
          <w:sz w:val="17"/>
          <w:szCs w:val="17"/>
        </w:rPr>
        <w:t>[Suite de la note de la page précédente]</w:t>
      </w:r>
    </w:p>
  </w:footnote>
  <w:footnote w:type="continuationNotice" w:id="1">
    <w:p w14:paraId="0FBA4C3A" w14:textId="77777777" w:rsidR="009F2F0C" w:rsidRPr="009D30E6" w:rsidRDefault="009F2F0C"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F1194" w14:textId="4E95279C" w:rsidR="00F16975" w:rsidRDefault="009F2F0C" w:rsidP="00477D6B">
    <w:pPr>
      <w:jc w:val="right"/>
    </w:pPr>
    <w:bookmarkStart w:id="8" w:name="Code2"/>
    <w:bookmarkEnd w:id="8"/>
    <w:r>
      <w:t>PCT/WG/18/14</w:t>
    </w:r>
  </w:p>
  <w:p w14:paraId="2B400738" w14:textId="299482EF" w:rsidR="004F4E31" w:rsidRDefault="00F16975" w:rsidP="009F2F0C">
    <w:pPr>
      <w:spacing w:after="480"/>
      <w:jc w:val="right"/>
    </w:pPr>
    <w:proofErr w:type="gramStart"/>
    <w:r>
      <w:t>page</w:t>
    </w:r>
    <w:proofErr w:type="gramEnd"/>
    <w:r w:rsidR="009F2F0C">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0C"/>
    <w:rsid w:val="00011B7D"/>
    <w:rsid w:val="00050E4E"/>
    <w:rsid w:val="00075432"/>
    <w:rsid w:val="000F3F68"/>
    <w:rsid w:val="000F5E56"/>
    <w:rsid w:val="001362EE"/>
    <w:rsid w:val="001832A6"/>
    <w:rsid w:val="00192B4B"/>
    <w:rsid w:val="00195C6E"/>
    <w:rsid w:val="001B266A"/>
    <w:rsid w:val="001D3D56"/>
    <w:rsid w:val="001D4860"/>
    <w:rsid w:val="00240654"/>
    <w:rsid w:val="002634C4"/>
    <w:rsid w:val="0028715D"/>
    <w:rsid w:val="002B50C4"/>
    <w:rsid w:val="002D4918"/>
    <w:rsid w:val="002E4D1A"/>
    <w:rsid w:val="002E74CA"/>
    <w:rsid w:val="002F16BC"/>
    <w:rsid w:val="002F4E68"/>
    <w:rsid w:val="00315FCA"/>
    <w:rsid w:val="003500BE"/>
    <w:rsid w:val="003845C1"/>
    <w:rsid w:val="003A1BCD"/>
    <w:rsid w:val="004008A2"/>
    <w:rsid w:val="004010C2"/>
    <w:rsid w:val="004025DF"/>
    <w:rsid w:val="00423E3E"/>
    <w:rsid w:val="00427AF4"/>
    <w:rsid w:val="004647DA"/>
    <w:rsid w:val="00472223"/>
    <w:rsid w:val="00477D6B"/>
    <w:rsid w:val="004D6471"/>
    <w:rsid w:val="004F4E31"/>
    <w:rsid w:val="00511EC7"/>
    <w:rsid w:val="00525B63"/>
    <w:rsid w:val="00547476"/>
    <w:rsid w:val="00561DB8"/>
    <w:rsid w:val="00567A4C"/>
    <w:rsid w:val="0057581A"/>
    <w:rsid w:val="005E6516"/>
    <w:rsid w:val="00605827"/>
    <w:rsid w:val="00636CE5"/>
    <w:rsid w:val="00676936"/>
    <w:rsid w:val="006B0DB5"/>
    <w:rsid w:val="006E4243"/>
    <w:rsid w:val="007031E0"/>
    <w:rsid w:val="00703D74"/>
    <w:rsid w:val="007461F1"/>
    <w:rsid w:val="0075224E"/>
    <w:rsid w:val="007D0CB1"/>
    <w:rsid w:val="007D6961"/>
    <w:rsid w:val="007F07CB"/>
    <w:rsid w:val="00810CEF"/>
    <w:rsid w:val="0081208D"/>
    <w:rsid w:val="00842A13"/>
    <w:rsid w:val="00892E32"/>
    <w:rsid w:val="008B2CC1"/>
    <w:rsid w:val="008E7930"/>
    <w:rsid w:val="0090731E"/>
    <w:rsid w:val="00947923"/>
    <w:rsid w:val="00966A22"/>
    <w:rsid w:val="00974CD6"/>
    <w:rsid w:val="009A350E"/>
    <w:rsid w:val="009D30E6"/>
    <w:rsid w:val="009E3F6F"/>
    <w:rsid w:val="009F2F0C"/>
    <w:rsid w:val="009F499F"/>
    <w:rsid w:val="00A003A7"/>
    <w:rsid w:val="00A02BD3"/>
    <w:rsid w:val="00A16BD6"/>
    <w:rsid w:val="00AA1F20"/>
    <w:rsid w:val="00AC0AE4"/>
    <w:rsid w:val="00AD61DB"/>
    <w:rsid w:val="00AE7C04"/>
    <w:rsid w:val="00AE7F69"/>
    <w:rsid w:val="00B87BCF"/>
    <w:rsid w:val="00BA214F"/>
    <w:rsid w:val="00BA62D4"/>
    <w:rsid w:val="00BB16AB"/>
    <w:rsid w:val="00C05880"/>
    <w:rsid w:val="00C40E15"/>
    <w:rsid w:val="00C664C8"/>
    <w:rsid w:val="00C76A79"/>
    <w:rsid w:val="00CA15F5"/>
    <w:rsid w:val="00CF0460"/>
    <w:rsid w:val="00D04414"/>
    <w:rsid w:val="00D45252"/>
    <w:rsid w:val="00D71B4D"/>
    <w:rsid w:val="00D75C1E"/>
    <w:rsid w:val="00D93D55"/>
    <w:rsid w:val="00DA36F3"/>
    <w:rsid w:val="00DB0349"/>
    <w:rsid w:val="00DD6A16"/>
    <w:rsid w:val="00E0091A"/>
    <w:rsid w:val="00E1784A"/>
    <w:rsid w:val="00E203AA"/>
    <w:rsid w:val="00E527A5"/>
    <w:rsid w:val="00E66481"/>
    <w:rsid w:val="00E76456"/>
    <w:rsid w:val="00E9531F"/>
    <w:rsid w:val="00EC7A31"/>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9B07D"/>
  <w15:docId w15:val="{6E43730C-2146-43D4-8CB2-950D6B71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table" w:styleId="TableGrid">
    <w:name w:val="Table Grid"/>
    <w:basedOn w:val="TableNormal"/>
    <w:rsid w:val="009F2F0C"/>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EC7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3522-4E34-489B-BD61-AC883060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(F)</Template>
  <TotalTime>1</TotalTime>
  <Pages>9</Pages>
  <Words>4283</Words>
  <Characters>23163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PCT/WG/18/14</dc:title>
  <dc:creator>LE GUEN Haude</dc:creator>
  <cp:keywords>FOR OFFICIAL USE ONLY</cp:keywords>
  <cp:lastModifiedBy>MARLOW Thomas</cp:lastModifiedBy>
  <cp:revision>2</cp:revision>
  <cp:lastPrinted>2011-05-19T12:37:00Z</cp:lastPrinted>
  <dcterms:created xsi:type="dcterms:W3CDTF">2025-01-24T10:41:00Z</dcterms:created>
  <dcterms:modified xsi:type="dcterms:W3CDTF">2025-01-24T10:41:00Z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