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64310" w14:textId="37E3CA2E" w:rsidR="002E10AE" w:rsidRPr="003137F0" w:rsidRDefault="002E10AE" w:rsidP="003137F0">
      <w:pPr>
        <w:pStyle w:val="LegTitle"/>
        <w:spacing w:after="480"/>
        <w:rPr>
          <w:b w:val="0"/>
          <w:bCs/>
          <w:caps/>
        </w:rPr>
      </w:pPr>
      <w:bookmarkStart w:id="0" w:name="_Toc188454087"/>
      <w:r w:rsidRPr="003137F0">
        <w:rPr>
          <w:b w:val="0"/>
          <w:caps/>
        </w:rPr>
        <w:t>M</w:t>
      </w:r>
      <w:r w:rsidR="003137F0" w:rsidRPr="003137F0">
        <w:rPr>
          <w:b w:val="0"/>
          <w:caps/>
        </w:rPr>
        <w:t>ode de dépôt pour l</w:t>
      </w:r>
      <w:r w:rsidR="003137F0">
        <w:rPr>
          <w:b w:val="0"/>
          <w:caps/>
        </w:rPr>
        <w:t>’</w:t>
      </w:r>
      <w:r w:rsidR="003137F0" w:rsidRPr="003137F0">
        <w:rPr>
          <w:b w:val="0"/>
          <w:caps/>
        </w:rPr>
        <w:t>ouverture de la phase nationale devant les offices désignés</w:t>
      </w:r>
    </w:p>
    <w:p w14:paraId="2E828829" w14:textId="25524BA7" w:rsidR="002E10AE" w:rsidRDefault="002E10AE" w:rsidP="003137F0">
      <w:pPr>
        <w:pStyle w:val="ONUMFS"/>
      </w:pPr>
      <w:r>
        <w:t>Le présent document officieux contient une version révisée du projet de modifications du règlement d</w:t>
      </w:r>
      <w:r w:rsidR="003137F0">
        <w:t>’</w:t>
      </w:r>
      <w:r>
        <w:t>exécution</w:t>
      </w:r>
      <w:r w:rsidR="003137F0">
        <w:t xml:space="preserve"> du PCT</w:t>
      </w:r>
      <w:r>
        <w:t xml:space="preserve"> afin de faciliter la poursuite de l</w:t>
      </w:r>
      <w:r w:rsidR="003137F0">
        <w:t>’</w:t>
      </w:r>
      <w:r>
        <w:t xml:space="preserve">examen de certaines des questions soulevées en relation avec le </w:t>
      </w:r>
      <w:r w:rsidR="003137F0">
        <w:t>document PC</w:t>
      </w:r>
      <w:r>
        <w:t>T/WG/18/4 </w:t>
      </w:r>
      <w:proofErr w:type="spellStart"/>
      <w:r>
        <w:t>R</w:t>
      </w:r>
      <w:r w:rsidR="008544D9">
        <w:t>ev</w:t>
      </w:r>
      <w:proofErr w:type="spellEnd"/>
      <w:r w:rsidR="008544D9">
        <w:t>.  Le</w:t>
      </w:r>
      <w:r>
        <w:t xml:space="preserve">s révisions sont indiquées en </w:t>
      </w:r>
      <w:r>
        <w:rPr>
          <w:highlight w:val="yellow"/>
        </w:rPr>
        <w:t>surbrillance</w:t>
      </w:r>
      <w:r>
        <w:t>.</w:t>
      </w:r>
    </w:p>
    <w:p w14:paraId="41AEA78C" w14:textId="4600E27A" w:rsidR="002E10AE" w:rsidRDefault="002E10AE" w:rsidP="003137F0">
      <w:pPr>
        <w:pStyle w:val="ONUMFS"/>
      </w:pPr>
      <w:r>
        <w:t>Parmi les sujets de préoccupation relatifs à la règle 82 figurent les points suivants</w:t>
      </w:r>
      <w:r w:rsidR="003137F0">
        <w:t> :</w:t>
      </w:r>
    </w:p>
    <w:p w14:paraId="229E333A" w14:textId="20C2C96B" w:rsidR="002E10AE" w:rsidRDefault="00105987" w:rsidP="003137F0">
      <w:pPr>
        <w:pStyle w:val="ONUMFS"/>
        <w:numPr>
          <w:ilvl w:val="1"/>
          <w:numId w:val="4"/>
        </w:numPr>
      </w:pPr>
      <w:proofErr w:type="gramStart"/>
      <w:r>
        <w:t>la</w:t>
      </w:r>
      <w:proofErr w:type="gramEnd"/>
      <w:r>
        <w:t xml:space="preserve"> disponibilité de systèmes non électroniques ne serait d</w:t>
      </w:r>
      <w:r w:rsidR="003137F0">
        <w:t>’</w:t>
      </w:r>
      <w:r>
        <w:t>aucune utilité pour un déposant lorsque le système électronique est indisponible à la dernière minute, car il serait généralement déjà trop tard pour les utiliser comme solution de substitution appropriée;</w:t>
      </w:r>
    </w:p>
    <w:p w14:paraId="13AE6633" w14:textId="21BBDD59" w:rsidR="002E10AE" w:rsidRDefault="002E10AE" w:rsidP="003137F0">
      <w:pPr>
        <w:pStyle w:val="ONUMFS"/>
        <w:numPr>
          <w:ilvl w:val="1"/>
          <w:numId w:val="4"/>
        </w:numPr>
      </w:pPr>
      <w:proofErr w:type="gramStart"/>
      <w:r>
        <w:t>le</w:t>
      </w:r>
      <w:proofErr w:type="gramEnd"/>
      <w:r>
        <w:t xml:space="preserve"> délai pendant lequel un système doit être indisponible n</w:t>
      </w:r>
      <w:r w:rsidR="003137F0">
        <w:t>’</w:t>
      </w:r>
      <w:r>
        <w:t>était pas clair, pas plus que le fait que c</w:t>
      </w:r>
      <w:r w:rsidR="003137F0">
        <w:t>’</w:t>
      </w:r>
      <w:r>
        <w:t>est le dernier jour au cours duquel l</w:t>
      </w:r>
      <w:r w:rsidR="003137F0">
        <w:t>’</w:t>
      </w:r>
      <w:r>
        <w:t>action peut être réalisée qui est déterminant;</w:t>
      </w:r>
    </w:p>
    <w:p w14:paraId="0414F6EF" w14:textId="656F408A" w:rsidR="00105987" w:rsidRDefault="00105987" w:rsidP="003137F0">
      <w:pPr>
        <w:pStyle w:val="ONUMFS"/>
        <w:numPr>
          <w:ilvl w:val="1"/>
          <w:numId w:val="4"/>
        </w:numPr>
      </w:pPr>
      <w:proofErr w:type="gramStart"/>
      <w:r>
        <w:t>les</w:t>
      </w:r>
      <w:proofErr w:type="gramEnd"/>
      <w:r>
        <w:t xml:space="preserve"> garanties doivent couvrir le paiement des taxes et la fourniture de tous les documents requis par l</w:t>
      </w:r>
      <w:r w:rsidR="003137F0">
        <w:t>’</w:t>
      </w:r>
      <w:r>
        <w:t>article 22</w:t>
      </w:r>
      <w:r w:rsidR="003137F0">
        <w:t>;</w:t>
      </w:r>
    </w:p>
    <w:p w14:paraId="49EF9ADC" w14:textId="7B65C274" w:rsidR="00105987" w:rsidRDefault="003137F0" w:rsidP="003137F0">
      <w:pPr>
        <w:pStyle w:val="ONUMFS"/>
        <w:numPr>
          <w:ilvl w:val="1"/>
          <w:numId w:val="4"/>
        </w:numPr>
      </w:pPr>
      <w:proofErr w:type="gramStart"/>
      <w:r>
        <w:t>l</w:t>
      </w:r>
      <w:r w:rsidR="00105987">
        <w:t>es</w:t>
      </w:r>
      <w:proofErr w:type="gramEnd"/>
      <w:r w:rsidR="00105987">
        <w:t xml:space="preserve"> circonstances dans lesquelles la preuve peut être exigée, </w:t>
      </w:r>
      <w:r>
        <w:t>y compris</w:t>
      </w:r>
      <w:r w:rsidR="00105987">
        <w:t xml:space="preserve"> l</w:t>
      </w:r>
      <w:r>
        <w:t>’</w:t>
      </w:r>
      <w:r w:rsidR="00105987">
        <w:t>incertitude quant à l</w:t>
      </w:r>
      <w:r>
        <w:t>’</w:t>
      </w:r>
      <w:r w:rsidR="00105987">
        <w:t>origine du problème (le déposant peut ne pas savoir si le problème se situe au niveau des systèmes de l</w:t>
      </w:r>
      <w:r>
        <w:t>’</w:t>
      </w:r>
      <w:r w:rsidR="00105987">
        <w:t>office ou à un autre niveau).</w:t>
      </w:r>
    </w:p>
    <w:p w14:paraId="4842C7C4" w14:textId="0FC79258" w:rsidR="00B311F7" w:rsidRPr="003137F0" w:rsidRDefault="002E10AE" w:rsidP="003137F0">
      <w:pPr>
        <w:pStyle w:val="LegTitle"/>
        <w:pageBreakBefore/>
        <w:spacing w:after="480"/>
        <w:rPr>
          <w:b w:val="0"/>
          <w:bCs/>
          <w:caps/>
        </w:rPr>
      </w:pPr>
      <w:r w:rsidRPr="003137F0">
        <w:rPr>
          <w:b w:val="0"/>
          <w:caps/>
        </w:rPr>
        <w:lastRenderedPageBreak/>
        <w:t>P</w:t>
      </w:r>
      <w:r w:rsidR="003137F0" w:rsidRPr="003137F0">
        <w:rPr>
          <w:b w:val="0"/>
          <w:caps/>
        </w:rPr>
        <w:t xml:space="preserve">rojet de modification </w:t>
      </w:r>
      <w:r w:rsidR="003137F0" w:rsidRPr="003137F0">
        <w:rPr>
          <w:b w:val="0"/>
          <w:caps/>
        </w:rPr>
        <w:br/>
        <w:t>du règlement d</w:t>
      </w:r>
      <w:r w:rsidR="003137F0">
        <w:rPr>
          <w:b w:val="0"/>
          <w:caps/>
        </w:rPr>
        <w:t>’</w:t>
      </w:r>
      <w:r w:rsidR="003137F0" w:rsidRPr="003137F0">
        <w:rPr>
          <w:b w:val="0"/>
          <w:caps/>
        </w:rPr>
        <w:t>exécution du</w:t>
      </w:r>
      <w:r w:rsidR="003137F0">
        <w:rPr>
          <w:b w:val="0"/>
          <w:caps/>
        </w:rPr>
        <w:t> </w:t>
      </w:r>
      <w:r w:rsidR="003137F0" w:rsidRPr="003137F0">
        <w:rPr>
          <w:b w:val="0"/>
          <w:caps/>
        </w:rPr>
        <w:t>PCT</w:t>
      </w:r>
    </w:p>
    <w:p w14:paraId="04A145DE" w14:textId="65A43B96" w:rsidR="003137F0" w:rsidRDefault="00B311F7" w:rsidP="00B311F7">
      <w:pPr>
        <w:pStyle w:val="LegTitle"/>
      </w:pPr>
      <w:r>
        <w:t xml:space="preserve">Règle 49 </w:t>
      </w:r>
      <w:r w:rsidR="003137F0">
        <w:rPr>
          <w:vanish/>
        </w:rPr>
        <w:t>–</w:t>
      </w:r>
      <w:r w:rsidRPr="003137F0">
        <w:rPr>
          <w:vanish/>
        </w:rPr>
        <w:t xml:space="preserve"> </w:t>
      </w:r>
      <w:r>
        <w:br/>
        <w:t>Copie, traduction et taxe selon l</w:t>
      </w:r>
      <w:r w:rsidR="003137F0">
        <w:t>’</w:t>
      </w:r>
      <w:r>
        <w:t>article 22</w:t>
      </w:r>
      <w:bookmarkEnd w:id="0"/>
    </w:p>
    <w:p w14:paraId="7B828B63" w14:textId="569D40E2" w:rsidR="00B311F7" w:rsidRPr="002E10AE" w:rsidRDefault="00B311F7" w:rsidP="00B311F7">
      <w:pPr>
        <w:pStyle w:val="LegSubRule"/>
        <w:outlineLvl w:val="0"/>
        <w:rPr>
          <w:rFonts w:cs="Arial"/>
          <w:i/>
          <w:iCs/>
        </w:rPr>
      </w:pPr>
      <w:bookmarkStart w:id="1" w:name="_Toc188454088"/>
      <w:bookmarkStart w:id="2" w:name="_Toc183609107"/>
      <w:r>
        <w:t>49.1 à 49.3</w:t>
      </w:r>
      <w:r>
        <w:rPr>
          <w:i/>
        </w:rPr>
        <w:t>   [Sans changement]</w:t>
      </w:r>
      <w:bookmarkEnd w:id="1"/>
    </w:p>
    <w:p w14:paraId="5A2A59E3" w14:textId="69CF11CA" w:rsidR="00B311F7" w:rsidRPr="002E10AE" w:rsidRDefault="00B311F7" w:rsidP="00B311F7">
      <w:pPr>
        <w:pStyle w:val="LegSubRule"/>
        <w:outlineLvl w:val="0"/>
        <w:rPr>
          <w:rFonts w:cs="Arial"/>
          <w:i/>
        </w:rPr>
      </w:pPr>
      <w:bookmarkStart w:id="3" w:name="_Toc188454089"/>
      <w:r>
        <w:t>49.4   </w:t>
      </w:r>
      <w:r>
        <w:rPr>
          <w:i/>
          <w:iCs/>
          <w:color w:val="0000FF"/>
          <w:u w:val="single"/>
        </w:rPr>
        <w:t>Moyens de transmission pour l</w:t>
      </w:r>
      <w:r w:rsidR="003137F0">
        <w:rPr>
          <w:i/>
          <w:iCs/>
          <w:color w:val="0000FF"/>
          <w:u w:val="single"/>
        </w:rPr>
        <w:t>’</w:t>
      </w:r>
      <w:r>
        <w:rPr>
          <w:i/>
          <w:iCs/>
          <w:color w:val="0000FF"/>
          <w:u w:val="single"/>
        </w:rPr>
        <w:t>accomplissement des actes visés à l</w:t>
      </w:r>
      <w:r w:rsidR="003137F0">
        <w:rPr>
          <w:i/>
          <w:iCs/>
          <w:color w:val="0000FF"/>
          <w:u w:val="single"/>
        </w:rPr>
        <w:t>’</w:t>
      </w:r>
      <w:r>
        <w:rPr>
          <w:i/>
          <w:iCs/>
          <w:color w:val="0000FF"/>
          <w:u w:val="single"/>
        </w:rPr>
        <w:t>article 22</w:t>
      </w:r>
      <w:r>
        <w:rPr>
          <w:i/>
          <w:iCs/>
          <w:strike/>
          <w:color w:val="0000FF"/>
        </w:rPr>
        <w:t xml:space="preserve"> </w:t>
      </w:r>
      <w:r>
        <w:rPr>
          <w:i/>
          <w:iCs/>
          <w:strike/>
          <w:color w:val="C00000"/>
        </w:rPr>
        <w:t>Utilisation d</w:t>
      </w:r>
      <w:r w:rsidR="003137F0">
        <w:rPr>
          <w:i/>
          <w:iCs/>
          <w:strike/>
          <w:color w:val="C00000"/>
        </w:rPr>
        <w:t>’</w:t>
      </w:r>
      <w:r>
        <w:rPr>
          <w:i/>
          <w:iCs/>
          <w:strike/>
          <w:color w:val="C00000"/>
        </w:rPr>
        <w:t>un formulaire national</w:t>
      </w:r>
      <w:bookmarkEnd w:id="2"/>
      <w:bookmarkEnd w:id="3"/>
    </w:p>
    <w:p w14:paraId="25C73C4C" w14:textId="09B5E71F" w:rsidR="00B311F7" w:rsidRPr="002E10AE" w:rsidRDefault="00B311F7" w:rsidP="003137F0">
      <w:pPr>
        <w:pStyle w:val="Lega"/>
        <w:tabs>
          <w:tab w:val="clear" w:pos="454"/>
          <w:tab w:val="left" w:pos="1134"/>
        </w:tabs>
        <w:ind w:firstLine="567"/>
        <w:rPr>
          <w:rFonts w:cs="Arial"/>
        </w:rPr>
      </w:pPr>
      <w:r>
        <w:rPr>
          <w:color w:val="0000FF"/>
          <w:u w:val="single"/>
        </w:rPr>
        <w:t>a)</w:t>
      </w:r>
      <w:r>
        <w:rPr>
          <w:color w:val="0000FF"/>
          <w:u w:val="single"/>
        </w:rPr>
        <w:tab/>
        <w:t>Sous réserve de l</w:t>
      </w:r>
      <w:r w:rsidR="003137F0">
        <w:rPr>
          <w:color w:val="0000FF"/>
          <w:u w:val="single"/>
        </w:rPr>
        <w:t>’</w:t>
      </w:r>
      <w:r>
        <w:rPr>
          <w:color w:val="0000FF"/>
          <w:u w:val="single"/>
        </w:rPr>
        <w:t>alinéa b), a</w:t>
      </w:r>
      <w:r>
        <w:rPr>
          <w:strike/>
          <w:color w:val="C00000"/>
        </w:rPr>
        <w:t>A</w:t>
      </w:r>
      <w:r>
        <w:t>ucun déposant n</w:t>
      </w:r>
      <w:r w:rsidR="003137F0">
        <w:t>’</w:t>
      </w:r>
      <w:r>
        <w:t>est tenu d</w:t>
      </w:r>
      <w:r w:rsidR="003137F0">
        <w:t>’</w:t>
      </w:r>
      <w:r>
        <w:t>utiliser un formulaire national lorsqu</w:t>
      </w:r>
      <w:r w:rsidR="003137F0">
        <w:t>’</w:t>
      </w:r>
      <w:r>
        <w:t>il accomplit les actes visés à l</w:t>
      </w:r>
      <w:r w:rsidR="003137F0">
        <w:t>’</w:t>
      </w:r>
      <w:r>
        <w:t>article 22.</w:t>
      </w:r>
    </w:p>
    <w:p w14:paraId="6760F97D" w14:textId="29926589" w:rsidR="00B311F7" w:rsidRPr="002E10AE" w:rsidRDefault="00B311F7" w:rsidP="003137F0">
      <w:pPr>
        <w:pStyle w:val="Lega"/>
        <w:tabs>
          <w:tab w:val="clear" w:pos="454"/>
          <w:tab w:val="left" w:pos="1134"/>
        </w:tabs>
        <w:ind w:firstLine="567"/>
        <w:rPr>
          <w:rFonts w:cs="Arial"/>
          <w:color w:val="0000FF"/>
          <w:u w:val="single"/>
        </w:rPr>
      </w:pPr>
      <w:r>
        <w:rPr>
          <w:color w:val="0000FF"/>
          <w:u w:val="single"/>
        </w:rPr>
        <w:t>b)</w:t>
      </w:r>
      <w:r>
        <w:rPr>
          <w:color w:val="0000FF"/>
          <w:u w:val="single"/>
        </w:rPr>
        <w:tab/>
        <w:t>Tout office désigné peut prescrire des conditions relatives aux moyens de transmission pour l</w:t>
      </w:r>
      <w:r w:rsidR="003137F0">
        <w:rPr>
          <w:color w:val="0000FF"/>
          <w:u w:val="single"/>
        </w:rPr>
        <w:t>’</w:t>
      </w:r>
      <w:r>
        <w:rPr>
          <w:color w:val="0000FF"/>
          <w:u w:val="single"/>
        </w:rPr>
        <w:t>accomplissement des actes visés à l</w:t>
      </w:r>
      <w:r w:rsidR="003137F0">
        <w:rPr>
          <w:color w:val="0000FF"/>
          <w:u w:val="single"/>
        </w:rPr>
        <w:t>’</w:t>
      </w:r>
      <w:r>
        <w:rPr>
          <w:color w:val="0000FF"/>
          <w:u w:val="single"/>
        </w:rPr>
        <w:t>article 22, pour autant qu</w:t>
      </w:r>
      <w:r w:rsidR="003137F0">
        <w:rPr>
          <w:color w:val="0000FF"/>
          <w:u w:val="single"/>
        </w:rPr>
        <w:t>’</w:t>
      </w:r>
      <w:r>
        <w:rPr>
          <w:color w:val="0000FF"/>
          <w:u w:val="single"/>
        </w:rPr>
        <w:t>au moins l</w:t>
      </w:r>
      <w:r w:rsidR="003137F0">
        <w:rPr>
          <w:color w:val="0000FF"/>
          <w:u w:val="single"/>
        </w:rPr>
        <w:t>’</w:t>
      </w:r>
      <w:r>
        <w:rPr>
          <w:color w:val="0000FF"/>
          <w:u w:val="single"/>
        </w:rPr>
        <w:t xml:space="preserve">un de ces moyens puisse être </w:t>
      </w:r>
      <w:r>
        <w:rPr>
          <w:color w:val="0000FF"/>
          <w:highlight w:val="yellow"/>
          <w:u w:val="single"/>
        </w:rPr>
        <w:t>[</w:t>
      </w:r>
      <w:r>
        <w:rPr>
          <w:strike/>
          <w:color w:val="0000FF"/>
          <w:highlight w:val="yellow"/>
          <w:u w:val="single"/>
        </w:rPr>
        <w:t>facilement</w:t>
      </w:r>
      <w:r>
        <w:rPr>
          <w:color w:val="0000FF"/>
          <w:highlight w:val="yellow"/>
          <w:u w:val="single"/>
        </w:rPr>
        <w:t>]</w:t>
      </w:r>
      <w:r>
        <w:rPr>
          <w:color w:val="0000FF"/>
          <w:u w:val="single"/>
        </w:rPr>
        <w:t xml:space="preserve"> utilisé par le déposant sans qu</w:t>
      </w:r>
      <w:r w:rsidR="003137F0">
        <w:rPr>
          <w:color w:val="0000FF"/>
          <w:u w:val="single"/>
        </w:rPr>
        <w:t>’</w:t>
      </w:r>
      <w:r>
        <w:rPr>
          <w:color w:val="0000FF"/>
          <w:u w:val="single"/>
        </w:rPr>
        <w:t>il soit nécessaire</w:t>
      </w:r>
      <w:r w:rsidR="003137F0">
        <w:rPr>
          <w:color w:val="0000FF"/>
          <w:u w:val="single"/>
        </w:rPr>
        <w:t> :</w:t>
      </w:r>
    </w:p>
    <w:p w14:paraId="179F0BDE" w14:textId="2B70A115" w:rsidR="003137F0" w:rsidRDefault="00B311F7" w:rsidP="003137F0">
      <w:pPr>
        <w:pStyle w:val="Lega"/>
        <w:tabs>
          <w:tab w:val="clear" w:pos="454"/>
          <w:tab w:val="left" w:pos="1701"/>
        </w:tabs>
        <w:ind w:firstLine="1134"/>
        <w:rPr>
          <w:color w:val="0000FF"/>
          <w:u w:val="single"/>
        </w:rPr>
      </w:pPr>
      <w:r>
        <w:rPr>
          <w:color w:val="0000FF"/>
          <w:u w:val="single"/>
        </w:rPr>
        <w:t>i)</w:t>
      </w:r>
      <w:r>
        <w:rPr>
          <w:color w:val="0000FF"/>
          <w:u w:val="single"/>
        </w:rPr>
        <w:tab/>
        <w:t>de disposer d</w:t>
      </w:r>
      <w:r w:rsidR="003137F0">
        <w:rPr>
          <w:color w:val="0000FF"/>
          <w:u w:val="single"/>
        </w:rPr>
        <w:t>’</w:t>
      </w:r>
      <w:r>
        <w:rPr>
          <w:color w:val="0000FF"/>
          <w:u w:val="single"/>
        </w:rPr>
        <w:t>un domicile ou d</w:t>
      </w:r>
      <w:r w:rsidR="003137F0">
        <w:rPr>
          <w:color w:val="0000FF"/>
          <w:u w:val="single"/>
        </w:rPr>
        <w:t>’</w:t>
      </w:r>
      <w:r>
        <w:rPr>
          <w:color w:val="0000FF"/>
          <w:u w:val="single"/>
        </w:rPr>
        <w:t>une adresse dans l</w:t>
      </w:r>
      <w:r w:rsidR="003137F0">
        <w:rPr>
          <w:color w:val="0000FF"/>
          <w:u w:val="single"/>
        </w:rPr>
        <w:t>’</w:t>
      </w:r>
      <w:r>
        <w:rPr>
          <w:color w:val="0000FF"/>
          <w:u w:val="single"/>
        </w:rPr>
        <w:t>État de l</w:t>
      </w:r>
      <w:r w:rsidR="003137F0">
        <w:rPr>
          <w:color w:val="0000FF"/>
          <w:u w:val="single"/>
        </w:rPr>
        <w:t>’</w:t>
      </w:r>
      <w:r>
        <w:rPr>
          <w:color w:val="0000FF"/>
          <w:u w:val="single"/>
        </w:rPr>
        <w:t>office désigné;</w:t>
      </w:r>
    </w:p>
    <w:p w14:paraId="7B56A3FD" w14:textId="2CAFEBD5" w:rsidR="003137F0" w:rsidRDefault="00B311F7" w:rsidP="003137F0">
      <w:pPr>
        <w:pStyle w:val="Lega"/>
        <w:tabs>
          <w:tab w:val="clear" w:pos="454"/>
          <w:tab w:val="left" w:pos="1701"/>
        </w:tabs>
        <w:ind w:firstLine="1134"/>
        <w:rPr>
          <w:color w:val="0000FF"/>
          <w:u w:val="single"/>
        </w:rPr>
      </w:pPr>
      <w:r>
        <w:rPr>
          <w:color w:val="0000FF"/>
          <w:u w:val="single"/>
        </w:rPr>
        <w:t>ii)</w:t>
      </w:r>
      <w:r>
        <w:rPr>
          <w:color w:val="0000FF"/>
          <w:u w:val="single"/>
        </w:rPr>
        <w:tab/>
        <w:t>de désigner un mandataire ayant le droit d</w:t>
      </w:r>
      <w:r w:rsidR="003137F0">
        <w:rPr>
          <w:color w:val="0000FF"/>
          <w:u w:val="single"/>
        </w:rPr>
        <w:t>’</w:t>
      </w:r>
      <w:r>
        <w:rPr>
          <w:color w:val="0000FF"/>
          <w:u w:val="single"/>
        </w:rPr>
        <w:t>exercer auprès de cet office;  ou</w:t>
      </w:r>
    </w:p>
    <w:p w14:paraId="765E3F35" w14:textId="18AAA5D8" w:rsidR="003137F0" w:rsidRDefault="00B311F7" w:rsidP="003137F0">
      <w:pPr>
        <w:pStyle w:val="Lega"/>
        <w:tabs>
          <w:tab w:val="clear" w:pos="454"/>
          <w:tab w:val="left" w:pos="1701"/>
        </w:tabs>
        <w:ind w:firstLine="1134"/>
        <w:rPr>
          <w:color w:val="0000FF"/>
          <w:u w:val="single"/>
        </w:rPr>
      </w:pPr>
      <w:r>
        <w:rPr>
          <w:color w:val="0000FF"/>
          <w:u w:val="single"/>
        </w:rPr>
        <w:t>iii)</w:t>
      </w:r>
      <w:r>
        <w:rPr>
          <w:color w:val="0000FF"/>
          <w:u w:val="single"/>
        </w:rPr>
        <w:tab/>
        <w:t>de fournir des renseignements au</w:t>
      </w:r>
      <w:r w:rsidR="008544D9">
        <w:rPr>
          <w:color w:val="0000FF"/>
          <w:u w:val="single"/>
        </w:rPr>
        <w:noBreakHyphen/>
      </w:r>
      <w:r>
        <w:rPr>
          <w:color w:val="0000FF"/>
          <w:u w:val="single"/>
        </w:rPr>
        <w:t xml:space="preserve">delà du minimum requis pour identifier la demande internationale et communiquer avec le déposant </w:t>
      </w:r>
      <w:r>
        <w:rPr>
          <w:color w:val="0000FF"/>
          <w:highlight w:val="yellow"/>
          <w:u w:val="single"/>
        </w:rPr>
        <w:t>[ou, le cas échéant, avec le mandataire]</w:t>
      </w:r>
      <w:r>
        <w:rPr>
          <w:color w:val="0000FF"/>
          <w:u w:val="single"/>
        </w:rPr>
        <w:t>.</w:t>
      </w:r>
    </w:p>
    <w:p w14:paraId="3D6718FD" w14:textId="470D5A3B" w:rsidR="00B311F7" w:rsidRPr="002E10AE" w:rsidRDefault="00B311F7" w:rsidP="003137F0">
      <w:pPr>
        <w:pStyle w:val="Lega"/>
        <w:tabs>
          <w:tab w:val="clear" w:pos="454"/>
          <w:tab w:val="left" w:pos="1134"/>
        </w:tabs>
        <w:ind w:firstLine="567"/>
        <w:rPr>
          <w:rFonts w:cs="Arial"/>
          <w:color w:val="0000FF"/>
          <w:u w:val="single"/>
        </w:rPr>
      </w:pPr>
      <w:r>
        <w:rPr>
          <w:color w:val="0000FF"/>
          <w:u w:val="single"/>
        </w:rPr>
        <w:t>c)</w:t>
      </w:r>
      <w:r>
        <w:rPr>
          <w:color w:val="0000FF"/>
          <w:u w:val="single"/>
        </w:rPr>
        <w:tab/>
        <w:t>Chaque office désigné notifie au Bureau international toute condition visée à l</w:t>
      </w:r>
      <w:r w:rsidR="003137F0">
        <w:rPr>
          <w:color w:val="0000FF"/>
          <w:u w:val="single"/>
        </w:rPr>
        <w:t>’</w:t>
      </w:r>
      <w:r>
        <w:rPr>
          <w:color w:val="0000FF"/>
          <w:u w:val="single"/>
        </w:rPr>
        <w:t>alinéa b).  Le Bureau international publie à bref délai toute notification de ce type dans la gazet</w:t>
      </w:r>
      <w:r w:rsidR="008544D9">
        <w:rPr>
          <w:color w:val="0000FF"/>
          <w:u w:val="single"/>
        </w:rPr>
        <w:t>te.  Le</w:t>
      </w:r>
      <w:r>
        <w:rPr>
          <w:color w:val="0000FF"/>
          <w:u w:val="single"/>
        </w:rPr>
        <w:t>s conditions prennent effet au plus tôt deux mois après la date de leur publication dans la gazette.</w:t>
      </w:r>
    </w:p>
    <w:p w14:paraId="37367D66" w14:textId="47EA5D9B" w:rsidR="00B311F7" w:rsidRPr="002E10AE" w:rsidRDefault="00B311F7" w:rsidP="00105987">
      <w:pPr>
        <w:pStyle w:val="LegSubRule"/>
        <w:keepNext w:val="0"/>
        <w:keepLines w:val="0"/>
        <w:outlineLvl w:val="0"/>
        <w:rPr>
          <w:rFonts w:cs="Arial"/>
          <w:i/>
          <w:iCs/>
        </w:rPr>
      </w:pPr>
      <w:bookmarkStart w:id="4" w:name="_Toc188454090"/>
      <w:r>
        <w:t>49.5 et 49.6   </w:t>
      </w:r>
      <w:r>
        <w:rPr>
          <w:i/>
        </w:rPr>
        <w:t>[Sans changement]</w:t>
      </w:r>
      <w:bookmarkEnd w:id="4"/>
    </w:p>
    <w:p w14:paraId="77459037" w14:textId="07F41101" w:rsidR="00B311F7" w:rsidRPr="002E10AE" w:rsidRDefault="00B311F7" w:rsidP="002E10AE">
      <w:pPr>
        <w:pStyle w:val="LegTitle"/>
        <w:rPr>
          <w:rFonts w:cs="Arial"/>
          <w:color w:val="0000FF"/>
          <w:szCs w:val="22"/>
          <w:u w:val="single"/>
        </w:rPr>
      </w:pPr>
      <w:bookmarkStart w:id="5" w:name="_Toc188454091"/>
      <w:r>
        <w:lastRenderedPageBreak/>
        <w:t xml:space="preserve">Règle 82 </w:t>
      </w:r>
      <w:r w:rsidR="003137F0">
        <w:rPr>
          <w:vanish/>
        </w:rPr>
        <w:t>–</w:t>
      </w:r>
      <w:r>
        <w:t xml:space="preserve"> </w:t>
      </w:r>
      <w:r>
        <w:br/>
      </w:r>
      <w:bookmarkStart w:id="6" w:name="_Hlk182558908"/>
      <w:r>
        <w:t xml:space="preserve">Perturbations dans le service postal </w:t>
      </w:r>
      <w:r>
        <w:rPr>
          <w:color w:val="0000FF"/>
          <w:u w:val="single"/>
        </w:rPr>
        <w:t>ou les moyens électroniques</w:t>
      </w:r>
      <w:bookmarkEnd w:id="6"/>
      <w:r>
        <w:rPr>
          <w:color w:val="0000FF"/>
          <w:u w:val="single"/>
        </w:rPr>
        <w:t xml:space="preserve"> de transmission</w:t>
      </w:r>
      <w:bookmarkEnd w:id="5"/>
    </w:p>
    <w:p w14:paraId="42BA8AD0" w14:textId="0515DA61" w:rsidR="00B311F7" w:rsidRPr="002E10AE" w:rsidRDefault="00B311F7" w:rsidP="00B311F7">
      <w:pPr>
        <w:pStyle w:val="LegSubRule"/>
        <w:rPr>
          <w:rFonts w:cs="Arial"/>
          <w:szCs w:val="22"/>
        </w:rPr>
      </w:pPr>
      <w:bookmarkStart w:id="7" w:name="_Toc188454092"/>
      <w:r>
        <w:t>82.1   </w:t>
      </w:r>
      <w:r>
        <w:rPr>
          <w:i/>
        </w:rPr>
        <w:t>[Sans changement]</w:t>
      </w:r>
      <w:bookmarkEnd w:id="7"/>
    </w:p>
    <w:p w14:paraId="096C18B8" w14:textId="32677143" w:rsidR="00B311F7" w:rsidRPr="002E10AE" w:rsidRDefault="00B311F7" w:rsidP="00B311F7">
      <w:pPr>
        <w:pStyle w:val="LegSubRule"/>
        <w:rPr>
          <w:rFonts w:cs="Arial"/>
          <w:szCs w:val="22"/>
        </w:rPr>
      </w:pPr>
      <w:bookmarkStart w:id="8" w:name="_Toc188454093"/>
      <w:bookmarkStart w:id="9" w:name="_Hlk188002407"/>
      <w:r>
        <w:rPr>
          <w:color w:val="0000FF"/>
          <w:u w:val="single"/>
        </w:rPr>
        <w:t>82.2</w:t>
      </w:r>
      <w:r>
        <w:rPr>
          <w:color w:val="0000FF"/>
        </w:rPr>
        <w:t>   </w:t>
      </w:r>
      <w:r>
        <w:rPr>
          <w:i/>
          <w:iCs/>
          <w:color w:val="0000FF"/>
          <w:u w:val="single"/>
        </w:rPr>
        <w:t>Indisponibilité des moyens de transmission électronique</w:t>
      </w:r>
      <w:bookmarkEnd w:id="8"/>
    </w:p>
    <w:p w14:paraId="12FD0571" w14:textId="73019C67" w:rsidR="00B311F7" w:rsidRPr="003137F0" w:rsidRDefault="00B311F7" w:rsidP="003137F0">
      <w:pPr>
        <w:pStyle w:val="Lega"/>
        <w:tabs>
          <w:tab w:val="clear" w:pos="454"/>
          <w:tab w:val="left" w:pos="1134"/>
        </w:tabs>
        <w:ind w:firstLine="567"/>
        <w:rPr>
          <w:rFonts w:cs="Arial"/>
          <w:color w:val="0000FF"/>
          <w:szCs w:val="22"/>
        </w:rPr>
      </w:pPr>
      <w:r w:rsidRPr="003137F0">
        <w:rPr>
          <w:color w:val="0000FF"/>
          <w:u w:val="single"/>
        </w:rPr>
        <w:t>a)</w:t>
      </w:r>
      <w:r w:rsidRPr="003137F0">
        <w:rPr>
          <w:color w:val="0000FF"/>
          <w:u w:val="single"/>
        </w:rPr>
        <w:tab/>
        <w:t>Toute partie intéressée peut apporter la preuve qu</w:t>
      </w:r>
      <w:r w:rsidR="003137F0">
        <w:rPr>
          <w:color w:val="0000FF"/>
          <w:u w:val="single"/>
        </w:rPr>
        <w:t>’</w:t>
      </w:r>
      <w:r w:rsidRPr="003137F0">
        <w:rPr>
          <w:color w:val="0000FF"/>
          <w:u w:val="single"/>
        </w:rPr>
        <w:t xml:space="preserve">elle a tenté de remettre un document </w:t>
      </w:r>
      <w:r w:rsidRPr="003137F0">
        <w:rPr>
          <w:color w:val="0000FF"/>
          <w:highlight w:val="yellow"/>
          <w:u w:val="single"/>
        </w:rPr>
        <w:t>[ou de verser une taxe]</w:t>
      </w:r>
      <w:r w:rsidRPr="003137F0">
        <w:rPr>
          <w:color w:val="0000FF"/>
          <w:u w:val="single"/>
        </w:rPr>
        <w:t xml:space="preserve"> afin de respecter le délai applicable selon l</w:t>
      </w:r>
      <w:r w:rsidR="003137F0">
        <w:rPr>
          <w:color w:val="0000FF"/>
          <w:u w:val="single"/>
        </w:rPr>
        <w:t>’</w:t>
      </w:r>
      <w:r w:rsidRPr="003137F0">
        <w:rPr>
          <w:color w:val="0000FF"/>
          <w:u w:val="single"/>
        </w:rPr>
        <w:t>article 22 ou 39.1) par un moyen de transmission électronique prescrit en vertu de la règle 49.4.b), mais que la transmission n</w:t>
      </w:r>
      <w:r w:rsidR="003137F0">
        <w:rPr>
          <w:color w:val="0000FF"/>
          <w:u w:val="single"/>
        </w:rPr>
        <w:t>’</w:t>
      </w:r>
      <w:r w:rsidRPr="003137F0">
        <w:rPr>
          <w:color w:val="0000FF"/>
          <w:u w:val="single"/>
        </w:rPr>
        <w:t>a pas abouti pour cause d</w:t>
      </w:r>
      <w:r w:rsidR="003137F0">
        <w:rPr>
          <w:color w:val="0000FF"/>
          <w:u w:val="single"/>
        </w:rPr>
        <w:t>’</w:t>
      </w:r>
      <w:r w:rsidRPr="003137F0">
        <w:rPr>
          <w:color w:val="0000FF"/>
          <w:u w:val="single"/>
        </w:rPr>
        <w:t xml:space="preserve">indisponibilité de ce moyen de transmission pendant </w:t>
      </w:r>
      <w:r w:rsidRPr="003137F0">
        <w:rPr>
          <w:color w:val="0000FF"/>
          <w:highlight w:val="yellow"/>
          <w:u w:val="single"/>
        </w:rPr>
        <w:t>[une longue période] [au moins une heure]</w:t>
      </w:r>
      <w:r w:rsidRPr="003137F0">
        <w:rPr>
          <w:color w:val="0000FF"/>
          <w:u w:val="single"/>
        </w:rPr>
        <w:t xml:space="preserve"> </w:t>
      </w:r>
      <w:r w:rsidRPr="003137F0">
        <w:rPr>
          <w:color w:val="0000FF"/>
          <w:highlight w:val="yellow"/>
          <w:u w:val="single"/>
        </w:rPr>
        <w:t xml:space="preserve">le </w:t>
      </w:r>
      <w:r w:rsidRPr="003137F0">
        <w:rPr>
          <w:strike/>
          <w:color w:val="0000FF"/>
          <w:highlight w:val="yellow"/>
          <w:u w:val="single"/>
        </w:rPr>
        <w:t>dernier</w:t>
      </w:r>
      <w:r w:rsidRPr="003137F0">
        <w:rPr>
          <w:color w:val="0000FF"/>
          <w:highlight w:val="yellow"/>
          <w:u w:val="single"/>
        </w:rPr>
        <w:t xml:space="preserve"> jour </w:t>
      </w:r>
      <w:r w:rsidRPr="003137F0">
        <w:rPr>
          <w:strike/>
          <w:color w:val="0000FF"/>
          <w:highlight w:val="yellow"/>
          <w:u w:val="single"/>
        </w:rPr>
        <w:t>précédant</w:t>
      </w:r>
      <w:r w:rsidRPr="003137F0">
        <w:rPr>
          <w:color w:val="0000FF"/>
          <w:highlight w:val="yellow"/>
          <w:u w:val="single"/>
        </w:rPr>
        <w:t xml:space="preserve"> de l</w:t>
      </w:r>
      <w:r w:rsidR="003137F0">
        <w:rPr>
          <w:color w:val="0000FF"/>
          <w:highlight w:val="yellow"/>
          <w:u w:val="single"/>
        </w:rPr>
        <w:t>’</w:t>
      </w:r>
      <w:r w:rsidRPr="003137F0">
        <w:rPr>
          <w:color w:val="0000FF"/>
          <w:highlight w:val="yellow"/>
          <w:u w:val="single"/>
        </w:rPr>
        <w:t>expiration</w:t>
      </w:r>
      <w:r w:rsidRPr="003137F0">
        <w:rPr>
          <w:color w:val="0000FF"/>
          <w:u w:val="single"/>
        </w:rPr>
        <w:t xml:space="preserve"> du délai applicable selon l</w:t>
      </w:r>
      <w:r w:rsidR="003137F0">
        <w:rPr>
          <w:color w:val="0000FF"/>
          <w:u w:val="single"/>
        </w:rPr>
        <w:t>’</w:t>
      </w:r>
      <w:r w:rsidRPr="003137F0">
        <w:rPr>
          <w:color w:val="0000FF"/>
          <w:u w:val="single"/>
        </w:rPr>
        <w:t>article 22 ou 39.1) et qu</w:t>
      </w:r>
      <w:r w:rsidR="003137F0">
        <w:rPr>
          <w:color w:val="0000FF"/>
          <w:u w:val="single"/>
        </w:rPr>
        <w:t>’</w:t>
      </w:r>
      <w:r w:rsidRPr="003137F0">
        <w:rPr>
          <w:color w:val="0000FF"/>
          <w:u w:val="single"/>
        </w:rPr>
        <w:t xml:space="preserve">aucun autre moyen </w:t>
      </w:r>
      <w:r w:rsidRPr="003137F0">
        <w:rPr>
          <w:color w:val="0000FF"/>
          <w:highlight w:val="yellow"/>
          <w:u w:val="single"/>
        </w:rPr>
        <w:t>[électronique]</w:t>
      </w:r>
      <w:r w:rsidRPr="003137F0">
        <w:rPr>
          <w:color w:val="0000FF"/>
          <w:u w:val="single"/>
        </w:rPr>
        <w:t xml:space="preserve"> prescrit par l</w:t>
      </w:r>
      <w:r w:rsidR="003137F0">
        <w:rPr>
          <w:color w:val="0000FF"/>
          <w:u w:val="single"/>
        </w:rPr>
        <w:t>’</w:t>
      </w:r>
      <w:r w:rsidRPr="003137F0">
        <w:rPr>
          <w:color w:val="0000FF"/>
          <w:u w:val="single"/>
        </w:rPr>
        <w:t>office désigné n</w:t>
      </w:r>
      <w:r w:rsidR="003137F0">
        <w:rPr>
          <w:color w:val="0000FF"/>
          <w:u w:val="single"/>
        </w:rPr>
        <w:t>’</w:t>
      </w:r>
      <w:r w:rsidRPr="003137F0">
        <w:rPr>
          <w:color w:val="0000FF"/>
          <w:u w:val="single"/>
        </w:rPr>
        <w:t xml:space="preserve">était disponible </w:t>
      </w:r>
      <w:r w:rsidRPr="003137F0">
        <w:rPr>
          <w:strike/>
          <w:color w:val="0000FF"/>
          <w:highlight w:val="yellow"/>
          <w:u w:val="single"/>
        </w:rPr>
        <w:t>au cours de la période en question</w:t>
      </w:r>
      <w:r w:rsidRPr="003137F0">
        <w:rPr>
          <w:color w:val="0000FF"/>
          <w:highlight w:val="yellow"/>
          <w:u w:val="single"/>
        </w:rPr>
        <w:t xml:space="preserve"> à cette période</w:t>
      </w:r>
      <w:r w:rsidRPr="003137F0">
        <w:rPr>
          <w:color w:val="0000FF"/>
          <w:u w:val="single"/>
        </w:rPr>
        <w:t>.</w:t>
      </w:r>
    </w:p>
    <w:bookmarkEnd w:id="9"/>
    <w:p w14:paraId="0FC6752E" w14:textId="5B8F8D2D" w:rsidR="00B311F7" w:rsidRPr="002E10AE" w:rsidRDefault="00B311F7" w:rsidP="003137F0">
      <w:pPr>
        <w:pStyle w:val="Lega"/>
        <w:tabs>
          <w:tab w:val="clear" w:pos="454"/>
          <w:tab w:val="left" w:pos="1134"/>
        </w:tabs>
        <w:ind w:firstLine="567"/>
        <w:rPr>
          <w:rFonts w:cs="Arial"/>
          <w:szCs w:val="22"/>
          <w:u w:val="single"/>
        </w:rPr>
      </w:pPr>
      <w:r>
        <w:rPr>
          <w:color w:val="0000FF"/>
          <w:u w:val="single"/>
        </w:rPr>
        <w:t>b)</w:t>
      </w:r>
      <w:r>
        <w:rPr>
          <w:color w:val="0000FF"/>
          <w:u w:val="single"/>
        </w:rPr>
        <w:tab/>
        <w:t>Si la tentative de remise d</w:t>
      </w:r>
      <w:r w:rsidR="003137F0">
        <w:rPr>
          <w:color w:val="0000FF"/>
          <w:u w:val="single"/>
        </w:rPr>
        <w:t>’</w:t>
      </w:r>
      <w:r>
        <w:rPr>
          <w:color w:val="0000FF"/>
          <w:u w:val="single"/>
        </w:rPr>
        <w:t xml:space="preserve">un document </w:t>
      </w:r>
      <w:r>
        <w:rPr>
          <w:color w:val="0000FF"/>
          <w:highlight w:val="yellow"/>
          <w:u w:val="single"/>
        </w:rPr>
        <w:t>[ou le paiement d</w:t>
      </w:r>
      <w:r w:rsidR="003137F0">
        <w:rPr>
          <w:color w:val="0000FF"/>
          <w:highlight w:val="yellow"/>
          <w:u w:val="single"/>
        </w:rPr>
        <w:t>’</w:t>
      </w:r>
      <w:r>
        <w:rPr>
          <w:color w:val="0000FF"/>
          <w:highlight w:val="yellow"/>
          <w:u w:val="single"/>
        </w:rPr>
        <w:t>une taxe]</w:t>
      </w:r>
      <w:r>
        <w:rPr>
          <w:color w:val="0000FF"/>
          <w:u w:val="single"/>
        </w:rPr>
        <w:t xml:space="preserve"> conformément à l</w:t>
      </w:r>
      <w:r w:rsidR="003137F0">
        <w:rPr>
          <w:color w:val="0000FF"/>
          <w:u w:val="single"/>
        </w:rPr>
        <w:t>’</w:t>
      </w:r>
      <w:r>
        <w:rPr>
          <w:color w:val="0000FF"/>
          <w:u w:val="single"/>
        </w:rPr>
        <w:t>alinéa a) est prouvée à la satisfaction de l</w:t>
      </w:r>
      <w:r w:rsidR="003137F0">
        <w:rPr>
          <w:color w:val="0000FF"/>
          <w:u w:val="single"/>
        </w:rPr>
        <w:t>’</w:t>
      </w:r>
      <w:r>
        <w:rPr>
          <w:color w:val="0000FF"/>
          <w:u w:val="single"/>
        </w:rPr>
        <w:t>office national ou de l</w:t>
      </w:r>
      <w:r w:rsidR="003137F0">
        <w:rPr>
          <w:color w:val="0000FF"/>
          <w:u w:val="single"/>
        </w:rPr>
        <w:t>’</w:t>
      </w:r>
      <w:r>
        <w:rPr>
          <w:color w:val="0000FF"/>
          <w:u w:val="single"/>
        </w:rPr>
        <w:t>organisation intergouvernementale, le délai prévu à l</w:t>
      </w:r>
      <w:r w:rsidR="003137F0">
        <w:rPr>
          <w:color w:val="0000FF"/>
          <w:u w:val="single"/>
        </w:rPr>
        <w:t>’</w:t>
      </w:r>
      <w:r>
        <w:rPr>
          <w:color w:val="0000FF"/>
          <w:u w:val="single"/>
        </w:rPr>
        <w:t>article 22 ou à l</w:t>
      </w:r>
      <w:r w:rsidR="003137F0">
        <w:rPr>
          <w:color w:val="0000FF"/>
          <w:u w:val="single"/>
        </w:rPr>
        <w:t>’</w:t>
      </w:r>
      <w:r>
        <w:rPr>
          <w:color w:val="0000FF"/>
          <w:u w:val="single"/>
        </w:rPr>
        <w:t xml:space="preserve">article 39.1) est réputé respecté, à condition que le document </w:t>
      </w:r>
      <w:r>
        <w:rPr>
          <w:color w:val="0000FF"/>
          <w:highlight w:val="yellow"/>
          <w:u w:val="single"/>
        </w:rPr>
        <w:t>[ou la taxe]</w:t>
      </w:r>
      <w:r>
        <w:rPr>
          <w:color w:val="0000FF"/>
          <w:u w:val="single"/>
        </w:rPr>
        <w:t xml:space="preserve"> ait été remis </w:t>
      </w:r>
      <w:r>
        <w:rPr>
          <w:color w:val="0000FF"/>
          <w:highlight w:val="yellow"/>
          <w:u w:val="single"/>
        </w:rPr>
        <w:t>[ou payée]</w:t>
      </w:r>
      <w:r>
        <w:rPr>
          <w:color w:val="0000FF"/>
          <w:u w:val="single"/>
        </w:rPr>
        <w:t xml:space="preserve"> le jour ouvrable suivant celui où ledit moyen de transmission électronique était disponib</w:t>
      </w:r>
      <w:r w:rsidR="008544D9">
        <w:rPr>
          <w:color w:val="0000FF"/>
          <w:u w:val="single"/>
        </w:rPr>
        <w:t>le.  Au</w:t>
      </w:r>
      <w:r>
        <w:rPr>
          <w:color w:val="0000FF"/>
          <w:u w:val="single"/>
        </w:rPr>
        <w:t>cune preuve n</w:t>
      </w:r>
      <w:r w:rsidR="003137F0">
        <w:rPr>
          <w:color w:val="0000FF"/>
          <w:u w:val="single"/>
        </w:rPr>
        <w:t>’</w:t>
      </w:r>
      <w:r>
        <w:rPr>
          <w:color w:val="0000FF"/>
          <w:u w:val="single"/>
        </w:rPr>
        <w:t xml:space="preserve">est </w:t>
      </w:r>
      <w:r>
        <w:rPr>
          <w:color w:val="0000FF"/>
          <w:highlight w:val="yellow"/>
          <w:u w:val="single"/>
        </w:rPr>
        <w:t>[généralement]</w:t>
      </w:r>
      <w:r>
        <w:rPr>
          <w:color w:val="0000FF"/>
          <w:u w:val="single"/>
        </w:rPr>
        <w:t xml:space="preserve"> requise si l</w:t>
      </w:r>
      <w:r w:rsidR="003137F0">
        <w:rPr>
          <w:color w:val="0000FF"/>
          <w:u w:val="single"/>
        </w:rPr>
        <w:t>’</w:t>
      </w:r>
      <w:r>
        <w:rPr>
          <w:color w:val="0000FF"/>
          <w:u w:val="single"/>
        </w:rPr>
        <w:t xml:space="preserve">indisponibilité du moyen de transmission électronique était </w:t>
      </w:r>
      <w:r>
        <w:rPr>
          <w:color w:val="0000FF"/>
          <w:highlight w:val="yellow"/>
          <w:u w:val="single"/>
        </w:rPr>
        <w:t>[</w:t>
      </w:r>
      <w:r>
        <w:rPr>
          <w:strike/>
          <w:color w:val="0000FF"/>
          <w:highlight w:val="yellow"/>
          <w:u w:val="single"/>
        </w:rPr>
        <w:t>ou aurait dû être</w:t>
      </w:r>
      <w:r>
        <w:rPr>
          <w:color w:val="0000FF"/>
          <w:highlight w:val="yellow"/>
          <w:u w:val="single"/>
        </w:rPr>
        <w:t>]</w:t>
      </w:r>
      <w:r>
        <w:rPr>
          <w:color w:val="0000FF"/>
          <w:u w:val="single"/>
        </w:rPr>
        <w:t xml:space="preserve"> connue de l</w:t>
      </w:r>
      <w:r w:rsidR="003137F0">
        <w:rPr>
          <w:color w:val="0000FF"/>
          <w:u w:val="single"/>
        </w:rPr>
        <w:t>’</w:t>
      </w:r>
      <w:r>
        <w:rPr>
          <w:color w:val="0000FF"/>
          <w:u w:val="single"/>
        </w:rPr>
        <w:t>office national ou de l</w:t>
      </w:r>
      <w:r w:rsidR="003137F0">
        <w:rPr>
          <w:color w:val="0000FF"/>
          <w:u w:val="single"/>
        </w:rPr>
        <w:t>’</w:t>
      </w:r>
      <w:r>
        <w:rPr>
          <w:color w:val="0000FF"/>
          <w:u w:val="single"/>
        </w:rPr>
        <w:t>organisation intergouvernementale.</w:t>
      </w:r>
    </w:p>
    <w:p w14:paraId="6DD93A3B" w14:textId="18B52257" w:rsidR="002E10AE" w:rsidRDefault="002E10AE" w:rsidP="003137F0">
      <w:pPr>
        <w:spacing w:before="720"/>
        <w:ind w:left="5533"/>
      </w:pPr>
      <w:r>
        <w:t>[Fin]</w:t>
      </w:r>
    </w:p>
    <w:sectPr w:rsidR="002E10AE" w:rsidSect="00804DB7">
      <w:headerReference w:type="default" r:id="rId8"/>
      <w:footerReference w:type="default" r:id="rId9"/>
      <w:headerReference w:type="first" r:id="rId10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F87AD" w14:textId="77777777" w:rsidR="00B37034" w:rsidRDefault="00B37034" w:rsidP="00B311F7">
      <w:r>
        <w:separator/>
      </w:r>
    </w:p>
  </w:endnote>
  <w:endnote w:type="continuationSeparator" w:id="0">
    <w:p w14:paraId="6DBCBD2F" w14:textId="77777777" w:rsidR="00B37034" w:rsidRDefault="00B37034" w:rsidP="00B311F7">
      <w:r>
        <w:continuationSeparator/>
      </w:r>
    </w:p>
  </w:endnote>
  <w:endnote w:type="continuationNotice" w:id="1">
    <w:p w14:paraId="14816E67" w14:textId="77777777" w:rsidR="008544D9" w:rsidRDefault="008544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97111" w14:textId="77777777" w:rsidR="008544D9" w:rsidRDefault="00854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90B1F" w14:textId="77777777" w:rsidR="00B37034" w:rsidRDefault="00B37034" w:rsidP="00B311F7">
      <w:r>
        <w:separator/>
      </w:r>
    </w:p>
  </w:footnote>
  <w:footnote w:type="continuationSeparator" w:id="0">
    <w:p w14:paraId="746B50A0" w14:textId="77777777" w:rsidR="00B37034" w:rsidRDefault="00B37034" w:rsidP="00B311F7">
      <w:r>
        <w:continuationSeparator/>
      </w:r>
    </w:p>
  </w:footnote>
  <w:footnote w:type="continuationNotice" w:id="1">
    <w:p w14:paraId="34FB6AB5" w14:textId="77777777" w:rsidR="008544D9" w:rsidRDefault="008544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F1B48" w14:textId="77777777" w:rsidR="00105987" w:rsidRDefault="00105987" w:rsidP="00105987">
    <w:pPr>
      <w:pStyle w:val="Header"/>
      <w:jc w:val="right"/>
    </w:pPr>
    <w:r>
      <w:t>PCT/WG/18</w:t>
    </w:r>
  </w:p>
  <w:p w14:paraId="3186484A" w14:textId="084AE091" w:rsidR="00105987" w:rsidRDefault="00105987" w:rsidP="003137F0">
    <w:pPr>
      <w:pStyle w:val="Header"/>
      <w:spacing w:after="480"/>
      <w:jc w:val="right"/>
    </w:pPr>
    <w:r>
      <w:t>Document n° 2, page 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973B0" w14:textId="4780397E" w:rsidR="002E10AE" w:rsidRDefault="002E10AE" w:rsidP="002E10AE">
    <w:pPr>
      <w:pStyle w:val="Header"/>
      <w:jc w:val="right"/>
    </w:pPr>
    <w:r>
      <w:t>PCT/WG/18</w:t>
    </w:r>
  </w:p>
  <w:p w14:paraId="7F43534F" w14:textId="5EC11792" w:rsidR="002E10AE" w:rsidRDefault="002E10AE" w:rsidP="002E10AE">
    <w:pPr>
      <w:pStyle w:val="Header"/>
      <w:jc w:val="right"/>
    </w:pPr>
    <w:r>
      <w:t>Document n° 2</w:t>
    </w:r>
  </w:p>
  <w:p w14:paraId="4EA3BC71" w14:textId="64865E27" w:rsidR="002E10AE" w:rsidRDefault="002E10AE" w:rsidP="003137F0">
    <w:pPr>
      <w:pStyle w:val="Header"/>
      <w:spacing w:after="240"/>
      <w:jc w:val="right"/>
    </w:pPr>
    <w:r>
      <w:t>18 février 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 w16cid:durableId="993876602">
    <w:abstractNumId w:val="1"/>
  </w:num>
  <w:num w:numId="2" w16cid:durableId="50471161">
    <w:abstractNumId w:val="2"/>
  </w:num>
  <w:num w:numId="3" w16cid:durableId="571815923">
    <w:abstractNumId w:val="5"/>
  </w:num>
  <w:num w:numId="4" w16cid:durableId="69929487">
    <w:abstractNumId w:val="4"/>
  </w:num>
  <w:num w:numId="5" w16cid:durableId="1645084852">
    <w:abstractNumId w:val="0"/>
  </w:num>
  <w:num w:numId="6" w16cid:durableId="1986354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F7"/>
    <w:rsid w:val="000F5E56"/>
    <w:rsid w:val="00105987"/>
    <w:rsid w:val="002163BF"/>
    <w:rsid w:val="00221A5A"/>
    <w:rsid w:val="002404E7"/>
    <w:rsid w:val="002E10AE"/>
    <w:rsid w:val="003137F0"/>
    <w:rsid w:val="003E6531"/>
    <w:rsid w:val="00426CC9"/>
    <w:rsid w:val="00431118"/>
    <w:rsid w:val="00647600"/>
    <w:rsid w:val="00701C90"/>
    <w:rsid w:val="007B240C"/>
    <w:rsid w:val="007D53C7"/>
    <w:rsid w:val="007E5736"/>
    <w:rsid w:val="00804DB7"/>
    <w:rsid w:val="008544D9"/>
    <w:rsid w:val="00880544"/>
    <w:rsid w:val="009172EC"/>
    <w:rsid w:val="00927FB3"/>
    <w:rsid w:val="00976311"/>
    <w:rsid w:val="00B311F7"/>
    <w:rsid w:val="00B37034"/>
    <w:rsid w:val="00B96061"/>
    <w:rsid w:val="00C554EC"/>
    <w:rsid w:val="00CB6251"/>
    <w:rsid w:val="00CC4DA8"/>
    <w:rsid w:val="00DB767E"/>
    <w:rsid w:val="00E53731"/>
    <w:rsid w:val="00EC28B3"/>
    <w:rsid w:val="00F14D69"/>
    <w:rsid w:val="00F60960"/>
    <w:rsid w:val="00F7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AA86101"/>
  <w15:chartTrackingRefBased/>
  <w15:docId w15:val="{F1127493-AF12-4AE8-B492-C7D49861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311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311F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311F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311F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311F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Heading5Char">
    <w:name w:val="Heading 5 Char"/>
    <w:basedOn w:val="DefaultParagraphFont"/>
    <w:link w:val="Heading5"/>
    <w:semiHidden/>
    <w:rsid w:val="00B311F7"/>
    <w:rPr>
      <w:rFonts w:asciiTheme="minorHAnsi" w:eastAsiaTheme="majorEastAsia" w:hAnsiTheme="min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semiHidden/>
    <w:rsid w:val="00B311F7"/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B311F7"/>
    <w:rPr>
      <w:rFonts w:asciiTheme="minorHAnsi" w:eastAsiaTheme="majorEastAsia" w:hAnsiTheme="minorHAnsi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B311F7"/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B311F7"/>
    <w:rPr>
      <w:rFonts w:asciiTheme="minorHAnsi" w:eastAsiaTheme="majorEastAsia" w:hAnsiTheme="minorHAnsi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qFormat/>
    <w:rsid w:val="00B311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31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B311F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B311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1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1F7"/>
    <w:rPr>
      <w:rFonts w:ascii="Arial" w:hAnsi="Arial" w:cs="Arial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B311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1F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1F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1F7"/>
    <w:rPr>
      <w:rFonts w:ascii="Arial" w:hAnsi="Arial" w:cs="Arial"/>
      <w:i/>
      <w:iCs/>
      <w:color w:val="365F9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B311F7"/>
    <w:rPr>
      <w:b/>
      <w:bCs/>
      <w:smallCaps/>
      <w:color w:val="365F91" w:themeColor="accent1" w:themeShade="BF"/>
      <w:spacing w:val="5"/>
    </w:rPr>
  </w:style>
  <w:style w:type="paragraph" w:customStyle="1" w:styleId="LegTitle">
    <w:name w:val="Leg # Title"/>
    <w:basedOn w:val="Normal"/>
    <w:next w:val="Normal"/>
    <w:rsid w:val="00B311F7"/>
    <w:pPr>
      <w:keepNext/>
      <w:keepLines/>
      <w:spacing w:before="240" w:after="240" w:line="360" w:lineRule="auto"/>
      <w:jc w:val="center"/>
    </w:pPr>
    <w:rPr>
      <w:rFonts w:cs="Times New Roman"/>
      <w:b/>
      <w:noProof/>
      <w:snapToGrid w:val="0"/>
    </w:rPr>
  </w:style>
  <w:style w:type="paragraph" w:customStyle="1" w:styleId="LegSubRule">
    <w:name w:val="Leg SubRule #"/>
    <w:basedOn w:val="Normal"/>
    <w:rsid w:val="00B311F7"/>
    <w:pPr>
      <w:keepNext/>
      <w:keepLines/>
      <w:tabs>
        <w:tab w:val="left" w:pos="510"/>
      </w:tabs>
      <w:spacing w:before="119" w:after="240" w:line="360" w:lineRule="auto"/>
      <w:ind w:left="533" w:hanging="533"/>
    </w:pPr>
    <w:rPr>
      <w:rFonts w:cs="Times New Roman"/>
      <w:noProof/>
      <w:snapToGrid w:val="0"/>
    </w:rPr>
  </w:style>
  <w:style w:type="paragraph" w:customStyle="1" w:styleId="Lega">
    <w:name w:val="Leg (a)"/>
    <w:basedOn w:val="Normal"/>
    <w:link w:val="LegaChar"/>
    <w:rsid w:val="00B311F7"/>
    <w:pPr>
      <w:tabs>
        <w:tab w:val="left" w:pos="454"/>
      </w:tabs>
      <w:spacing w:before="119" w:after="240" w:line="360" w:lineRule="auto"/>
    </w:pPr>
    <w:rPr>
      <w:rFonts w:cs="Times New Roman"/>
      <w:noProof/>
      <w:snapToGrid w:val="0"/>
    </w:rPr>
  </w:style>
  <w:style w:type="character" w:customStyle="1" w:styleId="LegaChar">
    <w:name w:val="Leg (a) Char"/>
    <w:link w:val="Lega"/>
    <w:rsid w:val="00B311F7"/>
    <w:rPr>
      <w:rFonts w:ascii="Arial" w:hAnsi="Arial"/>
      <w:noProof/>
      <w:snapToGrid w:val="0"/>
      <w:sz w:val="22"/>
    </w:rPr>
  </w:style>
  <w:style w:type="character" w:styleId="CommentReference">
    <w:name w:val="annotation reference"/>
    <w:basedOn w:val="DefaultParagraphFont"/>
    <w:semiHidden/>
    <w:unhideWhenUsed/>
    <w:rsid w:val="00B311F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11F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11F7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B311F7"/>
    <w:rPr>
      <w:rFonts w:ascii="Arial" w:hAnsi="Arial" w:cs="Arial"/>
      <w:b/>
      <w:bCs/>
      <w:sz w:val="18"/>
    </w:rPr>
  </w:style>
  <w:style w:type="character" w:styleId="Hyperlink">
    <w:name w:val="Hyperlink"/>
    <w:basedOn w:val="DefaultParagraphFont"/>
    <w:semiHidden/>
    <w:unhideWhenUsed/>
    <w:rsid w:val="008544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A5FDB-DF3A-4B44-85A8-996535C7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PCT/WG/18 Paper No. 2</dc:title>
  <dc:subject>Wipo Templates</dc:subject>
  <dc:creator>REISCHLE-PARK Matthias</dc:creator>
  <cp:keywords/>
  <dc:description/>
  <cp:lastModifiedBy>MARLOW Thomas</cp:lastModifiedBy>
  <cp:revision>3</cp:revision>
  <cp:lastPrinted>2025-03-03T12:14:00Z</cp:lastPrinted>
  <dcterms:created xsi:type="dcterms:W3CDTF">2025-03-03T12:14:00Z</dcterms:created>
  <dcterms:modified xsi:type="dcterms:W3CDTF">2025-03-03T12:14:00Z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2025-02-18T23:11:28Z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61413f82-e21b-42b2-a940-81609e46a764</vt:lpwstr>
  </property>
  <property fmtid="{D5CDD505-2E9C-101B-9397-08002B2CF9AE}" pid="8" name="MSIP_Label_20773ee6-353b-4fb9-a59d-0b94c8c67bea_ContentBits">
    <vt:lpwstr>0</vt:lpwstr>
  </property>
</Properties>
</file>