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2ACA2" w14:textId="6ED7AEF9" w:rsidR="008B2CC1" w:rsidRPr="008B2CC1" w:rsidRDefault="005D776F" w:rsidP="00F11D94">
      <w:pPr>
        <w:spacing w:after="120"/>
        <w:jc w:val="right"/>
      </w:pPr>
      <w:r w:rsidRPr="0042194C">
        <w:rPr>
          <w:noProof/>
          <w:lang w:val="en-US"/>
        </w:rPr>
        <w:drawing>
          <wp:inline distT="0" distB="0" distL="0" distR="0" wp14:anchorId="4D39052F" wp14:editId="1F88B58A">
            <wp:extent cx="3246120" cy="1630680"/>
            <wp:effectExtent l="0" t="0" r="0" b="7620"/>
            <wp:docPr id="1213679441" name="Picture 121367944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77D2E182" wp14:editId="6360724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fl="http://schemas.microsoft.com/office/word/2024/wordml/sdtformatlock">
            <w:pict>
              <v:line w14:anchorId="6AF83756"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A759580" w14:textId="4567C343" w:rsidR="008B2CC1" w:rsidRPr="001024FE" w:rsidRDefault="00E90B8B" w:rsidP="001024FE">
      <w:pPr>
        <w:jc w:val="right"/>
        <w:rPr>
          <w:rFonts w:ascii="Arial Black" w:hAnsi="Arial Black"/>
          <w:caps/>
          <w:sz w:val="15"/>
          <w:szCs w:val="15"/>
        </w:rPr>
      </w:pPr>
      <w:r>
        <w:rPr>
          <w:rFonts w:ascii="Arial Black" w:hAnsi="Arial Black"/>
          <w:caps/>
          <w:sz w:val="15"/>
        </w:rPr>
        <w:t>PCT/WG/18/</w:t>
      </w:r>
      <w:bookmarkStart w:id="0" w:name="Code"/>
      <w:bookmarkEnd w:id="0"/>
      <w:r>
        <w:rPr>
          <w:rFonts w:ascii="Arial Black" w:hAnsi="Arial Black"/>
          <w:caps/>
          <w:sz w:val="15"/>
        </w:rPr>
        <w:t>16</w:t>
      </w:r>
    </w:p>
    <w:p w14:paraId="7BF51062" w14:textId="20D5D1AE"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03828B59" w14:textId="5A84043C"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20 января 2025 года</w:t>
      </w:r>
    </w:p>
    <w:bookmarkEnd w:id="2"/>
    <w:p w14:paraId="42287FAB" w14:textId="77777777" w:rsidR="008B2CC1" w:rsidRPr="003845C1" w:rsidRDefault="00E90B8B" w:rsidP="00FB3E54">
      <w:pPr>
        <w:spacing w:after="600"/>
        <w:rPr>
          <w:b/>
          <w:sz w:val="28"/>
          <w:szCs w:val="28"/>
        </w:rPr>
      </w:pPr>
      <w:r>
        <w:rPr>
          <w:b/>
          <w:sz w:val="28"/>
        </w:rPr>
        <w:t>Рабочая группа по Договору о патентной кооперации (PCT)</w:t>
      </w:r>
    </w:p>
    <w:p w14:paraId="26B68EA7" w14:textId="77777777" w:rsidR="008B2CC1" w:rsidRPr="003845C1" w:rsidRDefault="00946221" w:rsidP="008B2CC1">
      <w:pPr>
        <w:rPr>
          <w:b/>
          <w:sz w:val="24"/>
          <w:szCs w:val="24"/>
        </w:rPr>
      </w:pPr>
      <w:r>
        <w:rPr>
          <w:b/>
          <w:sz w:val="24"/>
        </w:rPr>
        <w:t>Восемнадцатая сессия</w:t>
      </w:r>
    </w:p>
    <w:p w14:paraId="448B53BE" w14:textId="77777777" w:rsidR="008B2CC1" w:rsidRPr="009F3BF9" w:rsidRDefault="00E90B8B" w:rsidP="00CE65D4">
      <w:pPr>
        <w:spacing w:after="720"/>
      </w:pPr>
      <w:r>
        <w:rPr>
          <w:b/>
          <w:sz w:val="24"/>
        </w:rPr>
        <w:t>Женева, 18–20 февраля 2025 года</w:t>
      </w:r>
    </w:p>
    <w:p w14:paraId="301866E8" w14:textId="10D0B9AE" w:rsidR="008B2CC1" w:rsidRPr="009F3BF9" w:rsidRDefault="00493F17" w:rsidP="00CE65D4">
      <w:pPr>
        <w:spacing w:after="360"/>
        <w:rPr>
          <w:caps/>
          <w:sz w:val="24"/>
        </w:rPr>
      </w:pPr>
      <w:bookmarkStart w:id="3" w:name="TitleOfDoc"/>
      <w:r>
        <w:rPr>
          <w:caps/>
          <w:sz w:val="24"/>
        </w:rPr>
        <w:t>Договор ВОИС об интеллектуальной собственности, генетических ресурсах и традиционных знаниях, связанных с генетическими ресурсами</w:t>
      </w:r>
    </w:p>
    <w:p w14:paraId="3330A5AD" w14:textId="526147D8" w:rsidR="008B2CC1" w:rsidRPr="004D39C4" w:rsidRDefault="00493F17" w:rsidP="00CE65D4">
      <w:pPr>
        <w:spacing w:after="960"/>
        <w:rPr>
          <w:i/>
        </w:rPr>
      </w:pPr>
      <w:bookmarkStart w:id="4" w:name="Prepared"/>
      <w:bookmarkEnd w:id="3"/>
      <w:r>
        <w:rPr>
          <w:i/>
        </w:rPr>
        <w:t>Документ подготовлен Международным бюро</w:t>
      </w:r>
    </w:p>
    <w:bookmarkEnd w:id="4"/>
    <w:p w14:paraId="7098019D" w14:textId="53CFFFBB" w:rsidR="002928D3" w:rsidRDefault="00493F17" w:rsidP="00493F17">
      <w:pPr>
        <w:pStyle w:val="Heading1"/>
      </w:pPr>
      <w:r>
        <w:t>Резюме</w:t>
      </w:r>
    </w:p>
    <w:p w14:paraId="4C620306" w14:textId="42F1BBD6" w:rsidR="00493F17" w:rsidRDefault="00493F17" w:rsidP="00493F17">
      <w:pPr>
        <w:pStyle w:val="ONUME"/>
      </w:pPr>
      <w:r>
        <w:t xml:space="preserve">В мае 2024 года государства – члены ВОИС приняли на основе консенсуса Договор ВОИС об интеллектуальной собственности, генетических ресурсах и традиционных знаниях, связанных с генетическими ресурсами («Договор»).  Сноска к статье 7 этого Договора непосредственно касается Договора о патентной кооперации (PCT).  </w:t>
      </w:r>
    </w:p>
    <w:p w14:paraId="6CF4DE49" w14:textId="6D9283F8" w:rsidR="00493F17" w:rsidRDefault="00E22081" w:rsidP="001D2E20">
      <w:pPr>
        <w:pStyle w:val="Heading1"/>
      </w:pPr>
      <w:r>
        <w:t>Договор</w:t>
      </w:r>
    </w:p>
    <w:p w14:paraId="09F460CC" w14:textId="0E45798A" w:rsidR="00493F17" w:rsidRDefault="001D2E20" w:rsidP="00493F17">
      <w:pPr>
        <w:pStyle w:val="ONUME"/>
      </w:pPr>
      <w:r>
        <w:t>После более чем 20-летних переговоров в Межправительственном комитете ВОИС по интеллектуальной собственности, генетическим ресурсам, традиционным знаниям и фольклору 13–24 мая 2024 года состоялась Дипломатическая конференция, по итогам которой был заключен Договор (документ GRATK/DC/7)</w:t>
      </w:r>
      <w:r w:rsidR="00314A2D">
        <w:rPr>
          <w:rStyle w:val="FootnoteReference"/>
        </w:rPr>
        <w:footnoteReference w:id="2"/>
      </w:r>
      <w:r>
        <w:t>.</w:t>
      </w:r>
    </w:p>
    <w:p w14:paraId="1FC0999D" w14:textId="06356385" w:rsidR="00E22081" w:rsidRDefault="00E22081" w:rsidP="00E22081">
      <w:pPr>
        <w:pStyle w:val="ONUME"/>
      </w:pPr>
      <w:r>
        <w:t>Договор призван повысить эффективность, прозрачность и качество патентной системы в отношении генетических ресурсов и традиционных знаний, связанных с генетическими ресурсам (далее «связанные с ними ТЗ»), а также предотвратить ошибочную выдачу патентов на изобретения, которые не являются новыми или не имеют изобретательского уровня в отношении генетических ресурсов и связанных с ними ТЗ.</w:t>
      </w:r>
    </w:p>
    <w:p w14:paraId="28919116" w14:textId="18F61E2F" w:rsidR="00E22081" w:rsidRDefault="00E22081" w:rsidP="004C72D2">
      <w:pPr>
        <w:pStyle w:val="ONUME"/>
      </w:pPr>
      <w:r>
        <w:lastRenderedPageBreak/>
        <w:t>Договор устанавливает требование об обязательном патентном раскрытии: патентные заявители должны раскрыть информацию о стране происхождения генетических ресурсов и/или коренных народах или местной общине, предоставивших связанные с генетическими ресурсами ТЗ, если заявленное изобретение «основано на» генетических ресурсах и/или связанных с ними ТЗ.  Если такая информация неизвестна, необходимо раскрыть источник генетических ресурсов или связанных с ними ТЗ.  Если неизвестно ничего из упомянутого выше, патентный заявитель должен сделать соответствующее заявление.  Патентные ведомства должны давать рекомендации в отношении патентного раскрытия, хоть они и не обязаны проверять подлинность раскрываемой информации.</w:t>
      </w:r>
    </w:p>
    <w:p w14:paraId="4CAFBED8" w14:textId="25234F65" w:rsidR="00E22081" w:rsidRDefault="00E22081" w:rsidP="00E22081">
      <w:pPr>
        <w:pStyle w:val="ONUME"/>
      </w:pPr>
      <w:r>
        <w:t>Непредставление предусмотренной Договором информации ведет к применению надлежащих, эффективных и соразмерных мер.  Договор также предусматривает возможность исправить ошибочную или неверную раскрытую информацию до и после выдачи патента. Если в отношении требования о раскрытии имели место недобросовестные намерения, могут быть предусмотрены санкции или средства правовой защиты на этапе после выдачи патента.  Если не принимать во внимание недобросовестные действия, ни одна из сторон Договора не должна аннулировать, признавать недействительным или объявлять утратившим силу патент исключительно на основании того, что заявитель не раскрыл предусмотренную Договором информацию.</w:t>
      </w:r>
    </w:p>
    <w:p w14:paraId="66FF4D0B" w14:textId="6C660EDA" w:rsidR="00E22081" w:rsidRDefault="00E22081" w:rsidP="00E22081">
      <w:pPr>
        <w:pStyle w:val="ONUME"/>
      </w:pPr>
      <w:r>
        <w:t>С учетом действующего национального законодательства о раскрытии Договор предусматривает положение об отсутствии обратной силы: это означает, что обязательства по Договору не могут распространяться на патентные заявки, которые были поданы до вступления Договора в силу.</w:t>
      </w:r>
    </w:p>
    <w:p w14:paraId="7629D38F" w14:textId="6D4EC61A" w:rsidR="00E22081" w:rsidRDefault="00CE36CA" w:rsidP="00E22081">
      <w:pPr>
        <w:pStyle w:val="ONUME"/>
      </w:pPr>
      <w:r>
        <w:t>Стороны могут создать информационные системы (такие как базы данных) по генетическим ресурсам и связанным с ними традиционным знаниям в консультации, если это необходимо, с коренными народами и местными общинами и другими заинтересованными сторонами с учетом их национальных обстоятельств.  Такие информационные системы должны быть доступны патентным ведомствам для целей проведения поиска и экспертизы в отношении патентных заявок.  Для решения любых профильных вопросов, таких как доступ для ведомств, Ассамблея Договаривающихся сторон Договора может учредить одну или несколько технических рабочих групп.</w:t>
      </w:r>
    </w:p>
    <w:p w14:paraId="5FC78D4D" w14:textId="64BFED47" w:rsidR="00340A71" w:rsidRDefault="00E22081" w:rsidP="00E22081">
      <w:pPr>
        <w:pStyle w:val="ONUME"/>
      </w:pPr>
      <w:r>
        <w:t>Договор предусматривает неотъемлемую процедуру обзора, которая позволит рассмотреть отдельные вопросы через четыре года после вступления этого документа в силу.  В частности, это вопрос возможного распространения требования о раскрытии на другие области интеллектуальной собственности и на дериваты, равно как и другие вопросы, обусловленные появлением новых и перспективных технологий, имеющих отношение к применению Договора.</w:t>
      </w:r>
    </w:p>
    <w:p w14:paraId="6FEEC1FB" w14:textId="6FACE5F6" w:rsidR="00340A71" w:rsidRDefault="00340A71" w:rsidP="00E22081">
      <w:pPr>
        <w:pStyle w:val="ONUME"/>
      </w:pPr>
      <w:r>
        <w:t>Договор также охватывает другие вопросы и включает административные положения. Выше приведено исключительно неофициальное резюме, и государствам-членам предлагается ознакомиться с полным официальным текстом Договора</w:t>
      </w:r>
      <w:r w:rsidR="00340013">
        <w:rPr>
          <w:rStyle w:val="FootnoteReference"/>
        </w:rPr>
        <w:footnoteReference w:id="3"/>
      </w:r>
      <w:r>
        <w:t>.</w:t>
      </w:r>
    </w:p>
    <w:p w14:paraId="1EFE44EC" w14:textId="1FF25F8A" w:rsidR="00E22081" w:rsidRDefault="00E22081" w:rsidP="00E22081">
      <w:pPr>
        <w:pStyle w:val="Heading1"/>
      </w:pPr>
      <w:r>
        <w:t>Связь с PCT</w:t>
      </w:r>
    </w:p>
    <w:p w14:paraId="4527D807" w14:textId="32655A73" w:rsidR="0040130D" w:rsidRDefault="0040130D" w:rsidP="00493F17">
      <w:pPr>
        <w:pStyle w:val="ONUME"/>
      </w:pPr>
      <w:r>
        <w:t>Статья 7 Договора («Связь с другими международными соглашениями») включает сноску со следующим согласованным заявлением:</w:t>
      </w:r>
    </w:p>
    <w:p w14:paraId="6D65BC65" w14:textId="2127E08C" w:rsidR="005C64B5" w:rsidRDefault="00CC77B0" w:rsidP="005C64B5">
      <w:pPr>
        <w:pStyle w:val="ONUME"/>
        <w:numPr>
          <w:ilvl w:val="0"/>
          <w:numId w:val="0"/>
        </w:numPr>
        <w:ind w:left="567"/>
      </w:pPr>
      <w:r>
        <w:t xml:space="preserve">«Согласованное заявление:  Договаривающиеся стороны просят Ассамблею Международного союза патентной кооперации рассмотреть вопрос о необходимости внесения изменений в Инструкцию к РСТ и/или Административную инструкцию к </w:t>
      </w:r>
      <w:r>
        <w:lastRenderedPageBreak/>
        <w:t>РСТ с целью предоставить возможность заявителям, подающим международную заявку в рамках РСТ с указанием Договаривающегося государства РСТ, которое согласно применимому национальному законодательству требует раскрытия генетических ресурсов и традиционных знаний, связанных с генетическими ресурсами, выполнить любые формальные требования, связанные с таким требованием о раскрытии, либо при подаче международной заявки, имеющей силу во всех таких Договаривающихся государствах, либо впоследствии при переходе заявки на национальную фазу в Ведомстве любого такого Договаривающегося государства».</w:t>
      </w:r>
    </w:p>
    <w:p w14:paraId="72575D67" w14:textId="25BBC0F6" w:rsidR="0040130D" w:rsidRDefault="00952326" w:rsidP="00493F17">
      <w:pPr>
        <w:pStyle w:val="ONUME"/>
      </w:pPr>
      <w:r>
        <w:t xml:space="preserve">Если члены PCT желают рассмотреть возможность внесения изменений в Инструкцию к PCT в соответствии с этим согласованным заявлением, они могут обратиться к Международному бюро с просьбой представить проекты необходимых поправок для рассмотрения Рабочей группой на следующей сессии. </w:t>
      </w:r>
    </w:p>
    <w:p w14:paraId="160B1B7F" w14:textId="3047FE4F" w:rsidR="00E22081" w:rsidRDefault="00E22081" w:rsidP="00E22081">
      <w:pPr>
        <w:pStyle w:val="Heading1"/>
      </w:pPr>
      <w:r>
        <w:t>Вступление в силу</w:t>
      </w:r>
    </w:p>
    <w:p w14:paraId="0ACE8832" w14:textId="73B50776" w:rsidR="00493F17" w:rsidRDefault="00DB16E9" w:rsidP="00493F17">
      <w:pPr>
        <w:pStyle w:val="ONUME"/>
      </w:pPr>
      <w:r>
        <w:t>На сегодняшний день Договор подписали 39 стран, а одна (Республика Малави) его ратифицировала.  Он вступит в силу через три месяца после сдачи на хранение 15 правомочными сторонами своих ратификационных грамот или документов о присоединении.</w:t>
      </w:r>
    </w:p>
    <w:p w14:paraId="50DCB7F0" w14:textId="4A65E5D6" w:rsidR="00493F17" w:rsidRPr="00E22081" w:rsidRDefault="00493F17" w:rsidP="00493F17">
      <w:pPr>
        <w:pStyle w:val="ONUME"/>
        <w:tabs>
          <w:tab w:val="left" w:pos="6096"/>
        </w:tabs>
        <w:ind w:left="5533"/>
        <w:rPr>
          <w:i/>
        </w:rPr>
      </w:pPr>
      <w:r>
        <w:rPr>
          <w:i/>
        </w:rPr>
        <w:t>Рабочей группе предлагается принять к сведению содержание настоящего документа и рассмотреть возможность обращения с просьбой, о которой говорится в пункте 11.</w:t>
      </w:r>
    </w:p>
    <w:p w14:paraId="220D462D" w14:textId="77777777" w:rsidR="00E22081" w:rsidRDefault="00E22081" w:rsidP="00E22081">
      <w:pPr>
        <w:pStyle w:val="ONUME"/>
        <w:numPr>
          <w:ilvl w:val="0"/>
          <w:numId w:val="0"/>
        </w:numPr>
        <w:tabs>
          <w:tab w:val="left" w:pos="6096"/>
        </w:tabs>
        <w:rPr>
          <w:iCs/>
        </w:rPr>
      </w:pPr>
    </w:p>
    <w:p w14:paraId="19279BCA" w14:textId="50E050ED" w:rsidR="00E22081" w:rsidRPr="00493F17" w:rsidRDefault="00E22081" w:rsidP="00E22081">
      <w:pPr>
        <w:pStyle w:val="Endofdocument-Annex"/>
      </w:pPr>
      <w:r>
        <w:t>[Конец документа]</w:t>
      </w:r>
    </w:p>
    <w:sectPr w:rsidR="00E22081" w:rsidRPr="00493F17" w:rsidSect="00493F1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9DC3D" w14:textId="77777777" w:rsidR="00310860" w:rsidRDefault="00310860">
      <w:r>
        <w:separator/>
      </w:r>
    </w:p>
  </w:endnote>
  <w:endnote w:type="continuationSeparator" w:id="0">
    <w:p w14:paraId="01F9321C" w14:textId="77777777" w:rsidR="00310860" w:rsidRDefault="00310860" w:rsidP="003B38C1">
      <w:r>
        <w:separator/>
      </w:r>
    </w:p>
    <w:p w14:paraId="5003FD70" w14:textId="77777777" w:rsidR="00310860" w:rsidRPr="005D776F" w:rsidRDefault="00310860" w:rsidP="003B38C1">
      <w:pPr>
        <w:spacing w:after="60"/>
        <w:rPr>
          <w:sz w:val="17"/>
          <w:lang w:val="en-US"/>
        </w:rPr>
      </w:pPr>
      <w:r w:rsidRPr="005D776F">
        <w:rPr>
          <w:sz w:val="17"/>
          <w:lang w:val="en-US"/>
        </w:rPr>
        <w:t>[Endnote continued from previous page]</w:t>
      </w:r>
    </w:p>
  </w:endnote>
  <w:endnote w:type="continuationNotice" w:id="1">
    <w:p w14:paraId="6695F7C8" w14:textId="77777777" w:rsidR="00310860" w:rsidRPr="005D776F" w:rsidRDefault="00310860" w:rsidP="003B38C1">
      <w:pPr>
        <w:spacing w:before="60"/>
        <w:jc w:val="right"/>
        <w:rPr>
          <w:sz w:val="17"/>
          <w:szCs w:val="17"/>
          <w:lang w:val="en-US"/>
        </w:rPr>
      </w:pPr>
      <w:r w:rsidRPr="005D776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6F7E7" w14:textId="77777777" w:rsidR="00310860" w:rsidRDefault="00310860">
      <w:r>
        <w:separator/>
      </w:r>
    </w:p>
  </w:footnote>
  <w:footnote w:type="continuationSeparator" w:id="0">
    <w:p w14:paraId="58DEDC6E" w14:textId="77777777" w:rsidR="00310860" w:rsidRDefault="00310860" w:rsidP="008B60B2">
      <w:r>
        <w:separator/>
      </w:r>
    </w:p>
    <w:p w14:paraId="78BB4C36" w14:textId="77777777" w:rsidR="00310860" w:rsidRPr="005D776F" w:rsidRDefault="00310860" w:rsidP="008B60B2">
      <w:pPr>
        <w:spacing w:after="60"/>
        <w:rPr>
          <w:sz w:val="17"/>
          <w:szCs w:val="17"/>
          <w:lang w:val="en-US"/>
        </w:rPr>
      </w:pPr>
      <w:r w:rsidRPr="005D776F">
        <w:rPr>
          <w:sz w:val="17"/>
          <w:szCs w:val="17"/>
          <w:lang w:val="en-US"/>
        </w:rPr>
        <w:t>[Footnote continued from previous page]</w:t>
      </w:r>
    </w:p>
  </w:footnote>
  <w:footnote w:type="continuationNotice" w:id="1">
    <w:p w14:paraId="599E0EB5" w14:textId="77777777" w:rsidR="00310860" w:rsidRPr="005D776F" w:rsidRDefault="00310860" w:rsidP="008B60B2">
      <w:pPr>
        <w:spacing w:before="60"/>
        <w:jc w:val="right"/>
        <w:rPr>
          <w:sz w:val="17"/>
          <w:szCs w:val="17"/>
          <w:lang w:val="en-US"/>
        </w:rPr>
      </w:pPr>
      <w:r w:rsidRPr="005D776F">
        <w:rPr>
          <w:sz w:val="17"/>
          <w:szCs w:val="17"/>
          <w:lang w:val="en-US"/>
        </w:rPr>
        <w:t>[Footnote continued on next page]</w:t>
      </w:r>
    </w:p>
  </w:footnote>
  <w:footnote w:id="2">
    <w:p w14:paraId="01F4B484" w14:textId="7D8CBF3C" w:rsidR="00314A2D" w:rsidRDefault="00314A2D">
      <w:pPr>
        <w:pStyle w:val="FootnoteText"/>
      </w:pPr>
      <w:r>
        <w:rPr>
          <w:rStyle w:val="FootnoteReference"/>
        </w:rPr>
        <w:footnoteRef/>
      </w:r>
      <w:r>
        <w:t xml:space="preserve"> См. https://www.wipo.int/en/web/traditional-knowledge/wipo-treaty-on-ip-gr-and-associated-tk</w:t>
      </w:r>
    </w:p>
  </w:footnote>
  <w:footnote w:id="3">
    <w:p w14:paraId="32B56731" w14:textId="73191BD5" w:rsidR="00340013" w:rsidRDefault="00340013">
      <w:pPr>
        <w:pStyle w:val="FootnoteText"/>
      </w:pPr>
      <w:r>
        <w:rPr>
          <w:rStyle w:val="FootnoteReference"/>
        </w:rPr>
        <w:footnoteRef/>
      </w:r>
      <w:r>
        <w:t xml:space="preserve"> Размещен по адресу: </w:t>
      </w:r>
      <w:hyperlink r:id="rId1" w:history="1">
        <w:r>
          <w:rPr>
            <w:rStyle w:val="Hyperlink"/>
            <w:color w:val="auto"/>
            <w:u w:val="none"/>
          </w:rPr>
          <w:t>https://www.wipo.int/edocs/mdocs/tk/ru/gratk_dc/gratk_dc_7.pdf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D4D6" w14:textId="548C0C44" w:rsidR="00EC4E49" w:rsidRDefault="00493F17" w:rsidP="00477D6B">
    <w:pPr>
      <w:jc w:val="right"/>
    </w:pPr>
    <w:bookmarkStart w:id="5" w:name="Code2"/>
    <w:bookmarkEnd w:id="5"/>
    <w:r>
      <w:t>PCT/WG/18/16</w:t>
    </w:r>
  </w:p>
  <w:p w14:paraId="61ADF9B2"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6A510757" w14:textId="77777777" w:rsidR="00EC4E49" w:rsidRDefault="00EC4E49" w:rsidP="00477D6B">
    <w:pPr>
      <w:jc w:val="right"/>
    </w:pPr>
  </w:p>
  <w:p w14:paraId="4193811A"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F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82D5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F42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5E47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8069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A8B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F6FB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4F6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40A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11"/>
  </w:num>
  <w:num w:numId="2" w16cid:durableId="1159539219">
    <w:abstractNumId w:val="13"/>
  </w:num>
  <w:num w:numId="3" w16cid:durableId="76558780">
    <w:abstractNumId w:val="8"/>
  </w:num>
  <w:num w:numId="4" w16cid:durableId="1331255219">
    <w:abstractNumId w:val="14"/>
  </w:num>
  <w:num w:numId="5" w16cid:durableId="1001860684">
    <w:abstractNumId w:val="10"/>
  </w:num>
  <w:num w:numId="6" w16cid:durableId="970937653">
    <w:abstractNumId w:val="12"/>
  </w:num>
  <w:num w:numId="7" w16cid:durableId="862862683">
    <w:abstractNumId w:val="9"/>
  </w:num>
  <w:num w:numId="8" w16cid:durableId="2097971135">
    <w:abstractNumId w:val="7"/>
  </w:num>
  <w:num w:numId="9" w16cid:durableId="1491823730">
    <w:abstractNumId w:val="6"/>
  </w:num>
  <w:num w:numId="10" w16cid:durableId="1737582714">
    <w:abstractNumId w:val="5"/>
  </w:num>
  <w:num w:numId="11" w16cid:durableId="280183969">
    <w:abstractNumId w:val="4"/>
  </w:num>
  <w:num w:numId="12" w16cid:durableId="639267983">
    <w:abstractNumId w:val="3"/>
  </w:num>
  <w:num w:numId="13" w16cid:durableId="1237781788">
    <w:abstractNumId w:val="2"/>
  </w:num>
  <w:num w:numId="14" w16cid:durableId="1579367341">
    <w:abstractNumId w:val="1"/>
  </w:num>
  <w:num w:numId="15" w16cid:durableId="383985925">
    <w:abstractNumId w:val="0"/>
  </w:num>
  <w:num w:numId="16" w16cid:durableId="1497069203">
    <w:abstractNumId w:val="3"/>
  </w:num>
  <w:num w:numId="17" w16cid:durableId="902374625">
    <w:abstractNumId w:val="2"/>
  </w:num>
  <w:num w:numId="18" w16cid:durableId="398986472">
    <w:abstractNumId w:val="1"/>
  </w:num>
  <w:num w:numId="19" w16cid:durableId="177913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17"/>
    <w:rsid w:val="000069F4"/>
    <w:rsid w:val="0001647B"/>
    <w:rsid w:val="00043CAA"/>
    <w:rsid w:val="000727A4"/>
    <w:rsid w:val="00075432"/>
    <w:rsid w:val="00090B05"/>
    <w:rsid w:val="000968ED"/>
    <w:rsid w:val="000C55BB"/>
    <w:rsid w:val="000C782F"/>
    <w:rsid w:val="000F5E56"/>
    <w:rsid w:val="001024FE"/>
    <w:rsid w:val="00120C94"/>
    <w:rsid w:val="00127D20"/>
    <w:rsid w:val="001362EE"/>
    <w:rsid w:val="00142868"/>
    <w:rsid w:val="001832A6"/>
    <w:rsid w:val="001C6808"/>
    <w:rsid w:val="001D2E20"/>
    <w:rsid w:val="002121FA"/>
    <w:rsid w:val="002123C6"/>
    <w:rsid w:val="00227913"/>
    <w:rsid w:val="00234EE7"/>
    <w:rsid w:val="00235014"/>
    <w:rsid w:val="002354C7"/>
    <w:rsid w:val="002634C4"/>
    <w:rsid w:val="00264DC4"/>
    <w:rsid w:val="0027415A"/>
    <w:rsid w:val="00284C51"/>
    <w:rsid w:val="002928D3"/>
    <w:rsid w:val="0029703C"/>
    <w:rsid w:val="002B0CC5"/>
    <w:rsid w:val="002F1FE6"/>
    <w:rsid w:val="002F4E68"/>
    <w:rsid w:val="00310860"/>
    <w:rsid w:val="00312F7F"/>
    <w:rsid w:val="00314A2D"/>
    <w:rsid w:val="003228B7"/>
    <w:rsid w:val="00340013"/>
    <w:rsid w:val="00340A71"/>
    <w:rsid w:val="003508A3"/>
    <w:rsid w:val="0035268D"/>
    <w:rsid w:val="003673CF"/>
    <w:rsid w:val="003845C1"/>
    <w:rsid w:val="003845CD"/>
    <w:rsid w:val="003A6F89"/>
    <w:rsid w:val="003B38C1"/>
    <w:rsid w:val="003D352A"/>
    <w:rsid w:val="003F4C9E"/>
    <w:rsid w:val="0040130D"/>
    <w:rsid w:val="00402931"/>
    <w:rsid w:val="00423E3E"/>
    <w:rsid w:val="00427AF4"/>
    <w:rsid w:val="004400E2"/>
    <w:rsid w:val="004448F9"/>
    <w:rsid w:val="00461632"/>
    <w:rsid w:val="004647DA"/>
    <w:rsid w:val="00474062"/>
    <w:rsid w:val="00477D6B"/>
    <w:rsid w:val="0048630C"/>
    <w:rsid w:val="00492A66"/>
    <w:rsid w:val="00493F17"/>
    <w:rsid w:val="00494EC2"/>
    <w:rsid w:val="00497C1B"/>
    <w:rsid w:val="004C72D2"/>
    <w:rsid w:val="004D323E"/>
    <w:rsid w:val="004D39C4"/>
    <w:rsid w:val="0053057A"/>
    <w:rsid w:val="00543927"/>
    <w:rsid w:val="00560A29"/>
    <w:rsid w:val="00570752"/>
    <w:rsid w:val="0058713D"/>
    <w:rsid w:val="00594D27"/>
    <w:rsid w:val="005C4664"/>
    <w:rsid w:val="005C64B5"/>
    <w:rsid w:val="005D776F"/>
    <w:rsid w:val="005E4926"/>
    <w:rsid w:val="00601760"/>
    <w:rsid w:val="00605827"/>
    <w:rsid w:val="006109C6"/>
    <w:rsid w:val="00632095"/>
    <w:rsid w:val="006343DA"/>
    <w:rsid w:val="00642E7C"/>
    <w:rsid w:val="00646050"/>
    <w:rsid w:val="00667213"/>
    <w:rsid w:val="006713CA"/>
    <w:rsid w:val="00676C5C"/>
    <w:rsid w:val="00695558"/>
    <w:rsid w:val="006B12EA"/>
    <w:rsid w:val="006D0D8B"/>
    <w:rsid w:val="006D5E0F"/>
    <w:rsid w:val="007058FB"/>
    <w:rsid w:val="00744C06"/>
    <w:rsid w:val="00755FA6"/>
    <w:rsid w:val="00767B77"/>
    <w:rsid w:val="007B6A58"/>
    <w:rsid w:val="007D1613"/>
    <w:rsid w:val="008022A5"/>
    <w:rsid w:val="008214BA"/>
    <w:rsid w:val="00831631"/>
    <w:rsid w:val="00873EE5"/>
    <w:rsid w:val="008B2CC1"/>
    <w:rsid w:val="008B4B5E"/>
    <w:rsid w:val="008B60B2"/>
    <w:rsid w:val="008E4ED5"/>
    <w:rsid w:val="008F431E"/>
    <w:rsid w:val="0090731E"/>
    <w:rsid w:val="00916EE2"/>
    <w:rsid w:val="009423EF"/>
    <w:rsid w:val="00946221"/>
    <w:rsid w:val="00952326"/>
    <w:rsid w:val="00966A22"/>
    <w:rsid w:val="0096722F"/>
    <w:rsid w:val="00980843"/>
    <w:rsid w:val="009B3AEF"/>
    <w:rsid w:val="009E2791"/>
    <w:rsid w:val="009E3F6F"/>
    <w:rsid w:val="009F3BF9"/>
    <w:rsid w:val="009F499F"/>
    <w:rsid w:val="00A26A28"/>
    <w:rsid w:val="00A42DAF"/>
    <w:rsid w:val="00A45BD8"/>
    <w:rsid w:val="00A73DF5"/>
    <w:rsid w:val="00A778BF"/>
    <w:rsid w:val="00A85B8E"/>
    <w:rsid w:val="00A94405"/>
    <w:rsid w:val="00AA1D62"/>
    <w:rsid w:val="00AC091C"/>
    <w:rsid w:val="00AC205C"/>
    <w:rsid w:val="00AF06FD"/>
    <w:rsid w:val="00AF5C73"/>
    <w:rsid w:val="00B010EF"/>
    <w:rsid w:val="00B05A69"/>
    <w:rsid w:val="00B40598"/>
    <w:rsid w:val="00B50B99"/>
    <w:rsid w:val="00B62CD9"/>
    <w:rsid w:val="00B82117"/>
    <w:rsid w:val="00B87D61"/>
    <w:rsid w:val="00B9734B"/>
    <w:rsid w:val="00BA4925"/>
    <w:rsid w:val="00BF2415"/>
    <w:rsid w:val="00BF48DE"/>
    <w:rsid w:val="00C11BFE"/>
    <w:rsid w:val="00C23627"/>
    <w:rsid w:val="00C2668D"/>
    <w:rsid w:val="00C6479A"/>
    <w:rsid w:val="00C91AB4"/>
    <w:rsid w:val="00C942EF"/>
    <w:rsid w:val="00C94629"/>
    <w:rsid w:val="00CC77B0"/>
    <w:rsid w:val="00CE36CA"/>
    <w:rsid w:val="00CE65D4"/>
    <w:rsid w:val="00D17653"/>
    <w:rsid w:val="00D214EF"/>
    <w:rsid w:val="00D35B4A"/>
    <w:rsid w:val="00D45252"/>
    <w:rsid w:val="00D71B4D"/>
    <w:rsid w:val="00D93D55"/>
    <w:rsid w:val="00DB16E9"/>
    <w:rsid w:val="00DD3F12"/>
    <w:rsid w:val="00DF3DA7"/>
    <w:rsid w:val="00E070BF"/>
    <w:rsid w:val="00E161A2"/>
    <w:rsid w:val="00E16308"/>
    <w:rsid w:val="00E17240"/>
    <w:rsid w:val="00E22081"/>
    <w:rsid w:val="00E335FE"/>
    <w:rsid w:val="00E5021F"/>
    <w:rsid w:val="00E60EB7"/>
    <w:rsid w:val="00E671A6"/>
    <w:rsid w:val="00E7304C"/>
    <w:rsid w:val="00E90B8B"/>
    <w:rsid w:val="00E94030"/>
    <w:rsid w:val="00EC4E49"/>
    <w:rsid w:val="00ED0200"/>
    <w:rsid w:val="00ED77FB"/>
    <w:rsid w:val="00F021A6"/>
    <w:rsid w:val="00F04FA1"/>
    <w:rsid w:val="00F11D94"/>
    <w:rsid w:val="00F147D1"/>
    <w:rsid w:val="00F206B6"/>
    <w:rsid w:val="00F264B8"/>
    <w:rsid w:val="00F40022"/>
    <w:rsid w:val="00F43DBF"/>
    <w:rsid w:val="00F53567"/>
    <w:rsid w:val="00F66152"/>
    <w:rsid w:val="00F67207"/>
    <w:rsid w:val="00F866B9"/>
    <w:rsid w:val="00F9200A"/>
    <w:rsid w:val="00F95605"/>
    <w:rsid w:val="00FA1942"/>
    <w:rsid w:val="00FB3E54"/>
    <w:rsid w:val="00FC58B3"/>
    <w:rsid w:val="00FE385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73954"/>
  <w15:docId w15:val="{EDBA9E8C-70E4-46C4-8060-B15FC71F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E17240"/>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odyTextChar">
    <w:name w:val="Body Text Char"/>
    <w:basedOn w:val="DefaultParagraphFont"/>
    <w:link w:val="BodyText"/>
    <w:rsid w:val="00493F17"/>
    <w:rPr>
      <w:rFonts w:ascii="Arial" w:eastAsia="SimSun" w:hAnsi="Arial" w:cs="Arial"/>
      <w:sz w:val="22"/>
      <w:lang w:val="ru-RU" w:eastAsia="zh-CN"/>
    </w:rPr>
  </w:style>
  <w:style w:type="character" w:customStyle="1" w:styleId="CommentTextChar">
    <w:name w:val="Comment Text Char"/>
    <w:basedOn w:val="DefaultParagraphFont"/>
    <w:link w:val="CommentText"/>
    <w:semiHidden/>
    <w:rsid w:val="00493F17"/>
    <w:rPr>
      <w:rFonts w:ascii="Arial" w:eastAsia="SimSun" w:hAnsi="Arial" w:cs="Arial"/>
      <w:sz w:val="18"/>
      <w:lang w:val="ru-RU" w:eastAsia="zh-CN"/>
    </w:rPr>
  </w:style>
  <w:style w:type="paragraph" w:styleId="Revision">
    <w:name w:val="Revision"/>
    <w:hidden/>
    <w:uiPriority w:val="99"/>
    <w:semiHidden/>
    <w:rsid w:val="00E7304C"/>
    <w:rPr>
      <w:rFonts w:ascii="Arial" w:eastAsia="SimSun" w:hAnsi="Arial" w:cs="Arial"/>
      <w:sz w:val="22"/>
      <w:lang w:eastAsia="zh-CN"/>
    </w:rPr>
  </w:style>
  <w:style w:type="character" w:styleId="FootnoteReference">
    <w:name w:val="footnote reference"/>
    <w:basedOn w:val="DefaultParagraphFont"/>
    <w:semiHidden/>
    <w:unhideWhenUsed/>
    <w:rsid w:val="00314A2D"/>
    <w:rPr>
      <w:vertAlign w:val="superscript"/>
    </w:rPr>
  </w:style>
  <w:style w:type="character" w:styleId="Hyperlink">
    <w:name w:val="Hyperlink"/>
    <w:basedOn w:val="DefaultParagraphFont"/>
    <w:unhideWhenUsed/>
    <w:rsid w:val="00264DC4"/>
    <w:rPr>
      <w:color w:val="0000FF" w:themeColor="hyperlink"/>
      <w:u w:val="single"/>
    </w:rPr>
  </w:style>
  <w:style w:type="character" w:styleId="UnresolvedMention">
    <w:name w:val="Unresolved Mention"/>
    <w:basedOn w:val="DefaultParagraphFont"/>
    <w:uiPriority w:val="99"/>
    <w:semiHidden/>
    <w:unhideWhenUsed/>
    <w:rsid w:val="00264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tk/ru/gratk_dc/gratk_dc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2</TotalTime>
  <Pages>3</Pages>
  <Words>745</Words>
  <Characters>5199</Characters>
  <Application>Microsoft Office Word</Application>
  <DocSecurity>0</DocSecurity>
  <Lines>98</Lines>
  <Paragraphs>44</Paragraphs>
  <ScaleCrop>false</ScaleCrop>
  <HeadingPairs>
    <vt:vector size="2" baseType="variant">
      <vt:variant>
        <vt:lpstr>Title</vt:lpstr>
      </vt:variant>
      <vt:variant>
        <vt:i4>1</vt:i4>
      </vt:variant>
    </vt:vector>
  </HeadingPairs>
  <TitlesOfParts>
    <vt:vector size="1" baseType="lpstr">
      <vt:lpstr>PCT/WG/18/16</vt:lpstr>
    </vt:vector>
  </TitlesOfParts>
  <Company>WIPO</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PCT/WG/18/16</dc:title>
  <dc:subject>WIPO Treaty on Intellectual Property, Genetic Resources and Associated Traditional Knowledge</dc:subject>
  <dc:creator>WENDLAND Wend</dc:creator>
  <cp:keywords/>
  <cp:lastModifiedBy>MARLOW Thomas</cp:lastModifiedBy>
  <cp:revision>2</cp:revision>
  <cp:lastPrinted>2025-01-20T15:04:00Z</cp:lastPrinted>
  <dcterms:created xsi:type="dcterms:W3CDTF">2025-01-23T15:44:00Z</dcterms:created>
  <dcterms:modified xsi:type="dcterms:W3CDTF">2025-01-23T15:44:00Z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