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25D6C" w14:textId="77777777" w:rsidR="008B2CC1" w:rsidRPr="00783B19" w:rsidRDefault="00DB0349" w:rsidP="00EF2364">
      <w:pPr>
        <w:spacing w:after="120"/>
        <w:jc w:val="right"/>
        <w:rPr>
          <w:lang w:val="fr-FR"/>
        </w:rPr>
      </w:pPr>
      <w:r w:rsidRPr="00783B19">
        <w:rPr>
          <w:lang w:val="fr-FR" w:eastAsia="en-US"/>
        </w:rPr>
        <w:drawing>
          <wp:inline distT="0" distB="0" distL="0" distR="0" wp14:anchorId="22A3ADF5" wp14:editId="7C555B3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83B19">
        <w:rPr>
          <w:rFonts w:ascii="Arial Black" w:hAnsi="Arial Black"/>
          <w:caps/>
          <w:sz w:val="15"/>
          <w:szCs w:val="15"/>
          <w:lang w:val="fr-FR" w:eastAsia="en-US"/>
        </w:rPr>
        <mc:AlternateContent>
          <mc:Choice Requires="wps">
            <w:drawing>
              <wp:inline distT="0" distB="0" distL="0" distR="0" wp14:anchorId="7199CE5B" wp14:editId="348E76D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BBAD1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736A543" w14:textId="77777777" w:rsidR="008B2CC1" w:rsidRPr="00783B19" w:rsidRDefault="00825E46" w:rsidP="00EF2364">
      <w:pPr>
        <w:jc w:val="right"/>
        <w:rPr>
          <w:rFonts w:ascii="Arial Black" w:hAnsi="Arial Black"/>
          <w:caps/>
          <w:sz w:val="15"/>
          <w:szCs w:val="15"/>
          <w:lang w:val="fr-FR"/>
        </w:rPr>
      </w:pPr>
      <w:r w:rsidRPr="00783B19">
        <w:rPr>
          <w:rFonts w:ascii="Arial Black" w:hAnsi="Arial Black"/>
          <w:caps/>
          <w:sz w:val="15"/>
          <w:lang w:val="fr-FR"/>
        </w:rPr>
        <w:t>DLT/DC</w:t>
      </w:r>
      <w:r w:rsidR="00F66968" w:rsidRPr="00783B19">
        <w:rPr>
          <w:rFonts w:ascii="Arial Black" w:hAnsi="Arial Black"/>
          <w:caps/>
          <w:sz w:val="15"/>
          <w:szCs w:val="15"/>
          <w:lang w:val="fr-FR"/>
        </w:rPr>
        <w:t>/</w:t>
      </w:r>
      <w:bookmarkStart w:id="0" w:name="Code"/>
      <w:r w:rsidR="001A355C" w:rsidRPr="00783B19">
        <w:rPr>
          <w:rFonts w:ascii="Arial Black" w:hAnsi="Arial Black"/>
          <w:caps/>
          <w:sz w:val="15"/>
          <w:szCs w:val="15"/>
          <w:lang w:val="fr-FR"/>
        </w:rPr>
        <w:t>11</w:t>
      </w:r>
    </w:p>
    <w:bookmarkEnd w:id="0"/>
    <w:p w14:paraId="066F01EA" w14:textId="17D027AE" w:rsidR="008B2CC1" w:rsidRPr="00783B19" w:rsidRDefault="00DB0349" w:rsidP="00EF2364">
      <w:pPr>
        <w:jc w:val="right"/>
        <w:rPr>
          <w:rFonts w:ascii="Arial Black" w:hAnsi="Arial Black"/>
          <w:caps/>
          <w:sz w:val="15"/>
          <w:szCs w:val="15"/>
          <w:lang w:val="fr-FR"/>
        </w:rPr>
      </w:pPr>
      <w:r w:rsidRPr="00783B19">
        <w:rPr>
          <w:rFonts w:ascii="Arial Black" w:hAnsi="Arial Black"/>
          <w:caps/>
          <w:sz w:val="15"/>
          <w:szCs w:val="15"/>
          <w:lang w:val="fr-FR"/>
        </w:rPr>
        <w:t>Original</w:t>
      </w:r>
      <w:r w:rsidR="00DC5094" w:rsidRPr="00783B19">
        <w:rPr>
          <w:rFonts w:ascii="Arial Black" w:hAnsi="Arial Black"/>
          <w:caps/>
          <w:sz w:val="15"/>
          <w:szCs w:val="15"/>
          <w:lang w:val="fr-FR"/>
        </w:rPr>
        <w:t> :</w:t>
      </w:r>
      <w:r w:rsidRPr="00783B19">
        <w:rPr>
          <w:rFonts w:ascii="Arial Black" w:hAnsi="Arial Black"/>
          <w:caps/>
          <w:sz w:val="15"/>
          <w:szCs w:val="15"/>
          <w:lang w:val="fr-FR"/>
        </w:rPr>
        <w:t xml:space="preserve"> </w:t>
      </w:r>
      <w:bookmarkStart w:id="1" w:name="Original"/>
      <w:r w:rsidR="001A355C" w:rsidRPr="00783B19">
        <w:rPr>
          <w:rFonts w:ascii="Arial Black" w:hAnsi="Arial Black"/>
          <w:caps/>
          <w:sz w:val="15"/>
          <w:szCs w:val="15"/>
          <w:lang w:val="fr-FR"/>
        </w:rPr>
        <w:t>anglais</w:t>
      </w:r>
    </w:p>
    <w:bookmarkEnd w:id="1"/>
    <w:p w14:paraId="6BA92A2C" w14:textId="3187625C" w:rsidR="008B2CC1" w:rsidRPr="00783B19" w:rsidRDefault="00DB0349" w:rsidP="00EF2364">
      <w:pPr>
        <w:spacing w:after="1200"/>
        <w:jc w:val="right"/>
        <w:rPr>
          <w:rFonts w:ascii="Arial Black" w:hAnsi="Arial Black"/>
          <w:caps/>
          <w:sz w:val="15"/>
          <w:szCs w:val="15"/>
          <w:lang w:val="fr-FR"/>
        </w:rPr>
      </w:pPr>
      <w:r w:rsidRPr="00783B19">
        <w:rPr>
          <w:rFonts w:ascii="Arial Black" w:hAnsi="Arial Black"/>
          <w:caps/>
          <w:sz w:val="15"/>
          <w:szCs w:val="15"/>
          <w:lang w:val="fr-FR"/>
        </w:rPr>
        <w:t>date</w:t>
      </w:r>
      <w:r w:rsidR="00DC5094" w:rsidRPr="00783B19">
        <w:rPr>
          <w:rFonts w:ascii="Arial Black" w:hAnsi="Arial Black"/>
          <w:caps/>
          <w:sz w:val="15"/>
          <w:szCs w:val="15"/>
          <w:lang w:val="fr-FR"/>
        </w:rPr>
        <w:t> :</w:t>
      </w:r>
      <w:r w:rsidRPr="00783B19">
        <w:rPr>
          <w:rFonts w:ascii="Arial Black" w:hAnsi="Arial Black"/>
          <w:caps/>
          <w:sz w:val="15"/>
          <w:szCs w:val="15"/>
          <w:lang w:val="fr-FR"/>
        </w:rPr>
        <w:t xml:space="preserve"> </w:t>
      </w:r>
      <w:bookmarkStart w:id="2" w:name="Date"/>
      <w:r w:rsidR="001A355C" w:rsidRPr="00783B19">
        <w:rPr>
          <w:rFonts w:ascii="Arial Black" w:hAnsi="Arial Black"/>
          <w:caps/>
          <w:sz w:val="15"/>
          <w:szCs w:val="15"/>
          <w:lang w:val="fr-FR"/>
        </w:rPr>
        <w:t>11 novembre 2024</w:t>
      </w:r>
    </w:p>
    <w:bookmarkEnd w:id="2"/>
    <w:p w14:paraId="53C3D4B7" w14:textId="7FDF668E" w:rsidR="00C40E15" w:rsidRPr="00783B19" w:rsidRDefault="00825E46" w:rsidP="00EF2364">
      <w:pPr>
        <w:spacing w:after="600"/>
        <w:rPr>
          <w:b/>
          <w:sz w:val="28"/>
          <w:szCs w:val="28"/>
          <w:lang w:val="fr-FR"/>
        </w:rPr>
      </w:pPr>
      <w:r w:rsidRPr="00783B19">
        <w:rPr>
          <w:b/>
          <w:sz w:val="28"/>
          <w:szCs w:val="28"/>
          <w:lang w:val="fr-FR"/>
        </w:rPr>
        <w:t xml:space="preserve">Conférence diplomatique </w:t>
      </w:r>
      <w:r w:rsidR="00B42E71" w:rsidRPr="00783B19">
        <w:rPr>
          <w:b/>
          <w:sz w:val="28"/>
          <w:szCs w:val="28"/>
          <w:lang w:val="fr-FR"/>
        </w:rPr>
        <w:t xml:space="preserve">pour </w:t>
      </w:r>
      <w:r w:rsidRPr="00783B19">
        <w:rPr>
          <w:b/>
          <w:sz w:val="28"/>
          <w:szCs w:val="28"/>
          <w:lang w:val="fr-FR"/>
        </w:rPr>
        <w:t>la conclusion et l</w:t>
      </w:r>
      <w:r w:rsidR="00DC5094" w:rsidRPr="00783B19">
        <w:rPr>
          <w:b/>
          <w:sz w:val="28"/>
          <w:szCs w:val="28"/>
          <w:lang w:val="fr-FR"/>
        </w:rPr>
        <w:t>’</w:t>
      </w:r>
      <w:r w:rsidRPr="00783B19">
        <w:rPr>
          <w:b/>
          <w:sz w:val="28"/>
          <w:szCs w:val="28"/>
          <w:lang w:val="fr-FR"/>
        </w:rPr>
        <w:t>adoption d</w:t>
      </w:r>
      <w:r w:rsidR="00DC5094" w:rsidRPr="00783B19">
        <w:rPr>
          <w:b/>
          <w:sz w:val="28"/>
          <w:szCs w:val="28"/>
          <w:lang w:val="fr-FR"/>
        </w:rPr>
        <w:t>’</w:t>
      </w:r>
      <w:r w:rsidRPr="00783B19">
        <w:rPr>
          <w:b/>
          <w:sz w:val="28"/>
          <w:szCs w:val="28"/>
          <w:lang w:val="fr-FR"/>
        </w:rPr>
        <w:t>un traité sur le droit des dessins et modèles (DLT)</w:t>
      </w:r>
    </w:p>
    <w:p w14:paraId="1AC45EB4" w14:textId="39048359" w:rsidR="008B2CC1" w:rsidRPr="00783B19" w:rsidRDefault="00825E46" w:rsidP="00EF2364">
      <w:pPr>
        <w:spacing w:after="720"/>
        <w:rPr>
          <w:b/>
          <w:sz w:val="24"/>
          <w:szCs w:val="24"/>
          <w:lang w:val="fr-FR"/>
        </w:rPr>
      </w:pPr>
      <w:r w:rsidRPr="00783B19">
        <w:rPr>
          <w:b/>
          <w:sz w:val="24"/>
          <w:szCs w:val="24"/>
          <w:lang w:val="fr-FR"/>
        </w:rPr>
        <w:t>Riyad, 11 – 2</w:t>
      </w:r>
      <w:r w:rsidR="00DC5094" w:rsidRPr="00783B19">
        <w:rPr>
          <w:b/>
          <w:sz w:val="24"/>
          <w:szCs w:val="24"/>
          <w:lang w:val="fr-FR"/>
        </w:rPr>
        <w:t>2 novembre 20</w:t>
      </w:r>
      <w:r w:rsidRPr="00783B19">
        <w:rPr>
          <w:b/>
          <w:sz w:val="24"/>
          <w:szCs w:val="24"/>
          <w:lang w:val="fr-FR"/>
        </w:rPr>
        <w:t>24</w:t>
      </w:r>
    </w:p>
    <w:p w14:paraId="4B055D56" w14:textId="13AE1583" w:rsidR="00DC5094" w:rsidRPr="00783B19" w:rsidRDefault="00DC5094" w:rsidP="00EF2364">
      <w:pPr>
        <w:spacing w:after="360"/>
        <w:rPr>
          <w:caps/>
          <w:sz w:val="24"/>
          <w:lang w:val="fr-FR"/>
        </w:rPr>
      </w:pPr>
      <w:bookmarkStart w:id="3" w:name="TitleOfDoc"/>
      <w:r w:rsidRPr="00783B19">
        <w:rPr>
          <w:caps/>
          <w:sz w:val="24"/>
          <w:lang w:val="fr-FR"/>
        </w:rPr>
        <w:t>Article </w:t>
      </w:r>
      <w:proofErr w:type="gramStart"/>
      <w:r w:rsidRPr="00783B19">
        <w:rPr>
          <w:caps/>
          <w:sz w:val="24"/>
          <w:lang w:val="fr-FR"/>
        </w:rPr>
        <w:t>4.2)b</w:t>
      </w:r>
      <w:proofErr w:type="gramEnd"/>
      <w:r w:rsidRPr="00783B19">
        <w:rPr>
          <w:caps/>
          <w:sz w:val="24"/>
          <w:lang w:val="fr-FR"/>
        </w:rPr>
        <w:t>), articles 6 et</w:t>
      </w:r>
      <w:r w:rsidR="00EF2364">
        <w:rPr>
          <w:caps/>
          <w:sz w:val="24"/>
          <w:lang w:val="fr-FR"/>
        </w:rPr>
        <w:t> </w:t>
      </w:r>
      <w:r w:rsidRPr="00783B19">
        <w:rPr>
          <w:caps/>
          <w:sz w:val="24"/>
          <w:lang w:val="fr-FR"/>
        </w:rPr>
        <w:t>29</w:t>
      </w:r>
    </w:p>
    <w:p w14:paraId="27DA7FCA" w14:textId="77777777" w:rsidR="00DC5094" w:rsidRPr="00783B19" w:rsidRDefault="00DC5094" w:rsidP="00EF2364">
      <w:pPr>
        <w:spacing w:after="960"/>
        <w:rPr>
          <w:i/>
          <w:lang w:val="fr-FR"/>
        </w:rPr>
      </w:pPr>
      <w:bookmarkStart w:id="4" w:name="Prepared"/>
      <w:bookmarkEnd w:id="3"/>
      <w:r w:rsidRPr="00783B19">
        <w:rPr>
          <w:i/>
          <w:lang w:val="fr-FR"/>
        </w:rPr>
        <w:t>Proposition de la délégation de la Chine</w:t>
      </w:r>
    </w:p>
    <w:p w14:paraId="0465302B" w14:textId="7B487EDA" w:rsidR="00DC5094" w:rsidRPr="00783B19" w:rsidRDefault="00DC5094" w:rsidP="00EF2364">
      <w:pPr>
        <w:spacing w:after="220"/>
        <w:rPr>
          <w:lang w:val="fr-FR"/>
        </w:rPr>
      </w:pPr>
      <w:bookmarkStart w:id="5" w:name="_Hlk181284792"/>
      <w:bookmarkEnd w:id="4"/>
      <w:r w:rsidRPr="00783B19">
        <w:rPr>
          <w:lang w:val="fr-FR"/>
        </w:rPr>
        <w:t xml:space="preserve">La délégation de la Chine a soumis au </w:t>
      </w:r>
      <w:bookmarkEnd w:id="5"/>
      <w:r w:rsidRPr="00783B19">
        <w:rPr>
          <w:lang w:val="fr-FR"/>
        </w:rPr>
        <w:t>secrétariat de la conférence diplomatique la proposition reproduite dans l’annexe du présent document.</w:t>
      </w:r>
    </w:p>
    <w:p w14:paraId="38F5958C" w14:textId="139ED80C" w:rsidR="00DC5094" w:rsidRPr="00EF2364" w:rsidRDefault="00DC5094" w:rsidP="00EF2364">
      <w:pPr>
        <w:pStyle w:val="Endofdocument-Annex"/>
        <w:sectPr w:rsidR="00DC5094" w:rsidRPr="00EF2364" w:rsidSect="00EF236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EF2364">
        <w:t>[L’annexe suit]</w:t>
      </w:r>
    </w:p>
    <w:p w14:paraId="5ABDE7D2" w14:textId="73A59F55" w:rsidR="00DC5094" w:rsidRPr="00783B19" w:rsidRDefault="00DC5094" w:rsidP="00EF2364">
      <w:pPr>
        <w:spacing w:after="480"/>
        <w:jc w:val="center"/>
        <w:rPr>
          <w:b/>
          <w:sz w:val="28"/>
          <w:lang w:val="fr-FR"/>
        </w:rPr>
      </w:pPr>
      <w:r w:rsidRPr="00783B19">
        <w:rPr>
          <w:b/>
          <w:sz w:val="28"/>
          <w:lang w:val="fr-FR"/>
        </w:rPr>
        <w:lastRenderedPageBreak/>
        <w:t>Propositions de modification de la proposition de base concernant</w:t>
      </w:r>
      <w:r w:rsidR="00EF2364">
        <w:rPr>
          <w:b/>
          <w:sz w:val="28"/>
          <w:lang w:val="fr-FR"/>
        </w:rPr>
        <w:t> </w:t>
      </w:r>
      <w:r w:rsidRPr="00783B19">
        <w:rPr>
          <w:b/>
          <w:sz w:val="28"/>
          <w:lang w:val="fr-FR"/>
        </w:rPr>
        <w:t>le</w:t>
      </w:r>
      <w:r w:rsidR="00EF2364">
        <w:rPr>
          <w:b/>
          <w:sz w:val="28"/>
          <w:lang w:val="fr-FR"/>
        </w:rPr>
        <w:t> </w:t>
      </w:r>
      <w:r w:rsidRPr="00783B19">
        <w:rPr>
          <w:b/>
          <w:sz w:val="28"/>
          <w:lang w:val="fr-FR"/>
        </w:rPr>
        <w:t>traité sur le droit des dessins et modèles présentées par la</w:t>
      </w:r>
      <w:r w:rsidR="00EF2364">
        <w:rPr>
          <w:b/>
          <w:sz w:val="28"/>
          <w:lang w:val="fr-FR"/>
        </w:rPr>
        <w:t> </w:t>
      </w:r>
      <w:r w:rsidRPr="00783B19">
        <w:rPr>
          <w:b/>
          <w:sz w:val="28"/>
          <w:lang w:val="fr-FR"/>
        </w:rPr>
        <w:t>délégation de la Chine</w:t>
      </w:r>
    </w:p>
    <w:p w14:paraId="6C1A793E" w14:textId="77777777" w:rsidR="00EF2364" w:rsidRDefault="00DC5094" w:rsidP="00EF2364">
      <w:pPr>
        <w:tabs>
          <w:tab w:val="left" w:pos="567"/>
        </w:tabs>
        <w:spacing w:after="220"/>
        <w:jc w:val="both"/>
        <w:rPr>
          <w:rFonts w:eastAsia="FangSong_GB2312"/>
          <w:b/>
          <w:bCs/>
          <w:kern w:val="2"/>
          <w:szCs w:val="22"/>
          <w:lang w:val="fr-FR"/>
        </w:rPr>
      </w:pPr>
      <w:r w:rsidRPr="00783B19">
        <w:rPr>
          <w:b/>
          <w:lang w:val="fr-FR"/>
        </w:rPr>
        <w:t>I.</w:t>
      </w:r>
      <w:r w:rsidR="00EF2364">
        <w:rPr>
          <w:b/>
          <w:lang w:val="fr-FR"/>
        </w:rPr>
        <w:tab/>
      </w:r>
      <w:r w:rsidRPr="00783B19">
        <w:rPr>
          <w:b/>
          <w:lang w:val="fr-FR"/>
        </w:rPr>
        <w:t>Article </w:t>
      </w:r>
      <w:proofErr w:type="gramStart"/>
      <w:r w:rsidRPr="00783B19">
        <w:rPr>
          <w:b/>
          <w:lang w:val="fr-FR"/>
        </w:rPr>
        <w:t>4.2)b</w:t>
      </w:r>
      <w:proofErr w:type="gramEnd"/>
      <w:r w:rsidRPr="00783B19">
        <w:rPr>
          <w:b/>
          <w:lang w:val="fr-FR"/>
        </w:rPr>
        <w:t>)</w:t>
      </w:r>
    </w:p>
    <w:p w14:paraId="6F67ED6C" w14:textId="77777777" w:rsidR="00EF2364" w:rsidRDefault="00DC5094" w:rsidP="00EF2364">
      <w:pPr>
        <w:spacing w:after="220"/>
        <w:jc w:val="both"/>
        <w:rPr>
          <w:rFonts w:eastAsia="FangSong_GB2312"/>
          <w:kern w:val="2"/>
          <w:szCs w:val="22"/>
          <w:lang w:val="fr-FR"/>
        </w:rPr>
      </w:pPr>
      <w:r w:rsidRPr="00783B19">
        <w:rPr>
          <w:lang w:val="fr-FR"/>
        </w:rPr>
        <w:t>La Chine propose de modifier ce sous-alinéa comme suit :</w:t>
      </w:r>
    </w:p>
    <w:p w14:paraId="4DAE74BE" w14:textId="77777777" w:rsidR="00EF2364" w:rsidRDefault="00DC5094" w:rsidP="00EF2364">
      <w:pPr>
        <w:spacing w:before="120" w:after="220"/>
        <w:ind w:left="567"/>
        <w:jc w:val="both"/>
        <w:rPr>
          <w:rFonts w:eastAsia="FangSong_GB2312"/>
          <w:b/>
          <w:bCs/>
          <w:i/>
          <w:iCs/>
          <w:kern w:val="2"/>
          <w:szCs w:val="22"/>
          <w:lang w:val="fr-FR"/>
        </w:rPr>
      </w:pPr>
      <w:r w:rsidRPr="00783B19">
        <w:rPr>
          <w:b/>
          <w:bCs/>
          <w:i/>
          <w:lang w:val="fr-FR"/>
        </w:rPr>
        <w:t>“Toute Partie contractante peut prévoir qu’</w:t>
      </w:r>
      <w:r w:rsidRPr="00EF2364">
        <w:rPr>
          <w:i/>
          <w:lang w:val="fr-FR"/>
        </w:rPr>
        <w:t xml:space="preserve">un déposant, un titulaire ou toute autre personne concernée qui n’a ni domicile ni établissement industriel ou commercial effectif et sérieux sur le territoire de la Partie contractante </w:t>
      </w:r>
      <w:r w:rsidRPr="00EF2364">
        <w:rPr>
          <w:b/>
          <w:bCs/>
          <w:i/>
          <w:lang w:val="fr-FR"/>
        </w:rPr>
        <w:t>puisse</w:t>
      </w:r>
      <w:r w:rsidRPr="00EF2364">
        <w:rPr>
          <w:i/>
          <w:lang w:val="fr-FR"/>
        </w:rPr>
        <w:t xml:space="preserve"> agir lui-même devant l’office pour le dépôt d’une demande, aux fins de l’attribution d’une date de dépôt, </w:t>
      </w:r>
      <w:r w:rsidRPr="00EF2364">
        <w:rPr>
          <w:b/>
          <w:bCs/>
          <w:i/>
          <w:lang w:val="fr-FR"/>
        </w:rPr>
        <w:t>ou</w:t>
      </w:r>
      <w:r w:rsidRPr="00EF2364">
        <w:rPr>
          <w:i/>
          <w:lang w:val="fr-FR"/>
        </w:rPr>
        <w:t xml:space="preserve"> pour le simple paiement d’une taxe</w:t>
      </w:r>
      <w:r w:rsidRPr="00783B19">
        <w:rPr>
          <w:b/>
          <w:i/>
          <w:lang w:val="fr-FR"/>
        </w:rPr>
        <w:t>.”</w:t>
      </w:r>
    </w:p>
    <w:p w14:paraId="73D6D871" w14:textId="77777777" w:rsidR="00EF2364" w:rsidRDefault="00DC5094" w:rsidP="00EF2364">
      <w:pPr>
        <w:spacing w:after="220"/>
        <w:jc w:val="both"/>
        <w:rPr>
          <w:color w:val="0C0C0C"/>
          <w:lang w:val="fr-FR"/>
        </w:rPr>
      </w:pPr>
      <w:r w:rsidRPr="00783B19">
        <w:rPr>
          <w:color w:val="0C0C0C"/>
          <w:lang w:val="fr-FR"/>
        </w:rPr>
        <w:t>Brève explication :</w:t>
      </w:r>
    </w:p>
    <w:p w14:paraId="1C1162F9" w14:textId="77777777" w:rsidR="00EF2364" w:rsidRDefault="00DC5094" w:rsidP="00EF2364">
      <w:pPr>
        <w:spacing w:after="220"/>
        <w:jc w:val="both"/>
        <w:rPr>
          <w:rFonts w:eastAsia="FangSong_GB2312"/>
          <w:color w:val="0C0C0C"/>
          <w:kern w:val="2"/>
          <w:szCs w:val="22"/>
          <w:highlight w:val="yellow"/>
          <w:lang w:val="fr-FR"/>
        </w:rPr>
      </w:pPr>
      <w:r w:rsidRPr="00783B19">
        <w:rPr>
          <w:color w:val="0C0C0C"/>
          <w:lang w:val="fr-FR"/>
        </w:rPr>
        <w:t>Le système de représentation joue un rôle important dans le système des brevets, et un système qui fonctionne bien peut aider les déposants à obtenir des droits de brevet plus facilement, et aider l’office à travailler plus efficaceme</w:t>
      </w:r>
      <w:r w:rsidR="00783B19" w:rsidRPr="00783B19">
        <w:rPr>
          <w:color w:val="0C0C0C"/>
          <w:lang w:val="fr-FR"/>
        </w:rPr>
        <w:t>nt.  Da</w:t>
      </w:r>
      <w:r w:rsidRPr="00783B19">
        <w:rPr>
          <w:color w:val="0C0C0C"/>
          <w:lang w:val="fr-FR"/>
        </w:rPr>
        <w:t>ns le domaine des dessins et modèles, les systèmes juridiques, le volume des demandes et les exigences des utilisateurs des États membres sont très différen</w:t>
      </w:r>
      <w:r w:rsidR="00783B19" w:rsidRPr="00783B19">
        <w:rPr>
          <w:color w:val="0C0C0C"/>
          <w:lang w:val="fr-FR"/>
        </w:rPr>
        <w:t>ts.  No</w:t>
      </w:r>
      <w:r w:rsidRPr="00783B19">
        <w:rPr>
          <w:color w:val="0C0C0C"/>
          <w:lang w:val="fr-FR"/>
        </w:rPr>
        <w:t>us proposons donc que la constitution obligatoire de mandataire soit exprimée de manière plus souple, en donnant aux États membres plus de choix en fonction de leur situation respective.</w:t>
      </w:r>
    </w:p>
    <w:p w14:paraId="2631E81B" w14:textId="77777777" w:rsidR="00EF2364" w:rsidRDefault="00DC5094" w:rsidP="00EF2364">
      <w:pPr>
        <w:tabs>
          <w:tab w:val="left" w:pos="567"/>
        </w:tabs>
        <w:spacing w:before="720" w:after="220"/>
        <w:jc w:val="both"/>
        <w:rPr>
          <w:rFonts w:eastAsia="FangSong_GB2312"/>
          <w:b/>
          <w:bCs/>
          <w:kern w:val="2"/>
          <w:szCs w:val="22"/>
          <w:lang w:val="fr-FR"/>
        </w:rPr>
      </w:pPr>
      <w:r w:rsidRPr="00783B19">
        <w:rPr>
          <w:b/>
          <w:lang w:val="fr-FR"/>
        </w:rPr>
        <w:t>II.</w:t>
      </w:r>
      <w:r w:rsidR="00EF2364">
        <w:rPr>
          <w:b/>
          <w:lang w:val="fr-FR"/>
        </w:rPr>
        <w:tab/>
      </w:r>
      <w:r w:rsidRPr="00783B19">
        <w:rPr>
          <w:b/>
          <w:lang w:val="fr-FR"/>
        </w:rPr>
        <w:t>Article 6</w:t>
      </w:r>
    </w:p>
    <w:p w14:paraId="5B238000" w14:textId="77777777" w:rsidR="00EF2364" w:rsidRDefault="00DC5094" w:rsidP="00EF2364">
      <w:pPr>
        <w:spacing w:after="220"/>
        <w:jc w:val="both"/>
        <w:rPr>
          <w:rFonts w:eastAsia="FangSong_GB2312"/>
          <w:kern w:val="2"/>
          <w:szCs w:val="22"/>
          <w:lang w:val="fr-FR"/>
        </w:rPr>
      </w:pPr>
      <w:r w:rsidRPr="00783B19">
        <w:rPr>
          <w:lang w:val="fr-FR"/>
        </w:rPr>
        <w:t>Il est proposé de supprimer l’article.</w:t>
      </w:r>
    </w:p>
    <w:p w14:paraId="1B9B5CB6" w14:textId="77777777" w:rsidR="00EF2364" w:rsidRDefault="00DC5094" w:rsidP="00EF2364">
      <w:pPr>
        <w:spacing w:after="220"/>
        <w:jc w:val="both"/>
        <w:rPr>
          <w:lang w:val="fr-FR"/>
        </w:rPr>
      </w:pPr>
      <w:r w:rsidRPr="00783B19">
        <w:rPr>
          <w:lang w:val="fr-FR"/>
        </w:rPr>
        <w:t>Brève explication :</w:t>
      </w:r>
    </w:p>
    <w:p w14:paraId="6D18B7C8" w14:textId="77777777" w:rsidR="00EF2364" w:rsidRDefault="00DC5094" w:rsidP="00EF2364">
      <w:pPr>
        <w:spacing w:after="220"/>
        <w:jc w:val="both"/>
        <w:rPr>
          <w:rFonts w:eastAsia="FangSong_GB2312"/>
          <w:kern w:val="2"/>
          <w:szCs w:val="22"/>
          <w:lang w:val="fr-FR"/>
        </w:rPr>
      </w:pPr>
      <w:r w:rsidRPr="00783B19">
        <w:rPr>
          <w:lang w:val="fr-FR"/>
        </w:rPr>
        <w:t>Selon le principe général énoncé à l’article 1</w:t>
      </w:r>
      <w:r w:rsidRPr="00783B19">
        <w:rPr>
          <w:i/>
          <w:iCs/>
          <w:lang w:val="fr-FR"/>
        </w:rPr>
        <w:t>bis</w:t>
      </w:r>
      <w:r w:rsidRPr="00783B19">
        <w:rPr>
          <w:lang w:val="fr-FR"/>
        </w:rPr>
        <w:t>, aucune disposition du présent traité ne peut limiter la liberté qu’a une Partie contractante de prescrire le droit matériel applicab</w:t>
      </w:r>
      <w:r w:rsidR="00783B19" w:rsidRPr="00783B19">
        <w:rPr>
          <w:lang w:val="fr-FR"/>
        </w:rPr>
        <w:t>le.  La</w:t>
      </w:r>
      <w:r w:rsidRPr="00783B19">
        <w:rPr>
          <w:lang w:val="fr-FR"/>
        </w:rPr>
        <w:t xml:space="preserve"> question du délai de grâce constitue une question matérielle importante pour le système des breve</w:t>
      </w:r>
      <w:r w:rsidR="00783B19" w:rsidRPr="00783B19">
        <w:rPr>
          <w:lang w:val="fr-FR"/>
        </w:rPr>
        <w:t>ts.  Il</w:t>
      </w:r>
      <w:r w:rsidRPr="00783B19">
        <w:rPr>
          <w:lang w:val="fr-FR"/>
        </w:rPr>
        <w:t xml:space="preserve"> apparaît clairement que la disposition de l’article 6 n’est pas conforme à celle de l’article 1</w:t>
      </w:r>
      <w:r w:rsidRPr="00783B19">
        <w:rPr>
          <w:i/>
          <w:iCs/>
          <w:lang w:val="fr-FR"/>
        </w:rPr>
        <w:t>bis</w:t>
      </w:r>
      <w:r w:rsidRPr="00783B19">
        <w:rPr>
          <w:lang w:val="fr-FR"/>
        </w:rPr>
        <w:t>, et nous proposons donc de supprimer cet article.</w:t>
      </w:r>
    </w:p>
    <w:p w14:paraId="6EC00F52" w14:textId="77777777" w:rsidR="00EF2364" w:rsidRDefault="00783B19" w:rsidP="00EF2364">
      <w:pPr>
        <w:tabs>
          <w:tab w:val="left" w:pos="567"/>
        </w:tabs>
        <w:spacing w:before="720" w:after="220"/>
        <w:jc w:val="both"/>
        <w:rPr>
          <w:rFonts w:eastAsia="FangSong_GB2312"/>
          <w:b/>
          <w:bCs/>
          <w:color w:val="0C0C0C"/>
          <w:kern w:val="2"/>
          <w:szCs w:val="22"/>
          <w:lang w:val="fr-FR"/>
        </w:rPr>
      </w:pPr>
      <w:r w:rsidRPr="00783B19">
        <w:rPr>
          <w:b/>
          <w:color w:val="0C0C0C"/>
          <w:lang w:val="fr-FR"/>
        </w:rPr>
        <w:t>III.</w:t>
      </w:r>
      <w:r w:rsidR="00EF2364">
        <w:rPr>
          <w:b/>
          <w:color w:val="0C0C0C"/>
          <w:lang w:val="fr-FR"/>
        </w:rPr>
        <w:tab/>
      </w:r>
      <w:r w:rsidRPr="00783B19">
        <w:rPr>
          <w:b/>
          <w:color w:val="0C0C0C"/>
          <w:lang w:val="fr-FR"/>
        </w:rPr>
        <w:t>Ar</w:t>
      </w:r>
      <w:r w:rsidR="00DC5094" w:rsidRPr="00783B19">
        <w:rPr>
          <w:b/>
          <w:color w:val="0C0C0C"/>
          <w:lang w:val="fr-FR"/>
        </w:rPr>
        <w:t>ticle 29</w:t>
      </w:r>
    </w:p>
    <w:p w14:paraId="2145D9FE" w14:textId="77777777" w:rsidR="00EF2364" w:rsidRDefault="00DC5094" w:rsidP="00EF2364">
      <w:pPr>
        <w:spacing w:after="220"/>
        <w:jc w:val="both"/>
        <w:rPr>
          <w:rFonts w:eastAsia="FangSong_GB2312"/>
          <w:kern w:val="2"/>
          <w:szCs w:val="22"/>
          <w:lang w:val="fr-FR"/>
        </w:rPr>
      </w:pPr>
      <w:r w:rsidRPr="00783B19">
        <w:rPr>
          <w:lang w:val="fr-FR"/>
        </w:rPr>
        <w:t>La Chine propose d’ajouter les phrases suivantes :</w:t>
      </w:r>
    </w:p>
    <w:p w14:paraId="09BC8D82" w14:textId="5918A384" w:rsidR="00DC5094" w:rsidRPr="00783B19" w:rsidRDefault="00DC5094" w:rsidP="00EF2364">
      <w:pPr>
        <w:spacing w:before="120" w:after="220"/>
        <w:ind w:left="567" w:firstLine="567"/>
        <w:jc w:val="both"/>
        <w:rPr>
          <w:rFonts w:eastAsia="FangSong_GB2312"/>
          <w:i/>
          <w:iCs/>
          <w:kern w:val="2"/>
          <w:szCs w:val="22"/>
          <w:lang w:val="fr-FR"/>
        </w:rPr>
      </w:pPr>
      <w:r w:rsidRPr="00783B19">
        <w:rPr>
          <w:i/>
          <w:lang w:val="fr-FR"/>
        </w:rPr>
        <w:t xml:space="preserve">1) [Réserve à l’égard de </w:t>
      </w:r>
      <w:r w:rsidR="002A5A18" w:rsidRPr="00783B19">
        <w:rPr>
          <w:i/>
          <w:lang w:val="fr-FR"/>
        </w:rPr>
        <w:t>……</w:t>
      </w:r>
      <w:r w:rsidRPr="00783B19">
        <w:rPr>
          <w:i/>
          <w:lang w:val="fr-FR"/>
        </w:rPr>
        <w:t>]</w:t>
      </w:r>
      <w:r w:rsidRPr="00783B19">
        <w:rPr>
          <w:i/>
          <w:lang w:val="fr-FR"/>
        </w:rPr>
        <w:t xml:space="preserve"> Tout État ou organisation intergouvernementale peut déclarer au moyen d’une réserve qu’il n’est pas lié par les dispositions de l’article </w:t>
      </w:r>
      <w:r w:rsidR="002A5A18" w:rsidRPr="00783B19">
        <w:rPr>
          <w:i/>
          <w:lang w:val="fr-FR"/>
        </w:rPr>
        <w:t>…</w:t>
      </w:r>
    </w:p>
    <w:p w14:paraId="218D5E1D" w14:textId="468B3794" w:rsidR="00DC5094" w:rsidRPr="00783B19" w:rsidRDefault="00DC5094" w:rsidP="00EF2364">
      <w:pPr>
        <w:spacing w:before="120" w:after="220"/>
        <w:ind w:left="567" w:firstLine="567"/>
        <w:jc w:val="both"/>
        <w:rPr>
          <w:rFonts w:eastAsia="FangSong_GB2312"/>
          <w:i/>
          <w:iCs/>
          <w:kern w:val="2"/>
          <w:szCs w:val="22"/>
          <w:lang w:val="fr-FR"/>
        </w:rPr>
      </w:pPr>
      <w:r w:rsidRPr="00783B19">
        <w:rPr>
          <w:i/>
          <w:lang w:val="fr-FR"/>
        </w:rPr>
        <w:t xml:space="preserve">2) [Réserve à l’égard d’autres articles] </w:t>
      </w:r>
      <w:r w:rsidR="002A5A18" w:rsidRPr="00783B19">
        <w:rPr>
          <w:i/>
          <w:lang w:val="fr-FR"/>
        </w:rPr>
        <w:t>……</w:t>
      </w:r>
    </w:p>
    <w:p w14:paraId="4760469E" w14:textId="2178D1A9" w:rsidR="00DC5094" w:rsidRPr="00783B19" w:rsidRDefault="00DC5094" w:rsidP="00EF2364">
      <w:pPr>
        <w:spacing w:before="120" w:after="220"/>
        <w:ind w:left="567" w:firstLine="567"/>
        <w:jc w:val="both"/>
        <w:rPr>
          <w:rFonts w:eastAsia="FangSong_GB2312"/>
          <w:i/>
          <w:iCs/>
          <w:kern w:val="2"/>
          <w:szCs w:val="22"/>
          <w:lang w:val="fr-FR"/>
        </w:rPr>
      </w:pPr>
      <w:r w:rsidRPr="00783B19">
        <w:rPr>
          <w:i/>
          <w:lang w:val="fr-FR"/>
        </w:rPr>
        <w:t>3) [Modalités] Toute réserve faite en vertu des alinéas 1) ou 2) doit figurer dans une déclaration accompagnant l’instrument de ratification du présent traité ou d’adhésion à celui-ci déposé par l’État ou l’organisation intergouvernementale formulant cette réserve.</w:t>
      </w:r>
    </w:p>
    <w:p w14:paraId="5381EB32" w14:textId="77777777" w:rsidR="00DC5094" w:rsidRPr="00783B19" w:rsidRDefault="00DC5094" w:rsidP="00EF2364">
      <w:pPr>
        <w:spacing w:before="120" w:after="220"/>
        <w:ind w:left="567" w:firstLine="567"/>
        <w:jc w:val="both"/>
        <w:rPr>
          <w:rFonts w:eastAsia="FangSong_GB2312"/>
          <w:i/>
          <w:iCs/>
          <w:kern w:val="2"/>
          <w:szCs w:val="22"/>
          <w:lang w:val="fr-FR"/>
        </w:rPr>
      </w:pPr>
      <w:r w:rsidRPr="00783B19">
        <w:rPr>
          <w:i/>
          <w:lang w:val="fr-FR"/>
        </w:rPr>
        <w:t>4) [Retrait] Toute réserve faite en vertu des alinéas 1) ou 2) peut être retirée à tout moment.</w:t>
      </w:r>
    </w:p>
    <w:p w14:paraId="21954183" w14:textId="77777777" w:rsidR="00EF2364" w:rsidRDefault="00DC5094" w:rsidP="00EF2364">
      <w:pPr>
        <w:keepNext/>
        <w:keepLines/>
        <w:spacing w:before="120" w:after="220"/>
        <w:ind w:left="567" w:firstLine="567"/>
        <w:jc w:val="both"/>
        <w:rPr>
          <w:rFonts w:eastAsia="FangSong_GB2312"/>
          <w:i/>
          <w:iCs/>
          <w:kern w:val="2"/>
          <w:szCs w:val="22"/>
          <w:lang w:val="fr-FR"/>
        </w:rPr>
      </w:pPr>
      <w:r w:rsidRPr="00783B19">
        <w:rPr>
          <w:i/>
          <w:lang w:val="fr-FR"/>
        </w:rPr>
        <w:t>5) [Interdiction d’autres réserves] Aucune autre réserve que celles qui sont autorisées en vertu des alinéas 1) ou 2) ne peut être formulée à l’égard du présent traité.</w:t>
      </w:r>
    </w:p>
    <w:p w14:paraId="55816F55" w14:textId="77777777" w:rsidR="00EF2364" w:rsidRDefault="00DC5094" w:rsidP="00EF2364">
      <w:pPr>
        <w:spacing w:after="220"/>
        <w:jc w:val="both"/>
        <w:rPr>
          <w:lang w:val="fr-FR"/>
        </w:rPr>
      </w:pPr>
      <w:r w:rsidRPr="00783B19">
        <w:rPr>
          <w:lang w:val="fr-FR"/>
        </w:rPr>
        <w:t>Brève explication :</w:t>
      </w:r>
    </w:p>
    <w:p w14:paraId="0043DF80" w14:textId="75FF12CE" w:rsidR="00DC5094" w:rsidRPr="00783B19" w:rsidRDefault="00DC5094" w:rsidP="00EF2364">
      <w:pPr>
        <w:spacing w:after="220"/>
        <w:jc w:val="both"/>
        <w:rPr>
          <w:lang w:val="fr-FR"/>
        </w:rPr>
      </w:pPr>
      <w:r w:rsidRPr="00783B19">
        <w:rPr>
          <w:lang w:val="fr-FR"/>
        </w:rPr>
        <w:t>L’article sur les réserves est particulièrement important dans un traité international, puisque l’utilisation adéquate des réserves peut améliorer l’efficacité du processus d’élaboration d’un traité et mieux équilibrer les intérêts des parti</w:t>
      </w:r>
      <w:r w:rsidR="00783B19" w:rsidRPr="00783B19">
        <w:rPr>
          <w:lang w:val="fr-FR"/>
        </w:rPr>
        <w:t>es.  Lo</w:t>
      </w:r>
      <w:r w:rsidRPr="00783B19">
        <w:rPr>
          <w:lang w:val="fr-FR"/>
        </w:rPr>
        <w:t>rsqu’il est difficile de parvenir à un consensus sur un article, cet article peut constituer un dernier recou</w:t>
      </w:r>
      <w:r w:rsidR="00783B19" w:rsidRPr="00783B19">
        <w:rPr>
          <w:lang w:val="fr-FR"/>
        </w:rPr>
        <w:t>rs.  No</w:t>
      </w:r>
      <w:r w:rsidRPr="00783B19">
        <w:rPr>
          <w:lang w:val="fr-FR"/>
        </w:rPr>
        <w:t>us proposons d’examiner cet article avec soin, afin de permettre aux États membres d’émettre des réserves à l’égard de questions très controversées.</w:t>
      </w:r>
    </w:p>
    <w:p w14:paraId="50BDF66E" w14:textId="7D0DA06D" w:rsidR="000F5E56" w:rsidRPr="00783B19" w:rsidRDefault="00DC5094" w:rsidP="00EF2364">
      <w:pPr>
        <w:pStyle w:val="Endofdocument-Annex"/>
      </w:pPr>
      <w:r w:rsidRPr="00783B19">
        <w:t>[Fin de l’annexe et du document]</w:t>
      </w:r>
    </w:p>
    <w:sectPr w:rsidR="000F5E56" w:rsidRPr="00783B19" w:rsidSect="00EF2364">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E7916" w14:textId="77777777" w:rsidR="001A355C" w:rsidRDefault="001A355C">
      <w:r>
        <w:separator/>
      </w:r>
    </w:p>
  </w:endnote>
  <w:endnote w:type="continuationSeparator" w:id="0">
    <w:p w14:paraId="550127DD" w14:textId="77777777" w:rsidR="001A355C" w:rsidRPr="009D30E6" w:rsidRDefault="001A355C" w:rsidP="00D45252">
      <w:pPr>
        <w:rPr>
          <w:sz w:val="17"/>
          <w:szCs w:val="17"/>
        </w:rPr>
      </w:pPr>
      <w:r w:rsidRPr="009D30E6">
        <w:rPr>
          <w:sz w:val="17"/>
          <w:szCs w:val="17"/>
        </w:rPr>
        <w:separator/>
      </w:r>
    </w:p>
    <w:p w14:paraId="286333FC" w14:textId="77777777" w:rsidR="001A355C" w:rsidRPr="009D30E6" w:rsidRDefault="001A355C" w:rsidP="00D45252">
      <w:pPr>
        <w:spacing w:after="60"/>
        <w:rPr>
          <w:sz w:val="17"/>
          <w:szCs w:val="17"/>
        </w:rPr>
      </w:pPr>
      <w:r w:rsidRPr="009D30E6">
        <w:rPr>
          <w:sz w:val="17"/>
          <w:szCs w:val="17"/>
        </w:rPr>
        <w:t>[Suite de la note de la page précédente]</w:t>
      </w:r>
    </w:p>
  </w:endnote>
  <w:endnote w:type="continuationNotice" w:id="1">
    <w:p w14:paraId="7D5CD265" w14:textId="77777777" w:rsidR="001A355C" w:rsidRPr="009D30E6" w:rsidRDefault="001A355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FangSong_GB2312">
    <w:altName w:val="Microsoft YaHei"/>
    <w:charset w:val="86"/>
    <w:family w:val="auto"/>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FBA6" w14:textId="77777777" w:rsidR="00EF2364" w:rsidRDefault="00EF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FFE6" w14:textId="77777777" w:rsidR="00783B19" w:rsidRDefault="00783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91C9" w14:textId="77777777" w:rsidR="00EF2364" w:rsidRDefault="00EF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1187" w14:textId="77777777" w:rsidR="001A355C" w:rsidRDefault="001A355C">
      <w:r>
        <w:separator/>
      </w:r>
    </w:p>
  </w:footnote>
  <w:footnote w:type="continuationSeparator" w:id="0">
    <w:p w14:paraId="3A55D9A6" w14:textId="77777777" w:rsidR="001A355C" w:rsidRDefault="001A355C" w:rsidP="007461F1">
      <w:r>
        <w:separator/>
      </w:r>
    </w:p>
    <w:p w14:paraId="0A8B9956" w14:textId="77777777" w:rsidR="001A355C" w:rsidRPr="009D30E6" w:rsidRDefault="001A355C" w:rsidP="007461F1">
      <w:pPr>
        <w:spacing w:after="60"/>
        <w:rPr>
          <w:sz w:val="17"/>
          <w:szCs w:val="17"/>
        </w:rPr>
      </w:pPr>
      <w:r w:rsidRPr="009D30E6">
        <w:rPr>
          <w:sz w:val="17"/>
          <w:szCs w:val="17"/>
        </w:rPr>
        <w:t>[Suite de la note de la page précédente]</w:t>
      </w:r>
    </w:p>
  </w:footnote>
  <w:footnote w:type="continuationNotice" w:id="1">
    <w:p w14:paraId="4119830E" w14:textId="77777777" w:rsidR="001A355C" w:rsidRPr="009D30E6" w:rsidRDefault="001A355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B9B0" w14:textId="77777777" w:rsidR="00EF2364" w:rsidRDefault="00EF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9AB6" w14:textId="77777777" w:rsidR="00DC5094" w:rsidRDefault="00DC5094" w:rsidP="00477D6B">
    <w:pPr>
      <w:jc w:val="right"/>
    </w:pPr>
    <w:r>
      <w:t>DLT/DC/8</w:t>
    </w:r>
  </w:p>
  <w:p w14:paraId="7E462EE1" w14:textId="628B3AB8" w:rsidR="00DC5094" w:rsidRDefault="00DC5094" w:rsidP="00477D6B">
    <w:pPr>
      <w:jc w:val="right"/>
    </w:pPr>
    <w:proofErr w:type="gramStart"/>
    <w:r>
      <w:t>page</w:t>
    </w:r>
    <w:proofErr w:type="gramEnd"/>
    <w:r w:rsidR="00EF2364">
      <w:t> </w:t>
    </w:r>
    <w:r>
      <w:fldChar w:fldCharType="begin"/>
    </w:r>
    <w:r>
      <w:instrText xml:space="preserve"> PAGE  \* MERGEFORMAT </w:instrText>
    </w:r>
    <w:r>
      <w:fldChar w:fldCharType="separate"/>
    </w:r>
    <w:r>
      <w:t>2</w:t>
    </w:r>
    <w:r>
      <w:fldChar w:fldCharType="end"/>
    </w:r>
  </w:p>
  <w:p w14:paraId="65815AC2" w14:textId="77777777" w:rsidR="00DC5094" w:rsidRDefault="00DC5094" w:rsidP="00477D6B">
    <w:pPr>
      <w:jc w:val="right"/>
    </w:pPr>
  </w:p>
  <w:p w14:paraId="2E83A968" w14:textId="77777777" w:rsidR="00DC5094" w:rsidRDefault="00DC509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0334" w14:textId="77777777" w:rsidR="00EF2364" w:rsidRDefault="00EF23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3176" w14:textId="77777777" w:rsidR="00F16975" w:rsidRDefault="001A355C" w:rsidP="00477D6B">
    <w:pPr>
      <w:jc w:val="right"/>
    </w:pPr>
    <w:bookmarkStart w:id="6" w:name="Code2"/>
    <w:bookmarkEnd w:id="6"/>
    <w:r>
      <w:t>DLT/DC/11</w:t>
    </w:r>
  </w:p>
  <w:p w14:paraId="582AE40C" w14:textId="753851DF" w:rsidR="004F4E31" w:rsidRDefault="00EF2364" w:rsidP="00EF2364">
    <w:pPr>
      <w:spacing w:after="480"/>
      <w:jc w:val="right"/>
    </w:pPr>
    <w:r>
      <w:t xml:space="preserve">Annexe, </w:t>
    </w:r>
    <w:r w:rsidR="00F16975">
      <w:t xml:space="preserve">page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30B4" w14:textId="7C3A5131" w:rsidR="00EF2364" w:rsidRDefault="00EF2364" w:rsidP="00EF2364">
    <w:pPr>
      <w:pStyle w:val="Header"/>
      <w:jc w:val="right"/>
      <w:rPr>
        <w:lang w:val="fr-FR"/>
      </w:rPr>
    </w:pPr>
    <w:r>
      <w:rPr>
        <w:lang w:val="fr-FR"/>
      </w:rPr>
      <w:t>DLT/DC/11</w:t>
    </w:r>
  </w:p>
  <w:p w14:paraId="7C1D7448" w14:textId="0C368FEB" w:rsidR="00EF2364" w:rsidRPr="00EF2364" w:rsidRDefault="00EF2364" w:rsidP="00EF2364">
    <w:pPr>
      <w:pStyle w:val="Header"/>
      <w:spacing w:after="480"/>
      <w:jc w:val="right"/>
      <w:rPr>
        <w:lang w:val="fr-FR"/>
      </w:rPr>
    </w:pPr>
    <w:r>
      <w:rPr>
        <w:lang w:val="fr-FR"/>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4238924">
    <w:abstractNumId w:val="2"/>
  </w:num>
  <w:num w:numId="2" w16cid:durableId="302345202">
    <w:abstractNumId w:val="4"/>
  </w:num>
  <w:num w:numId="3" w16cid:durableId="2100177298">
    <w:abstractNumId w:val="0"/>
  </w:num>
  <w:num w:numId="4" w16cid:durableId="800996051">
    <w:abstractNumId w:val="5"/>
  </w:num>
  <w:num w:numId="5" w16cid:durableId="1819884291">
    <w:abstractNumId w:val="1"/>
  </w:num>
  <w:num w:numId="6" w16cid:durableId="875629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5C"/>
    <w:rsid w:val="00011B7D"/>
    <w:rsid w:val="00075432"/>
    <w:rsid w:val="000F5E56"/>
    <w:rsid w:val="001362EE"/>
    <w:rsid w:val="001410E6"/>
    <w:rsid w:val="001832A6"/>
    <w:rsid w:val="00195C6E"/>
    <w:rsid w:val="001A355C"/>
    <w:rsid w:val="001B266A"/>
    <w:rsid w:val="001D3D56"/>
    <w:rsid w:val="00237BE2"/>
    <w:rsid w:val="00240654"/>
    <w:rsid w:val="002634C4"/>
    <w:rsid w:val="00265E59"/>
    <w:rsid w:val="002A5A18"/>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E6516"/>
    <w:rsid w:val="00605827"/>
    <w:rsid w:val="00676936"/>
    <w:rsid w:val="00695CDB"/>
    <w:rsid w:val="006B0DB5"/>
    <w:rsid w:val="006E4243"/>
    <w:rsid w:val="007461F1"/>
    <w:rsid w:val="00783B19"/>
    <w:rsid w:val="007B2215"/>
    <w:rsid w:val="007D6961"/>
    <w:rsid w:val="007F07CB"/>
    <w:rsid w:val="00810CEF"/>
    <w:rsid w:val="0081208D"/>
    <w:rsid w:val="00825E46"/>
    <w:rsid w:val="00842A13"/>
    <w:rsid w:val="008B2CC1"/>
    <w:rsid w:val="008E7930"/>
    <w:rsid w:val="0090731E"/>
    <w:rsid w:val="0092659E"/>
    <w:rsid w:val="0093730E"/>
    <w:rsid w:val="00966A22"/>
    <w:rsid w:val="00974CD6"/>
    <w:rsid w:val="009D30E6"/>
    <w:rsid w:val="009E3F6F"/>
    <w:rsid w:val="009F499F"/>
    <w:rsid w:val="00A02BD3"/>
    <w:rsid w:val="00A10318"/>
    <w:rsid w:val="00AA1F20"/>
    <w:rsid w:val="00AC0AE4"/>
    <w:rsid w:val="00AD61DB"/>
    <w:rsid w:val="00B42E71"/>
    <w:rsid w:val="00B87BCF"/>
    <w:rsid w:val="00BA2C6C"/>
    <w:rsid w:val="00BA62D4"/>
    <w:rsid w:val="00C3552C"/>
    <w:rsid w:val="00C40E15"/>
    <w:rsid w:val="00C664C8"/>
    <w:rsid w:val="00C76A79"/>
    <w:rsid w:val="00CA15F5"/>
    <w:rsid w:val="00CF0460"/>
    <w:rsid w:val="00D45252"/>
    <w:rsid w:val="00D71B4D"/>
    <w:rsid w:val="00D75C1E"/>
    <w:rsid w:val="00D93D55"/>
    <w:rsid w:val="00DB0349"/>
    <w:rsid w:val="00DC5094"/>
    <w:rsid w:val="00DD6A16"/>
    <w:rsid w:val="00E0091A"/>
    <w:rsid w:val="00E203AA"/>
    <w:rsid w:val="00E527A5"/>
    <w:rsid w:val="00E76456"/>
    <w:rsid w:val="00EE71CB"/>
    <w:rsid w:val="00EF2364"/>
    <w:rsid w:val="00F16975"/>
    <w:rsid w:val="00F66152"/>
    <w:rsid w:val="00F66968"/>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FF63"/>
  <w15:docId w15:val="{BB639C66-933C-414B-BAF5-61358F2D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EF2364"/>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783B19"/>
    <w:rPr>
      <w:color w:val="0000FF" w:themeColor="hyperlink"/>
      <w:u w:val="single"/>
    </w:rPr>
  </w:style>
  <w:style w:type="paragraph" w:styleId="ListParagraph">
    <w:name w:val="List Paragraph"/>
    <w:basedOn w:val="Normal"/>
    <w:uiPriority w:val="34"/>
    <w:qFormat/>
    <w:rsid w:val="00EF2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(F).dotm</Template>
  <TotalTime>61</TotalTime>
  <Pages>3</Pages>
  <Words>579</Words>
  <Characters>2964</Characters>
  <Application>Microsoft Office Word</Application>
  <DocSecurity>0</DocSecurity>
  <Lines>228</Lines>
  <Paragraphs>126</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DLT/DC/11</dc:title>
  <dc:creator>OLIVIÉ Karen</dc:creator>
  <cp:keywords>FOR OFFICIAL USE ONLY</cp:keywords>
  <cp:lastModifiedBy>OLIVIÉ Karen</cp:lastModifiedBy>
  <cp:revision>4</cp:revision>
  <cp:lastPrinted>2011-05-19T12:37:00Z</cp:lastPrinted>
  <dcterms:created xsi:type="dcterms:W3CDTF">2024-11-11T07:46:00Z</dcterms:created>
  <dcterms:modified xsi:type="dcterms:W3CDTF">2024-11-11T08:52:00Z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