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CD18DA9" w14:textId="77777777" w:rsidTr="00361450">
        <w:tc>
          <w:tcPr>
            <w:tcW w:w="4513" w:type="dxa"/>
            <w:tcBorders>
              <w:bottom w:val="single" w:sz="4" w:space="0" w:color="auto"/>
            </w:tcBorders>
            <w:tcMar>
              <w:bottom w:w="170" w:type="dxa"/>
            </w:tcMar>
          </w:tcPr>
          <w:p w14:paraId="51AE263E" w14:textId="77777777" w:rsidR="00EC4E49" w:rsidRPr="008B2CC1" w:rsidRDefault="00EC4E49" w:rsidP="00916EE2"/>
        </w:tc>
        <w:tc>
          <w:tcPr>
            <w:tcW w:w="4337" w:type="dxa"/>
            <w:tcBorders>
              <w:bottom w:val="single" w:sz="4" w:space="0" w:color="auto"/>
            </w:tcBorders>
            <w:tcMar>
              <w:left w:w="0" w:type="dxa"/>
              <w:right w:w="0" w:type="dxa"/>
            </w:tcMar>
          </w:tcPr>
          <w:p w14:paraId="20FDFB6E" w14:textId="1F22D99E" w:rsidR="00EC4E49" w:rsidRPr="008B2CC1" w:rsidRDefault="00C03F97" w:rsidP="00916EE2">
            <w:r>
              <w:rPr>
                <w:noProof/>
              </w:rPr>
              <w:drawing>
                <wp:inline distT="0" distB="0" distL="0" distR="0" wp14:anchorId="7DB4732C" wp14:editId="1FBADB76">
                  <wp:extent cx="2687541" cy="1351386"/>
                  <wp:effectExtent l="0" t="0" r="0" b="1270"/>
                  <wp:docPr id="171060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444" cy="1354857"/>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4AA37BCF" w14:textId="5E8210BD" w:rsidR="00EC4E49" w:rsidRPr="008B2CC1" w:rsidRDefault="00EC4E49" w:rsidP="00916EE2">
            <w:pPr>
              <w:jc w:val="right"/>
            </w:pPr>
          </w:p>
        </w:tc>
      </w:tr>
      <w:tr w:rsidR="008B2CC1" w:rsidRPr="001832A6" w14:paraId="1050635A"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E3487F4" w14:textId="48706198" w:rsidR="008B2CC1" w:rsidRPr="0090731E" w:rsidRDefault="000D1DD6" w:rsidP="008C5C51">
            <w:pPr>
              <w:jc w:val="right"/>
              <w:rPr>
                <w:rFonts w:ascii="Arial Black" w:hAnsi="Arial Black"/>
                <w:caps/>
                <w:sz w:val="15"/>
              </w:rPr>
            </w:pPr>
            <w:r>
              <w:rPr>
                <w:rFonts w:ascii="Arial Black" w:hAnsi="Arial Black"/>
                <w:caps/>
                <w:sz w:val="15"/>
              </w:rPr>
              <w:t>WIPO/GRTKF/IC/</w:t>
            </w:r>
            <w:r w:rsidR="007F1B0C">
              <w:rPr>
                <w:rFonts w:ascii="Arial Black" w:hAnsi="Arial Black"/>
                <w:caps/>
                <w:sz w:val="15"/>
              </w:rPr>
              <w:t>50</w:t>
            </w:r>
            <w:r>
              <w:rPr>
                <w:rFonts w:ascii="Arial Black" w:hAnsi="Arial Black"/>
                <w:caps/>
                <w:sz w:val="15"/>
              </w:rPr>
              <w:t xml:space="preserve">/INF/8  </w:t>
            </w:r>
            <w:bookmarkStart w:id="0" w:name="Code"/>
            <w:bookmarkEnd w:id="0"/>
            <w:r>
              <w:rPr>
                <w:rFonts w:ascii="Arial Black" w:hAnsi="Arial Black"/>
                <w:caps/>
                <w:sz w:val="15"/>
              </w:rPr>
              <w:t xml:space="preserve">  </w:t>
            </w:r>
          </w:p>
        </w:tc>
      </w:tr>
      <w:tr w:rsidR="008B2CC1" w:rsidRPr="001832A6" w14:paraId="5AF17FE8" w14:textId="77777777" w:rsidTr="00916EE2">
        <w:trPr>
          <w:trHeight w:hRule="exact" w:val="170"/>
        </w:trPr>
        <w:tc>
          <w:tcPr>
            <w:tcW w:w="9356" w:type="dxa"/>
            <w:gridSpan w:val="3"/>
            <w:noWrap/>
            <w:tcMar>
              <w:left w:w="0" w:type="dxa"/>
              <w:right w:w="0" w:type="dxa"/>
            </w:tcMar>
            <w:vAlign w:val="bottom"/>
          </w:tcPr>
          <w:p w14:paraId="770020A6"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14:paraId="021FFDB2" w14:textId="77777777" w:rsidTr="00916EE2">
        <w:trPr>
          <w:trHeight w:hRule="exact" w:val="198"/>
        </w:trPr>
        <w:tc>
          <w:tcPr>
            <w:tcW w:w="9356" w:type="dxa"/>
            <w:gridSpan w:val="3"/>
            <w:tcMar>
              <w:left w:w="0" w:type="dxa"/>
              <w:right w:w="0" w:type="dxa"/>
            </w:tcMar>
            <w:vAlign w:val="bottom"/>
          </w:tcPr>
          <w:p w14:paraId="7DC4CE01" w14:textId="4268EA8C" w:rsidR="008B2CC1" w:rsidRPr="0090731E" w:rsidRDefault="008B2CC1" w:rsidP="00B4759F">
            <w:pPr>
              <w:jc w:val="right"/>
              <w:rPr>
                <w:rFonts w:ascii="Arial Black" w:hAnsi="Arial Black"/>
                <w:caps/>
                <w:sz w:val="15"/>
              </w:rPr>
            </w:pPr>
            <w:proofErr w:type="gramStart"/>
            <w:r>
              <w:rPr>
                <w:rFonts w:ascii="Arial Black" w:hAnsi="Arial Black"/>
                <w:caps/>
                <w:sz w:val="15"/>
              </w:rPr>
              <w:t xml:space="preserve">ДАТА: </w:t>
            </w:r>
            <w:r w:rsidR="00C03F97">
              <w:rPr>
                <w:rFonts w:ascii="Arial Black" w:hAnsi="Arial Black"/>
                <w:caps/>
                <w:sz w:val="15"/>
              </w:rPr>
              <w:t xml:space="preserve"> </w:t>
            </w:r>
            <w:r w:rsidR="007F1B0C">
              <w:rPr>
                <w:rFonts w:ascii="Arial Black" w:hAnsi="Arial Black"/>
                <w:caps/>
                <w:sz w:val="15"/>
              </w:rPr>
              <w:t>2</w:t>
            </w:r>
            <w:r w:rsidR="00C03F97">
              <w:rPr>
                <w:rFonts w:ascii="Arial Black" w:hAnsi="Arial Black"/>
                <w:caps/>
                <w:sz w:val="15"/>
              </w:rPr>
              <w:t>4</w:t>
            </w:r>
            <w:proofErr w:type="gramEnd"/>
            <w:r w:rsidR="00C03F97">
              <w:rPr>
                <w:rFonts w:ascii="Arial Black" w:hAnsi="Arial Black"/>
                <w:caps/>
                <w:sz w:val="15"/>
              </w:rPr>
              <w:t xml:space="preserve"> </w:t>
            </w:r>
            <w:r w:rsidR="007F1B0C">
              <w:rPr>
                <w:rFonts w:ascii="Arial Black" w:hAnsi="Arial Black"/>
                <w:caps/>
                <w:sz w:val="15"/>
              </w:rPr>
              <w:t xml:space="preserve">января </w:t>
            </w:r>
            <w:r>
              <w:rPr>
                <w:rFonts w:ascii="Arial Black" w:hAnsi="Arial Black"/>
                <w:caps/>
                <w:sz w:val="15"/>
              </w:rPr>
              <w:t>202</w:t>
            </w:r>
            <w:r w:rsidR="007F1B0C">
              <w:rPr>
                <w:rFonts w:ascii="Arial Black" w:hAnsi="Arial Black"/>
                <w:caps/>
                <w:sz w:val="15"/>
              </w:rPr>
              <w:t>5</w:t>
            </w:r>
            <w:r>
              <w:rPr>
                <w:rFonts w:ascii="Arial Black" w:hAnsi="Arial Black"/>
                <w:caps/>
                <w:sz w:val="15"/>
              </w:rPr>
              <w:t xml:space="preserve"> года      </w:t>
            </w:r>
            <w:bookmarkStart w:id="2" w:name="Date"/>
            <w:bookmarkEnd w:id="2"/>
            <w:r>
              <w:rPr>
                <w:rFonts w:ascii="Arial Black" w:hAnsi="Arial Black"/>
                <w:caps/>
                <w:sz w:val="15"/>
              </w:rPr>
              <w:t xml:space="preserve"> </w:t>
            </w:r>
          </w:p>
        </w:tc>
      </w:tr>
    </w:tbl>
    <w:p w14:paraId="5D0578C9" w14:textId="11117364" w:rsidR="000D1DD6" w:rsidRPr="003845C1" w:rsidRDefault="000D1DD6" w:rsidP="00EC2E0C">
      <w:pPr>
        <w:spacing w:before="1200" w:after="480"/>
        <w:rPr>
          <w:b/>
          <w:sz w:val="28"/>
          <w:szCs w:val="28"/>
        </w:rPr>
      </w:pPr>
      <w:r>
        <w:rPr>
          <w:b/>
          <w:sz w:val="28"/>
        </w:rPr>
        <w:t>Межправительственный комитет по интеллектуальной собственности, генетическим ресурсам</w:t>
      </w:r>
      <w:r w:rsidR="00EC2E0C">
        <w:rPr>
          <w:b/>
          <w:sz w:val="28"/>
        </w:rPr>
        <w:t>,</w:t>
      </w:r>
      <w:r>
        <w:rPr>
          <w:b/>
          <w:sz w:val="28"/>
        </w:rPr>
        <w:t xml:space="preserve"> традиционным знаниям и фольклору</w:t>
      </w:r>
    </w:p>
    <w:p w14:paraId="2A2AF5A0" w14:textId="07DB47D8" w:rsidR="008B2CC1" w:rsidRPr="003845C1" w:rsidRDefault="007F1B0C" w:rsidP="008B2CC1">
      <w:pPr>
        <w:rPr>
          <w:b/>
          <w:sz w:val="24"/>
          <w:szCs w:val="24"/>
        </w:rPr>
      </w:pPr>
      <w:r>
        <w:rPr>
          <w:b/>
          <w:sz w:val="24"/>
        </w:rPr>
        <w:t xml:space="preserve">Пятидесятая </w:t>
      </w:r>
      <w:r w:rsidR="000D1DD6">
        <w:rPr>
          <w:b/>
          <w:sz w:val="24"/>
        </w:rPr>
        <w:t>сессия</w:t>
      </w:r>
    </w:p>
    <w:p w14:paraId="4D1DB4E5" w14:textId="0141CA25" w:rsidR="008B2CC1" w:rsidRPr="003845C1" w:rsidRDefault="000D1DD6" w:rsidP="00EC2E0C">
      <w:pPr>
        <w:spacing w:after="720"/>
        <w:rPr>
          <w:b/>
          <w:sz w:val="24"/>
          <w:szCs w:val="24"/>
        </w:rPr>
      </w:pPr>
      <w:r>
        <w:rPr>
          <w:b/>
          <w:sz w:val="24"/>
        </w:rPr>
        <w:t xml:space="preserve">Женева, </w:t>
      </w:r>
      <w:r w:rsidR="00624D39">
        <w:rPr>
          <w:b/>
          <w:sz w:val="24"/>
        </w:rPr>
        <w:t>3</w:t>
      </w:r>
      <w:r>
        <w:rPr>
          <w:b/>
          <w:sz w:val="24"/>
        </w:rPr>
        <w:t>–</w:t>
      </w:r>
      <w:r w:rsidR="00624D39">
        <w:rPr>
          <w:b/>
          <w:sz w:val="24"/>
        </w:rPr>
        <w:t>7</w:t>
      </w:r>
      <w:r>
        <w:rPr>
          <w:b/>
          <w:sz w:val="24"/>
        </w:rPr>
        <w:t xml:space="preserve"> </w:t>
      </w:r>
      <w:r w:rsidR="00624D39">
        <w:rPr>
          <w:b/>
          <w:sz w:val="24"/>
        </w:rPr>
        <w:t>марта</w:t>
      </w:r>
      <w:r>
        <w:rPr>
          <w:b/>
          <w:sz w:val="24"/>
        </w:rPr>
        <w:t xml:space="preserve"> 202</w:t>
      </w:r>
      <w:r w:rsidR="00624D39">
        <w:rPr>
          <w:b/>
          <w:sz w:val="24"/>
        </w:rPr>
        <w:t>5</w:t>
      </w:r>
      <w:r>
        <w:rPr>
          <w:b/>
          <w:sz w:val="24"/>
        </w:rPr>
        <w:t xml:space="preserve"> г</w:t>
      </w:r>
      <w:r w:rsidR="00D323D1">
        <w:rPr>
          <w:b/>
          <w:sz w:val="24"/>
        </w:rPr>
        <w:t>ода</w:t>
      </w:r>
    </w:p>
    <w:p w14:paraId="43D67B6C" w14:textId="77777777" w:rsidR="00063FCA" w:rsidRPr="004F28B8" w:rsidRDefault="00063FCA" w:rsidP="00E1777D">
      <w:pPr>
        <w:spacing w:after="360"/>
      </w:pPr>
      <w:bookmarkStart w:id="3" w:name="TitleOfDoc"/>
      <w:bookmarkEnd w:id="3"/>
      <w:r>
        <w:rPr>
          <w:caps/>
          <w:sz w:val="24"/>
        </w:rPr>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14:paraId="1649A5B8" w14:textId="77777777" w:rsidR="00063FCA" w:rsidRPr="008B2CC1" w:rsidRDefault="00063FCA" w:rsidP="00E1777D">
      <w:pPr>
        <w:spacing w:after="1080"/>
        <w:rPr>
          <w:i/>
        </w:rPr>
      </w:pPr>
      <w:bookmarkStart w:id="4" w:name="Prepared"/>
      <w:bookmarkEnd w:id="4"/>
      <w:r>
        <w:rPr>
          <w:i/>
        </w:rPr>
        <w:t>Документ подготовлен Секретариатом</w:t>
      </w:r>
    </w:p>
    <w:p w14:paraId="22674243" w14:textId="7890ACAA" w:rsidR="0033534F" w:rsidRDefault="00063FCA" w:rsidP="00063FCA">
      <w:pPr>
        <w:pStyle w:val="ONUME"/>
      </w:pPr>
      <w:r>
        <w:t>Признав</w:t>
      </w:r>
      <w:r w:rsidR="0033534F">
        <w:t>ая</w:t>
      </w:r>
      <w:r>
        <w:t xml:space="preserve"> значимость документа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профессором Джеймсом Анаей, экспертом из числа представителей коренных народов, для работы Межправительственного комитета ВОИС по интеллектуальной собственности, генетическим ресурсам, традиционным знаниям и фольклору («Комитет») и ссылаясь на рекомендацию Постоянного форума Организации Объединенных Наций по вопросам коренных народов (ПФООНКН), вынесенную на его 18-й сессии в 2019 г., Комитет на своей 40-й сессии просил Секретариат дать поручение о подготовке</w:t>
      </w:r>
      <w:r w:rsidR="0033534F">
        <w:t>, в рамках имеющихся ресурсов,</w:t>
      </w:r>
      <w:r>
        <w:t xml:space="preserve"> экспертом из числа представителей коренных народов обновленного отчета об этой Технической экспертизе для рассмотрения Комитетом в течение двухгодичного периода 2020</w:t>
      </w:r>
      <w:r w:rsidR="0033534F">
        <w:t>–</w:t>
      </w:r>
      <w:r>
        <w:t>2021 гг.</w:t>
      </w:r>
      <w:r>
        <w:rPr>
          <w:rStyle w:val="FootnoteReference"/>
        </w:rPr>
        <w:footnoteReference w:id="2"/>
      </w:r>
    </w:p>
    <w:p w14:paraId="402DCF4E" w14:textId="77777777" w:rsidR="0033534F" w:rsidRDefault="0033534F">
      <w:r>
        <w:br w:type="page"/>
      </w:r>
    </w:p>
    <w:p w14:paraId="6E65C394" w14:textId="77777777" w:rsidR="00063FCA" w:rsidRDefault="00063FCA" w:rsidP="00063FCA">
      <w:pPr>
        <w:pStyle w:val="ONUME"/>
      </w:pPr>
      <w:r>
        <w:lastRenderedPageBreak/>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Обновленный отчет о технической экспертизе, который затем прошел слепое рецензирование двумя экспертами из числа представителей коренных народов.  Обновленный отчет о технической экспертизе подготовленный привлеченными экспертами из числа представителей коренных народов, содержится в приложении к настоящему документу. </w:t>
      </w:r>
    </w:p>
    <w:p w14:paraId="510CEA4B" w14:textId="77777777" w:rsidR="00063FCA" w:rsidRPr="00975206" w:rsidRDefault="00063FCA" w:rsidP="00063FCA">
      <w:pPr>
        <w:pStyle w:val="ONUME"/>
        <w:ind w:left="5533"/>
        <w:rPr>
          <w:i/>
        </w:rPr>
      </w:pPr>
      <w:r>
        <w:rPr>
          <w:i/>
        </w:rPr>
        <w:t>Комитету предлагается принять к сведению приложение к настоящему документу.</w:t>
      </w:r>
    </w:p>
    <w:p w14:paraId="77851DE1" w14:textId="77777777" w:rsidR="00063FCA" w:rsidRDefault="00063FCA" w:rsidP="00063FCA">
      <w:pPr>
        <w:spacing w:before="240"/>
        <w:ind w:left="5530"/>
      </w:pPr>
      <w:r>
        <w:t>[Приложение следует]</w:t>
      </w:r>
    </w:p>
    <w:p w14:paraId="48D82A63" w14:textId="77777777" w:rsidR="00063FCA" w:rsidRDefault="00063FCA" w:rsidP="00063FCA">
      <w:pPr>
        <w:ind w:left="5533"/>
        <w:sectPr w:rsidR="00063FCA" w:rsidSect="000F2AD2">
          <w:headerReference w:type="even" r:id="rId9"/>
          <w:headerReference w:type="default" r:id="rId10"/>
          <w:footerReference w:type="first" r:id="rId11"/>
          <w:footnotePr>
            <w:numRestart w:val="eachSect"/>
          </w:footnotePr>
          <w:endnotePr>
            <w:numFmt w:val="decimal"/>
          </w:endnotePr>
          <w:pgSz w:w="11907" w:h="16840" w:code="9"/>
          <w:pgMar w:top="567" w:right="1134" w:bottom="1418" w:left="1418" w:header="510" w:footer="1021" w:gutter="0"/>
          <w:cols w:space="720"/>
          <w:titlePg/>
          <w:docGrid w:linePitch="299"/>
        </w:sectPr>
      </w:pPr>
    </w:p>
    <w:p w14:paraId="27DEF64D" w14:textId="77777777" w:rsidR="00063FCA" w:rsidRDefault="00063FCA" w:rsidP="00063FCA">
      <w:pPr>
        <w:spacing w:before="240"/>
        <w:jc w:val="center"/>
        <w:rPr>
          <w:b/>
        </w:rPr>
      </w:pPr>
      <w:r>
        <w:rPr>
          <w:b/>
        </w:rPr>
        <w:lastRenderedPageBreak/>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14:paraId="2F9BB5C0" w14:textId="77777777" w:rsidR="00063FCA" w:rsidRPr="008B5CD1" w:rsidRDefault="00063FCA" w:rsidP="00063FCA">
      <w:pPr>
        <w:spacing w:before="480"/>
        <w:jc w:val="center"/>
      </w:pPr>
      <w:r>
        <w:t>Г-н Элифураха Лалтаика и г-жа Нева Коллингс</w:t>
      </w:r>
    </w:p>
    <w:p w14:paraId="03984F0F" w14:textId="77777777" w:rsidR="00063FCA" w:rsidRDefault="00063FCA" w:rsidP="00063FCA">
      <w:pPr>
        <w:keepNext/>
        <w:spacing w:before="480" w:after="180"/>
        <w:rPr>
          <w:b/>
        </w:rPr>
      </w:pPr>
      <w:r>
        <w:rPr>
          <w:b/>
        </w:rPr>
        <w:t>ИСТОРИЯ ВОПРОСА И ВВЕДЕНИЕ</w:t>
      </w:r>
    </w:p>
    <w:p w14:paraId="051DB0CB" w14:textId="77777777" w:rsidR="00063FCA" w:rsidRPr="00A876D6" w:rsidRDefault="00063FCA" w:rsidP="00063FCA">
      <w:pPr>
        <w:pStyle w:val="ONUME"/>
        <w:numPr>
          <w:ilvl w:val="0"/>
          <w:numId w:val="7"/>
        </w:numPr>
      </w:pPr>
      <w: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t xml:space="preserve"> привлечь и оплатить услуги эксперта из числа коренных народов для подготовки обновленной версии отчета о технической экспертизе 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выражениям культуры (ТВК) в контексте прав человека, принадлежащих коренным народам («Отчет о технической экспертизе»), подготовленного в 2014 году профессором Джеймсом Анаей</w:t>
      </w:r>
      <w:r w:rsidRPr="008B5CD1">
        <w:rPr>
          <w:vertAlign w:val="superscript"/>
          <w:lang w:val="en-GB"/>
        </w:rPr>
        <w:footnoteReference w:id="4"/>
      </w:r>
      <w:r>
        <w:t>.</w:t>
      </w:r>
    </w:p>
    <w:p w14:paraId="5F141404" w14:textId="77777777" w:rsidR="00063FCA" w:rsidRDefault="00063FCA" w:rsidP="00063FCA">
      <w:pPr>
        <w:pStyle w:val="ONUME"/>
      </w:pPr>
      <w:r>
        <w:t>ПФООНКН рекомендовал подготовить обновленный отчет о технической экспертизе «для отражения текущих вопросов, уделив особое внимание таким понятиям, как "баланс" и "общественное достояние", и вопросу о том, как они могут противоречить правам человека, принадлежащим коренным народам и их обычному праву, а также обязательству учитывать и соблюдать права человека в работе ВОИС»</w:t>
      </w:r>
      <w:r w:rsidRPr="008B5CD1">
        <w:rPr>
          <w:vertAlign w:val="superscript"/>
          <w:lang w:val="en-GB"/>
        </w:rPr>
        <w:footnoteReference w:id="5"/>
      </w:r>
      <w:r>
        <w:t xml:space="preserve">.  Запрошенный обновленный отчет о технической экспертизе содержится в настоящем отчете. </w:t>
      </w:r>
    </w:p>
    <w:p w14:paraId="2050C71B" w14:textId="77777777" w:rsidR="00063FCA" w:rsidRDefault="00063FCA" w:rsidP="00063FCA">
      <w:pPr>
        <w:pStyle w:val="ONUME"/>
      </w:pPr>
      <w:r>
        <w:t>Отчет о технической экспертизе, подготовленный профессором Анаей – это документ, имеющий непреходящую теоретическую и практическую значимость с точки зрения исследования связей между охраной интеллектуальной собственности и правами человека, принадлежащими коренным народам.  В нем обосновывается ключевая роль согласия коренных народов на доступ к их ТЗ, ТВК и ГР как предварительного условия предоставления такого доступа</w:t>
      </w:r>
      <w:r w:rsidRPr="008B5CD1">
        <w:rPr>
          <w:vertAlign w:val="superscript"/>
          <w:lang w:val="en-GB"/>
        </w:rPr>
        <w:footnoteReference w:id="6"/>
      </w:r>
      <w:r>
        <w:t xml:space="preserve">. </w:t>
      </w:r>
    </w:p>
    <w:p w14:paraId="55F30EA1" w14:textId="77777777" w:rsidR="00063FCA" w:rsidRDefault="00063FCA" w:rsidP="00063FCA">
      <w:pPr>
        <w:pStyle w:val="ONUME"/>
      </w:pPr>
      <w:r>
        <w:t>Таким образом, данный Обновленный отчет о технической экспертизе основан на работе профессора Аная, выполненной по запросу ПФООНКН.  Текущие проекты текстов МКГР по ТЗ, ТВК и ГР рассматриваются в нем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 принадлежащими коренным народам, рассмотренными в Отчете о технической экспертизе, подготовленном профессором Джеймсом Анаей.</w:t>
      </w:r>
    </w:p>
    <w:p w14:paraId="68851CB0" w14:textId="77777777" w:rsidR="00063FCA" w:rsidRDefault="00063FCA" w:rsidP="00063FCA">
      <w:pPr>
        <w:pStyle w:val="ONUME"/>
      </w:pPr>
      <w:r>
        <w:lastRenderedPageBreak/>
        <w:t>С точки зрения структуры данный Обновленный отчет делится на три части.  Первая часть охватывает обновленный обзор проектов статей МКГР по ТЗ</w:t>
      </w:r>
      <w:r w:rsidRPr="008B5CD1">
        <w:rPr>
          <w:vertAlign w:val="superscript"/>
          <w:lang w:val="en-GB"/>
        </w:rPr>
        <w:footnoteReference w:id="7"/>
      </w:r>
      <w:r>
        <w:t xml:space="preserve"> и ТВК</w:t>
      </w:r>
      <w:r w:rsidRPr="008B5CD1">
        <w:rPr>
          <w:vertAlign w:val="superscript"/>
          <w:lang w:val="en-GB"/>
        </w:rPr>
        <w:footnoteReference w:id="8"/>
      </w:r>
      <w:r>
        <w:t>.  Вторая часть включает обновленный обзор «Сводного документа, касающегося интеллектуальной собственности и ГР» (далее «Сводный документ»), и «Проекта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Pr="008B5CD1">
        <w:rPr>
          <w:vertAlign w:val="superscript"/>
          <w:lang w:val="en-GB"/>
        </w:rPr>
        <w:footnoteReference w:id="9"/>
      </w:r>
      <w:r>
        <w:t xml:space="preserve">.  Третья часть содержит заключительные соображения. </w:t>
      </w:r>
    </w:p>
    <w:p w14:paraId="55AA82D9" w14:textId="77777777" w:rsidR="00063FCA" w:rsidRDefault="00063FCA" w:rsidP="00063FCA">
      <w:pPr>
        <w:pStyle w:val="ONUME"/>
      </w:pPr>
      <w:r>
        <w:t xml:space="preserve">Всю ответственность за содержание данного Обновленного отчета о технической экспертизе несут его авторы.  Он ни в коей мере не отражает мнения Секретариата ВОИС, государств-членов ВОИС или наблюдателей. </w:t>
      </w:r>
    </w:p>
    <w:p w14:paraId="096AA2CA" w14:textId="1028396B" w:rsidR="00063FCA" w:rsidRDefault="00063FCA" w:rsidP="00063FCA">
      <w:pPr>
        <w:keepNext/>
        <w:spacing w:before="240" w:after="220"/>
        <w:rPr>
          <w:b/>
        </w:rPr>
      </w:pPr>
      <w:r>
        <w:rPr>
          <w:b/>
        </w:rPr>
        <w:t>ЧАСТЬ 1</w:t>
      </w:r>
      <w:r w:rsidR="00FF3E6B">
        <w:rPr>
          <w:b/>
        </w:rPr>
        <w:t>.</w:t>
      </w:r>
      <w:r>
        <w:rPr>
          <w:b/>
        </w:rPr>
        <w:t xml:space="preserve"> ПРОЕКТЫ ТЕКСТОВ МКГР ПО ТЗ И ТВК</w:t>
      </w:r>
    </w:p>
    <w:p w14:paraId="5AF3DEB2" w14:textId="2858681A" w:rsidR="00063FCA" w:rsidRPr="00A876D6" w:rsidRDefault="00063FCA" w:rsidP="00063FCA">
      <w:pPr>
        <w:keepNext/>
        <w:spacing w:after="180"/>
        <w:rPr>
          <w:b/>
          <w:bCs/>
          <w:iCs/>
        </w:rPr>
      </w:pPr>
      <w:r>
        <w:rPr>
          <w:b/>
        </w:rPr>
        <w:t>Обеспечение баланса</w:t>
      </w:r>
    </w:p>
    <w:p w14:paraId="58B33F29" w14:textId="77777777" w:rsidR="00063FCA" w:rsidRDefault="00063FCA" w:rsidP="00063FCA">
      <w:pPr>
        <w:pStyle w:val="ONUME"/>
      </w:pPr>
      <w:r>
        <w:t>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применение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Pr="008B5CD1">
        <w:rPr>
          <w:vertAlign w:val="superscript"/>
          <w:lang w:val="en-GB"/>
        </w:rPr>
        <w:footnoteReference w:id="10"/>
      </w:r>
      <w:r>
        <w:t xml:space="preserve">.  </w:t>
      </w:r>
    </w:p>
    <w:p w14:paraId="6F8AE255" w14:textId="77777777" w:rsidR="00063FCA" w:rsidRDefault="00063FCA" w:rsidP="00063FCA">
      <w:pPr>
        <w:pStyle w:val="ONUME"/>
      </w:pPr>
      <w:r>
        <w:t xml:space="preserve">Здесь возникает, однако, серьезная проблема, связанная с тем, что механизмы интеллектуальной собственности ориентированы, как правило, на охрану интересов индивидуальных или корпоративных изобретателей, в то время как коренные народы владеют знаниями коллективно.  Теоретически «баланс» предполагает, соответственно,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Но этот подход проблематичен для коренных народов, поскольку ТЗ и ТВК являются неотъемлемой частью их групповой идентичности и передаются из поколения в поколение.  Важно отметить, что ТЗ и ТВК коренных народов содержат истории, нормы обычного права, протоколы, церемонии, особенности уклада жизни и мировоззрения, которые не предполагают коммерциализации. </w:t>
      </w:r>
    </w:p>
    <w:p w14:paraId="3E19B9EF" w14:textId="77777777" w:rsidR="00063FCA" w:rsidRDefault="00063FCA" w:rsidP="00063FCA">
      <w:pPr>
        <w:pStyle w:val="ONUME"/>
      </w:pPr>
      <w:r>
        <w:lastRenderedPageBreak/>
        <w:t>Хотя применительно к физическим и юридическим лицам такой «баланс» оправдан, применение этого понятия 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Pr="008B5CD1">
        <w:rPr>
          <w:vertAlign w:val="superscript"/>
          <w:lang w:val="en-GB"/>
        </w:rPr>
        <w:footnoteReference w:id="11"/>
      </w:r>
      <w:r>
        <w:t>.  Это право предполагает стремление 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 соответствии с принципом свободного, предварительного и осознанного согласия (СПОС)</w:t>
      </w:r>
      <w:r w:rsidRPr="008B5CD1">
        <w:rPr>
          <w:vertAlign w:val="superscript"/>
          <w:lang w:val="en-GB"/>
        </w:rPr>
        <w:footnoteReference w:id="12"/>
      </w:r>
      <w:r>
        <w:t xml:space="preserve">. </w:t>
      </w:r>
    </w:p>
    <w:p w14:paraId="7BFEE4C1" w14:textId="77777777" w:rsidR="00063FCA" w:rsidRDefault="00063FCA" w:rsidP="00063FCA">
      <w:pPr>
        <w:pStyle w:val="ONUME"/>
      </w:pPr>
      <w:r>
        <w:t xml:space="preserve">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 </w:t>
      </w:r>
    </w:p>
    <w:p w14:paraId="7C9AC5A2" w14:textId="77777777" w:rsidR="00063FCA" w:rsidRDefault="00063FCA" w:rsidP="00063FCA">
      <w:pPr>
        <w:pStyle w:val="ONUME"/>
      </w:pPr>
      <w:r>
        <w:t>Возможным частичным решением этой головоломной задачи является создание системы охраны ТЗ и ТВК sui generis</w:t>
      </w:r>
      <w:r w:rsidRPr="008B5CD1">
        <w:rPr>
          <w:vertAlign w:val="superscript"/>
          <w:lang w:val="en-GB"/>
        </w:rPr>
        <w:footnoteReference w:id="13"/>
      </w:r>
      <w:r>
        <w:t>, учитывающей права человека, принадлежащие коренным народам и их обычное право, вместо распространения на них норм системы интеллектуальной собственности, как это показано в пунктах 12 и 13 данного Обновленного отчета.  Предполагаемая система sui generis должна уважать права коренных народов на контроль и охрану их ТЗ и ТВК.</w:t>
      </w:r>
    </w:p>
    <w:p w14:paraId="589CCC10" w14:textId="5ADAB586" w:rsidR="00FF3E6B" w:rsidRDefault="00063FCA" w:rsidP="00063FCA">
      <w:pPr>
        <w:pStyle w:val="ONUME"/>
      </w:pPr>
      <w: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 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 также компенсацию или реституцию</w:t>
      </w:r>
      <w:r w:rsidRPr="008B5CD1">
        <w:rPr>
          <w:vertAlign w:val="superscript"/>
          <w:lang w:val="en-GB"/>
        </w:rPr>
        <w:footnoteReference w:id="14"/>
      </w:r>
      <w:r>
        <w:t>.  Декларация Организации Объединенных Наций о 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Pr="008B5CD1">
        <w:rPr>
          <w:vertAlign w:val="superscript"/>
          <w:lang w:val="en-GB"/>
        </w:rPr>
        <w:footnoteReference w:id="15"/>
      </w:r>
      <w:r>
        <w:t>.</w:t>
      </w:r>
    </w:p>
    <w:p w14:paraId="1372B0CC" w14:textId="77777777" w:rsidR="00FF3E6B" w:rsidRDefault="00FF3E6B">
      <w:r>
        <w:br w:type="page"/>
      </w:r>
    </w:p>
    <w:p w14:paraId="124D7787" w14:textId="77777777" w:rsidR="00063FCA" w:rsidRDefault="00063FCA" w:rsidP="00063FCA">
      <w:pPr>
        <w:pStyle w:val="ONUME"/>
      </w:pPr>
      <w:r>
        <w:lastRenderedPageBreak/>
        <w:t>Ключевыми элементами режимов sui generis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третьими сторонами</w:t>
      </w:r>
      <w:r w:rsidRPr="008B5CD1">
        <w:rPr>
          <w:vertAlign w:val="superscript"/>
          <w:lang w:val="en-GB"/>
        </w:rPr>
        <w:footnoteReference w:id="16"/>
      </w:r>
      <w:r>
        <w:t>.  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Pr="008B5CD1">
        <w:rPr>
          <w:vertAlign w:val="superscript"/>
          <w:lang w:val="en-GB"/>
        </w:rPr>
        <w:footnoteReference w:id="17"/>
      </w:r>
      <w:r>
        <w:t xml:space="preserve">. </w:t>
      </w:r>
    </w:p>
    <w:p w14:paraId="40EF373B" w14:textId="77777777" w:rsidR="00063FCA" w:rsidRPr="00A876D6" w:rsidRDefault="00063FCA" w:rsidP="00063FCA">
      <w:pPr>
        <w:keepNext/>
        <w:spacing w:after="220"/>
        <w:rPr>
          <w:b/>
          <w:bCs/>
          <w:iCs/>
        </w:rPr>
      </w:pPr>
      <w:r>
        <w:rPr>
          <w:b/>
        </w:rPr>
        <w:t>Возмещение ущерба</w:t>
      </w:r>
    </w:p>
    <w:p w14:paraId="3426AD53" w14:textId="77777777" w:rsidR="00063FCA" w:rsidRDefault="00063FCA" w:rsidP="00063FCA">
      <w:pPr>
        <w:pStyle w:val="ONUME"/>
      </w:pPr>
      <w: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культурных ценностей и интеллектуальной собственности, использованных без СПОС, что может включать принятие специальных конкретных мер</w:t>
      </w:r>
      <w:r w:rsidRPr="008B5CD1">
        <w:rPr>
          <w:vertAlign w:val="superscript"/>
          <w:lang w:val="en-GB"/>
        </w:rPr>
        <w:footnoteReference w:id="18"/>
      </w:r>
      <w:r>
        <w:t>.  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Pr="008B5CD1">
        <w:rPr>
          <w:vertAlign w:val="superscript"/>
          <w:lang w:val="en-GB"/>
        </w:rPr>
        <w:footnoteReference w:id="19"/>
      </w:r>
      <w:r>
        <w:t xml:space="preserve">. </w:t>
      </w:r>
    </w:p>
    <w:p w14:paraId="4AD4094A" w14:textId="77777777" w:rsidR="00063FCA" w:rsidRDefault="00063FCA" w:rsidP="00063FCA">
      <w:pPr>
        <w:pStyle w:val="ONUME"/>
      </w:pPr>
      <w:r>
        <w:t>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создавать препятствия для использования запатентованного изобретения коренными народами-первоначальными обладателями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предусматривать репатриацию на том основании, что «переговоры не могут относиться только к будущей практике, связанной с патентными вопросами», но должны также учитывать «случаи незаконного присвоения и противоправных действий, уже имевшие место ранее»</w:t>
      </w:r>
      <w:r w:rsidRPr="008B5CD1">
        <w:rPr>
          <w:vertAlign w:val="superscript"/>
          <w:lang w:val="en-GB"/>
        </w:rPr>
        <w:footnoteReference w:id="20"/>
      </w:r>
      <w:r>
        <w:t>.</w:t>
      </w:r>
    </w:p>
    <w:p w14:paraId="4375484E" w14:textId="160B823B" w:rsidR="00FF3E6B" w:rsidRDefault="00063FCA" w:rsidP="00063FCA">
      <w:pPr>
        <w:pStyle w:val="ONUME"/>
      </w:pPr>
      <w:r>
        <w:t>Определенные положения, касающиеся реституции, содержатся в «Добровольном руководстве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принятом в рамках Конвенции о биологическом разнообразии (КБР), которое содержит рекомендации в отношении мер по репатриации, в том числе призванных обеспечить совместное использование выгод</w:t>
      </w:r>
      <w:r w:rsidRPr="008B5CD1">
        <w:rPr>
          <w:vertAlign w:val="superscript"/>
          <w:lang w:val="en-GB"/>
        </w:rPr>
        <w:footnoteReference w:id="21"/>
      </w:r>
      <w:r>
        <w:t xml:space="preserve">. </w:t>
      </w:r>
    </w:p>
    <w:p w14:paraId="528FDBC4" w14:textId="77777777" w:rsidR="00FF3E6B" w:rsidRDefault="00FF3E6B">
      <w:r>
        <w:br w:type="page"/>
      </w:r>
    </w:p>
    <w:p w14:paraId="0563ABCF" w14:textId="77777777" w:rsidR="00063FCA" w:rsidRDefault="00063FCA" w:rsidP="00063FCA">
      <w:pPr>
        <w:pStyle w:val="ONUME"/>
      </w:pPr>
      <w:r>
        <w:lastRenderedPageBreak/>
        <w:t>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знаниями», которые касаются порядка предоставления предварительного и осознанного согласия, свободного, предварительного и осознанного согласия или, соответственно, одобрения и участия, а также, в соответствующих случаях, взаимно согласованных условий и совместного использования выгод при предоставлении доступа к используемым генетическим ресурсам и связанным с ними традиционным знаниям</w:t>
      </w:r>
      <w:r w:rsidRPr="008B5CD1">
        <w:rPr>
          <w:vertAlign w:val="superscript"/>
          <w:lang w:val="en-GB"/>
        </w:rPr>
        <w:footnoteReference w:id="22"/>
      </w:r>
      <w:r>
        <w:t xml:space="preserve">. </w:t>
      </w:r>
    </w:p>
    <w:p w14:paraId="5BC2E503" w14:textId="73EEBFDF" w:rsidR="00063FCA" w:rsidRPr="00A876D6" w:rsidRDefault="00063FCA" w:rsidP="00063FCA">
      <w:pPr>
        <w:keepNext/>
        <w:spacing w:after="220"/>
        <w:rPr>
          <w:b/>
          <w:bCs/>
          <w:iCs/>
        </w:rPr>
      </w:pPr>
      <w:r>
        <w:rPr>
          <w:b/>
        </w:rPr>
        <w:t>Общественное достояние</w:t>
      </w:r>
    </w:p>
    <w:p w14:paraId="5ED8827F" w14:textId="77777777" w:rsidR="00063FCA" w:rsidRDefault="00063FCA" w:rsidP="00063FCA">
      <w:pPr>
        <w:pStyle w:val="ONUME"/>
      </w:pPr>
      <w:r>
        <w:t>Общественное достояние Понятие «общественного достояния», обычно используемое в 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Pr="008B5CD1">
        <w:rPr>
          <w:vertAlign w:val="superscript"/>
          <w:lang w:val="en-GB"/>
        </w:rPr>
        <w:footnoteReference w:id="23"/>
      </w:r>
      <w:r>
        <w:t>.  Это означает, что по истечении срока действия исключительных имущественных прав произведения авторов становятся общедоступными.  Смысл данного понятия – обеспечение публичной доступности информации и материалов, необходимых для создания новых произведений</w:t>
      </w:r>
      <w:r w:rsidRPr="008B5CD1">
        <w:rPr>
          <w:vertAlign w:val="superscript"/>
          <w:lang w:val="en-GB"/>
        </w:rPr>
        <w:footnoteReference w:id="24"/>
      </w:r>
      <w:r>
        <w:t>.</w:t>
      </w:r>
    </w:p>
    <w:p w14:paraId="33133D3F" w14:textId="77777777" w:rsidR="00063FCA" w:rsidRDefault="00063FCA" w:rsidP="00063FCA">
      <w:pPr>
        <w:pStyle w:val="ONUME"/>
      </w:pPr>
      <w:r>
        <w:t>Из вышеизложенного вытекает, что основания для охраны интеллектуальной собственности существуют в течение ограниченного времени. Однако эта практика может углублять очевидное противоречие между системами интеллектуальной собственности в целом, со стороны, и ценностями коренных народов и правами человека, принадлежащими коренным народам, закрепленными различными международными нормами в области прав человека</w:t>
      </w:r>
      <w:r w:rsidRPr="008B5CD1">
        <w:rPr>
          <w:vertAlign w:val="superscript"/>
          <w:lang w:val="en-GB"/>
        </w:rPr>
        <w:footnoteReference w:id="25"/>
      </w:r>
      <w:r>
        <w:t xml:space="preserve">. </w:t>
      </w:r>
    </w:p>
    <w:p w14:paraId="04215E13" w14:textId="77777777" w:rsidR="00063FCA" w:rsidRDefault="00063FCA" w:rsidP="00063FCA">
      <w:pPr>
        <w:pStyle w:val="ONUME"/>
      </w:pPr>
      <w:r>
        <w:t>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столь тесно связаны с самой идентичностью нации, группы или сообщества, обращение таких инноваций в общественное достояние вызывает определенные трудности.</w:t>
      </w:r>
    </w:p>
    <w:p w14:paraId="0F22BD9F" w14:textId="23B57596" w:rsidR="00FF3E6B" w:rsidRDefault="00063FCA" w:rsidP="00063FCA">
      <w:pPr>
        <w:pStyle w:val="ONUME"/>
      </w:pPr>
      <w:r>
        <w:t>Учитывая сказанное, в связи с понятием «общественного достояния» существуют различные мнения об охране ТЗ и ТВК.  Согласно одному из подходов, ТЗ – это «ценная информация, находящаяся в собственности, и разрешение на ее использование должно предоставляться 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существующего уровня техники, а в остальных отношениях допускают свободное использование без какой-либо компенсации»</w:t>
      </w:r>
      <w:r w:rsidRPr="008B5CD1">
        <w:rPr>
          <w:vertAlign w:val="superscript"/>
          <w:lang w:val="en-GB"/>
        </w:rPr>
        <w:footnoteReference w:id="26"/>
      </w:r>
      <w:r>
        <w:t>.</w:t>
      </w:r>
    </w:p>
    <w:p w14:paraId="036CC35A" w14:textId="77777777" w:rsidR="00FF3E6B" w:rsidRDefault="00FF3E6B">
      <w:r>
        <w:br w:type="page"/>
      </w:r>
    </w:p>
    <w:p w14:paraId="42D13183" w14:textId="77777777" w:rsidR="00063FCA" w:rsidRDefault="00063FCA" w:rsidP="00063FCA">
      <w:pPr>
        <w:pStyle w:val="ONUME"/>
      </w:pPr>
      <w:r>
        <w:lastRenderedPageBreak/>
        <w:t>С точки зрения коренных народов понятие общественного достояния противоречит правам человека, принадлежащим коренным народам, которые закреплены в авторитетных международных документах, таких как ДПКНООН.  Оно также не соответствует обычному праву коренных народов.  В то время как оно предполагает права ограниченного срока действия, коренные народы считают ТЗ и ТВК и связанные с ними права человека, такие как право на самоопределение, принцип СПОС</w:t>
      </w:r>
      <w:r w:rsidRPr="008B5CD1">
        <w:rPr>
          <w:vertAlign w:val="superscript"/>
          <w:lang w:val="en-GB"/>
        </w:rPr>
        <w:footnoteReference w:id="27"/>
      </w:r>
      <w:r>
        <w:t xml:space="preserve"> и соответствующие права на земли, территории и ресурсы, бессрочными.  Соответственно, установление ограниченного срока действия прав на ТЗ и ТВК коренных народов противоречит неограниченному и межпоколенческому характеру прав на ТЗ и ТВК, как они понимаются коренными народами.  </w:t>
      </w:r>
    </w:p>
    <w:p w14:paraId="6E6543A2" w14:textId="77777777" w:rsidR="00063FCA" w:rsidRDefault="00063FCA" w:rsidP="00063FCA">
      <w:pPr>
        <w:pStyle w:val="ONUME"/>
        <w:keepLines/>
      </w:pPr>
      <w: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Заполнение этого пробела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подход может оказаться нежелательным.  Сложность задачи, стоящей перед МКГР, состоит в том, чтобы сформировать пространство для выработки 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 </w:t>
      </w:r>
    </w:p>
    <w:p w14:paraId="3DE07DE9" w14:textId="77777777" w:rsidR="00063FCA" w:rsidRDefault="00063FCA" w:rsidP="00063FCA">
      <w:pPr>
        <w:pStyle w:val="ONUME"/>
      </w:pPr>
      <w:r>
        <w:t>Кроме того, возможности более широкого распространения тех ТЗ и ТВК, которые коренные народы стремятся защитить, увеличились с появлением цифровых библиотек и современных технологий.  Ввиду этих процессов некоторые представители коренных народов в МКГР утверждали, что определенные виды знаний следует изъять из обращения и репатриировать тем группам коренного населения, которыми такие ТЗ или ТВК были созданы.</w:t>
      </w:r>
    </w:p>
    <w:p w14:paraId="684B2863" w14:textId="7E8F0E96" w:rsidR="00063FCA" w:rsidRPr="00A876D6" w:rsidRDefault="00063FCA" w:rsidP="00063FCA">
      <w:pPr>
        <w:keepNext/>
        <w:spacing w:after="220"/>
        <w:rPr>
          <w:b/>
          <w:bCs/>
          <w:iCs/>
        </w:rPr>
      </w:pPr>
      <w:r>
        <w:rPr>
          <w:b/>
        </w:rPr>
        <w:t>Исключения и ограничения</w:t>
      </w:r>
    </w:p>
    <w:p w14:paraId="26594884" w14:textId="77777777" w:rsidR="00063FCA" w:rsidRDefault="00063FCA" w:rsidP="00063FCA">
      <w:pPr>
        <w:pStyle w:val="ONUME"/>
      </w:pPr>
      <w:r>
        <w:t>В области охраны интеллектуальной собственности предусмотрены основания для освобождения пользователей объектов, охраняемых правами интеллектуальной собственности, от соблюдения, при определенных условиях, установленных в их отношении требований.  Такая практика называется «исключениями и ограничениями»</w:t>
      </w:r>
      <w:r w:rsidRPr="008B5CD1">
        <w:rPr>
          <w:vertAlign w:val="superscript"/>
          <w:lang w:val="en-GB"/>
        </w:rPr>
        <w:footnoteReference w:id="28"/>
      </w:r>
      <w:r>
        <w:t>.  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Pr="008B5CD1">
        <w:rPr>
          <w:vertAlign w:val="superscript"/>
          <w:lang w:val="en-GB"/>
        </w:rPr>
        <w:footnoteReference w:id="29"/>
      </w:r>
      <w:r>
        <w:t>.</w:t>
      </w:r>
    </w:p>
    <w:p w14:paraId="4A3FAEAB" w14:textId="77777777" w:rsidR="00063FCA" w:rsidRDefault="00063FCA" w:rsidP="00063FCA">
      <w:pPr>
        <w:pStyle w:val="ONUME"/>
      </w:pPr>
      <w:r>
        <w:t xml:space="preserve">Понятие «ограничений и исключений» не имеет в виду ограничение использования ТЗ и ТВК коренными народами.  Оно касается условий, при которых ТЗ и ТВК изымаются из сферы охраны интеллектуальной собственности.  Существует, однако, потенциальный риск того, что такое изъятие будет противоречить праву коренных народов на самоопределение и принципу СПОС. </w:t>
      </w:r>
    </w:p>
    <w:p w14:paraId="081CB13D" w14:textId="77777777" w:rsidR="00063FCA" w:rsidRDefault="00063FCA" w:rsidP="00063FCA">
      <w:pPr>
        <w:pStyle w:val="ONUME"/>
      </w:pPr>
      <w:r>
        <w:t>Что касается права на самоопределение, то, как указывалось выше, коренные народы имеют право на автономию и самоуправление в своих внутренних делах.  Соответственно, решение о применении исключений и ограничений к их ТЗ и ТВК без получения их СПОС, как оно определяется ниже, может противоречить их праву на автономию и самоуправление.</w:t>
      </w:r>
    </w:p>
    <w:p w14:paraId="4FC81FD7" w14:textId="77777777" w:rsidR="00063FCA" w:rsidRDefault="00063FCA" w:rsidP="00063FCA">
      <w:pPr>
        <w:pStyle w:val="ONUME"/>
      </w:pPr>
      <w:r>
        <w:lastRenderedPageBreak/>
        <w:t>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их СПОС</w:t>
      </w:r>
      <w:r w:rsidRPr="008B5CD1">
        <w:rPr>
          <w:vertAlign w:val="superscript"/>
          <w:lang w:val="en-GB"/>
        </w:rPr>
        <w:footnoteReference w:id="30"/>
      </w:r>
      <w:r>
        <w:t>.  Таким образом, до установления исключений и ограничений, касающихся ТЗ и ТВК коренных народов, на это должно быть получено их СПОС.</w:t>
      </w:r>
    </w:p>
    <w:p w14:paraId="4B7A5B2A" w14:textId="77777777" w:rsidR="00063FCA" w:rsidRDefault="00063FCA" w:rsidP="00063FCA">
      <w:pPr>
        <w:pStyle w:val="ONUME"/>
      </w:pPr>
      <w:r>
        <w:t>Кроме того, должно предусматриваться общее исключение,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 по правам человека.  Оно должно позволять коренным народам охранять свою культуру в форме ТЗ и ТВК и показывать возможность такого реформирования режима интеллектуальной собственности, которое позволит коренным народам сохранять свою самобытность и культурный суверенитет.  Исключения такого типа содержатся в некоторых торговых соглашениях, в частности, в Соглашении о свободной торговле между США, Канадой и Мексикой</w:t>
      </w:r>
      <w:r w:rsidRPr="008B5CD1">
        <w:rPr>
          <w:vertAlign w:val="superscript"/>
          <w:lang w:val="en-GB"/>
        </w:rPr>
        <w:footnoteReference w:id="31"/>
      </w:r>
      <w:r>
        <w:t xml:space="preserve">. </w:t>
      </w:r>
    </w:p>
    <w:p w14:paraId="30082EDA" w14:textId="512F87DA" w:rsidR="00063FCA" w:rsidRPr="00A876D6" w:rsidRDefault="00063FCA" w:rsidP="00063FCA">
      <w:pPr>
        <w:keepNext/>
        <w:spacing w:after="220"/>
        <w:rPr>
          <w:b/>
          <w:bCs/>
          <w:iCs/>
        </w:rPr>
      </w:pPr>
      <w:r>
        <w:rPr>
          <w:b/>
        </w:rPr>
        <w:t>Объем охраны: многоуровневый подход</w:t>
      </w:r>
    </w:p>
    <w:p w14:paraId="44FA3DCF" w14:textId="77777777" w:rsidR="00063FCA" w:rsidRDefault="00063FCA" w:rsidP="00063FCA">
      <w:pPr>
        <w:pStyle w:val="ONUME"/>
      </w:pPr>
      <w:r>
        <w:t>Многоуровневый подход – это новаторская 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14:paraId="4F21F528" w14:textId="77777777" w:rsidR="00063FCA" w:rsidRDefault="00063FCA" w:rsidP="00063FCA">
      <w:pPr>
        <w:pStyle w:val="ONUME"/>
      </w:pPr>
      <w:r>
        <w:t>В концептуальном отношении многоуровневый подход лучше соответствует принципам соблюдения прав коренных народов.  Он не ограничивает свободу и автономное право коренных народов не допускать раскрытия тех ТЗ и ТВК, которые они считают более тесно связанными с духовной сферой и поэтому признают их публичное раскрытие неправильным.  Кроме того, этот подход основан на понимании того, что коренные народы не считают все виды ТЗ и ТВК одинаково ценными или требующими единого подхода.</w:t>
      </w:r>
    </w:p>
    <w:p w14:paraId="64C6D9E5" w14:textId="77777777" w:rsidR="00063FCA" w:rsidRDefault="00063FCA" w:rsidP="00063FCA">
      <w:pPr>
        <w:pStyle w:val="ONUME"/>
      </w:pPr>
      <w:r>
        <w:t xml:space="preserve">Соответственно, применение данного подхода наряду с обязательным условием получения СПОС коренных народов, следует считать положительным направлением.  Многоуровневый подход мог бы стать еще более обоснованным, если дополнить его требованием об исправлении случаев исторической несправедливости путем репатриации незаконно присвоенных ТЗ и ТВК. </w:t>
      </w:r>
    </w:p>
    <w:p w14:paraId="3BA20247" w14:textId="77777777" w:rsidR="00063FCA" w:rsidRDefault="00063FCA" w:rsidP="00063FCA">
      <w:pPr>
        <w:pStyle w:val="ONUME"/>
      </w:pPr>
      <w:r>
        <w:t xml:space="preserve">Несмотря на всё вышесказанное, существуют четыре момента, которые делают многоуровневый подход весьма проблематичным.  Во-первых, возникает вопрос о том, будет ли имеющийся спектр прав на ТЗ и ТВК всех уровней регулироваться договорным правом или правовыми традициями коренных народов.  С другой стороны, судьи могут не в полной мере понимать или учитывать правовые традиции коренных народов, особенно когда они связаны с духовными аспектами.  Во-вторых, применительно к священным и тайным ТЗ и ТВК не имеет значения, насколько широкую известность они получили.  Тот факт, что они получили распространение, не должен иметь определяющее значение.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предъявляется требование отказа от прав.  В-третьих, продолжаются дискуссии о том, по какому критерию следует определять степень их известности: объективному (мнение большинства) или субъективному (мнение коренных народов).  Наконец, некоторые представители коренных народов в МКГР не поддерживают идею </w:t>
      </w:r>
      <w:r>
        <w:lastRenderedPageBreak/>
        <w:t>сближения прав, к которым применяется многоуровневый подход, с правами, предусмотренными в сложившихся системах интеллектуальной собственности</w:t>
      </w:r>
      <w:r w:rsidRPr="008B5CD1">
        <w:rPr>
          <w:vertAlign w:val="superscript"/>
          <w:lang w:val="en-GB"/>
        </w:rPr>
        <w:footnoteReference w:id="32"/>
      </w:r>
      <w:r>
        <w:t>.</w:t>
      </w:r>
    </w:p>
    <w:p w14:paraId="513E40B3" w14:textId="277B9DAC" w:rsidR="00063FCA" w:rsidRPr="00A876D6" w:rsidRDefault="00063FCA" w:rsidP="00063FCA">
      <w:pPr>
        <w:keepNext/>
        <w:spacing w:after="220"/>
        <w:rPr>
          <w:b/>
          <w:bCs/>
          <w:iCs/>
        </w:rPr>
      </w:pPr>
      <w:r>
        <w:rPr>
          <w:b/>
        </w:rPr>
        <w:t>Базы данных и реестры знаний</w:t>
      </w:r>
    </w:p>
    <w:p w14:paraId="5C44E3E0" w14:textId="77777777" w:rsidR="00063FCA" w:rsidRDefault="00063FCA" w:rsidP="00063FCA">
      <w:pPr>
        <w:pStyle w:val="ONUME"/>
      </w:pPr>
      <w:r>
        <w:t>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  Кроме того, изобретение должно быть патентоспособным и быть раскрыто надлежащим образом, чтобы его могло реализовать лицо, обладающее обычным опытом в соответствующей области техники</w:t>
      </w:r>
      <w:r w:rsidRPr="008B5CD1">
        <w:rPr>
          <w:vertAlign w:val="superscript"/>
          <w:lang w:val="en-GB"/>
        </w:rPr>
        <w:footnoteReference w:id="33"/>
      </w:r>
      <w:r>
        <w:t xml:space="preserve">.  </w:t>
      </w:r>
    </w:p>
    <w:p w14:paraId="59E6E1D7" w14:textId="77777777" w:rsidR="00063FCA" w:rsidRDefault="00063FCA" w:rsidP="00063FCA">
      <w:pPr>
        <w:pStyle w:val="ONUME"/>
      </w:pPr>
      <w:r>
        <w:t xml:space="preserve">Таким образом, базы данных позволяют предупреждать о наличии «предшествующего уровня техники», служа определенным доказательством того, что соответствующее изобретение, являясь общеизвестным, не отвечает указанным выше условиям.  Это позволяет предотвращать неправомерное предоставление прав интеллектуальной собственности. </w:t>
      </w:r>
    </w:p>
    <w:p w14:paraId="0972CA4D" w14:textId="77777777" w:rsidR="00063FCA" w:rsidRDefault="00063FCA" w:rsidP="00063FCA">
      <w:pPr>
        <w:pStyle w:val="ONUME"/>
      </w:pPr>
      <w:r>
        <w:t>Хотя реестры и базы данных играют важную роль, о которой сказано выше, их использование не может контролироваться исключительно национальными правительствами.  Соответственно, коренные народы выражали сомнения по поводу использования баз данных, указывая на вероятность свободного распространения информации, которая может использоваться третьими сторонами.  В связи с этим 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Pr="008B5CD1">
        <w:rPr>
          <w:vertAlign w:val="superscript"/>
          <w:lang w:val="en-GB"/>
        </w:rPr>
        <w:footnoteReference w:id="34"/>
      </w:r>
      <w:r>
        <w:t xml:space="preserve">. </w:t>
      </w:r>
    </w:p>
    <w:p w14:paraId="13C7B39B" w14:textId="77777777" w:rsidR="00063FCA" w:rsidRDefault="00063FCA" w:rsidP="00063FCA">
      <w:pPr>
        <w:pStyle w:val="ONUME"/>
      </w:pPr>
      <w:r>
        <w:t>Форум коренных народов при МКГР ВОИС выражал озабоченность по поводу еще одной проблемы: доступность баз данных ТЗ и ТВК для широкой публики может повышать вероятность использования такой информации без разрешения коренных народов, владеющих такими ТЗ и ТВК</w:t>
      </w:r>
      <w:r w:rsidRPr="008B5CD1">
        <w:rPr>
          <w:vertAlign w:val="superscript"/>
          <w:lang w:val="en-GB"/>
        </w:rPr>
        <w:footnoteReference w:id="35"/>
      </w:r>
      <w:r>
        <w:t xml:space="preserve">. </w:t>
      </w:r>
    </w:p>
    <w:p w14:paraId="6F420DA8" w14:textId="6D59053C" w:rsidR="00FF3E6B" w:rsidRDefault="00063FCA" w:rsidP="00063FCA">
      <w:pPr>
        <w:pStyle w:val="ONUME"/>
      </w:pPr>
      <w:r>
        <w:t>Важно иметь в виду, например, что при отклонении патентной заявки основания отказа обычно сообщаются заявителю в письменной форме.  Эти основания могут также становиться известными более широкой публике, особенно в юрисдикциях, где решения об отказе в предоставлении патентной охраны оспариваются в суде.  Таким образом, базы данных не обеспечивают полной защиты ТЗ и ТВК коренных народов.</w:t>
      </w:r>
    </w:p>
    <w:p w14:paraId="0B2AB527" w14:textId="77777777" w:rsidR="00FF3E6B" w:rsidRDefault="00FF3E6B">
      <w:r>
        <w:br w:type="page"/>
      </w:r>
    </w:p>
    <w:p w14:paraId="5412E9C1" w14:textId="1FCA18AF" w:rsidR="00063FCA" w:rsidRDefault="00063FCA" w:rsidP="00063FCA">
      <w:pPr>
        <w:keepNext/>
        <w:spacing w:before="240" w:after="220"/>
        <w:rPr>
          <w:b/>
        </w:rPr>
      </w:pPr>
      <w:r>
        <w:rPr>
          <w:b/>
        </w:rPr>
        <w:lastRenderedPageBreak/>
        <w:t>ЧАСТЬ 2</w:t>
      </w:r>
      <w:r w:rsidR="00FF3E6B">
        <w:rPr>
          <w:b/>
        </w:rPr>
        <w:t>.</w:t>
      </w:r>
      <w:r>
        <w:rPr>
          <w:b/>
        </w:rPr>
        <w:t xml:space="preserve"> ПРОЕКТЫ ТЕКСТОВ, КАСАЮЩИХСЯ ГЕНЕТИЧЕСКИХ РЕСУРСОВ (ГР)</w:t>
      </w:r>
    </w:p>
    <w:p w14:paraId="749E778A" w14:textId="77777777" w:rsidR="00063FCA" w:rsidRPr="00A876D6" w:rsidRDefault="00063FCA" w:rsidP="00063FCA">
      <w:pPr>
        <w:keepNext/>
        <w:spacing w:after="220"/>
        <w:rPr>
          <w:b/>
          <w:bCs/>
          <w:iCs/>
        </w:rPr>
      </w:pPr>
      <w:r>
        <w:rPr>
          <w:b/>
        </w:rPr>
        <w:t>Права коренных народов на генетические ресурсы</w:t>
      </w:r>
    </w:p>
    <w:p w14:paraId="7E5CCE95" w14:textId="77777777" w:rsidR="00063FCA" w:rsidRDefault="00063FCA" w:rsidP="00063FCA">
      <w:pPr>
        <w:pStyle w:val="ONUME"/>
      </w:pPr>
      <w: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Pr="008B5CD1">
        <w:rPr>
          <w:vertAlign w:val="superscript"/>
          <w:lang w:val="en-GB"/>
        </w:rPr>
        <w:footnoteReference w:id="36"/>
      </w:r>
      <w:r>
        <w:t xml:space="preserve">. </w:t>
      </w:r>
    </w:p>
    <w:p w14:paraId="496E283C" w14:textId="77777777" w:rsidR="00063FCA" w:rsidRDefault="00063FCA" w:rsidP="00063FCA">
      <w:pPr>
        <w:pStyle w:val="ONUME"/>
      </w:pPr>
      <w:r>
        <w:t>ДПКНООН, которая имеет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Pr="008B5CD1">
        <w:rPr>
          <w:vertAlign w:val="superscript"/>
          <w:lang w:val="en-GB"/>
        </w:rPr>
        <w:footnoteReference w:id="37"/>
      </w:r>
      <w:r>
        <w:t>.  Предполагается, что проекты документов ВОИС находятся во взаимодополняющих отношениях с международными соглашениями по вопросам прав человека, за которые выступают коренные народы.  Коренные народы настаивают на таком взаимодополняющем подходе, который способствовал бы непротиворечивому толкованию и защите их прав.</w:t>
      </w:r>
    </w:p>
    <w:p w14:paraId="220A5440" w14:textId="77777777" w:rsidR="00063FCA" w:rsidRDefault="00063FCA" w:rsidP="00063FCA">
      <w:pPr>
        <w:pStyle w:val="ONUME"/>
      </w:pPr>
      <w:r>
        <w:t>Согласно тексту Отчета о технической экспертизе, подготовленного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Pr="008B5CD1">
        <w:rPr>
          <w:vertAlign w:val="superscript"/>
          <w:lang w:val="en-GB"/>
        </w:rPr>
        <w:footnoteReference w:id="38"/>
      </w:r>
      <w:r>
        <w:t>.  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Pr="008B5CD1">
        <w:rPr>
          <w:vertAlign w:val="superscript"/>
          <w:lang w:val="en-GB"/>
        </w:rPr>
        <w:footnoteReference w:id="39"/>
      </w:r>
      <w:r>
        <w:t>.</w:t>
      </w:r>
      <w:r>
        <w:rPr>
          <w:i/>
        </w:rPr>
        <w:t xml:space="preserve">  </w:t>
      </w:r>
      <w:r>
        <w:t xml:space="preserve">Права коренных народов давать разрешение на доступ к ГР также подтверждаются промежуточными </w:t>
      </w:r>
      <w:r>
        <w:rPr>
          <w:i/>
        </w:rPr>
        <w:t>национальными докладами об осуществлении Нагойского протокола</w:t>
      </w:r>
      <w:r w:rsidRPr="008B5CD1">
        <w:rPr>
          <w:vertAlign w:val="superscript"/>
          <w:lang w:val="en-GB"/>
        </w:rPr>
        <w:footnoteReference w:id="40"/>
      </w:r>
      <w:r>
        <w:t>.</w:t>
      </w:r>
    </w:p>
    <w:p w14:paraId="014ED58C" w14:textId="77777777" w:rsidR="00063FCA" w:rsidRDefault="00063FCA" w:rsidP="00063FCA">
      <w:pPr>
        <w:pStyle w:val="ONUME"/>
        <w:keepLines/>
      </w:pPr>
      <w:r>
        <w:lastRenderedPageBreak/>
        <w:t>Новые возможности, ставшие результатом научных исследований в биотехнологии за период с момента выдачи поручения на подготовку Отчета о технической экспертизе, позволяют выполнять цифровое секвенирование ГР, изучать их отдельно от физического генетического материала и, в принципе, обходить требования о наличии предварительного осознанного согласия (ПОС) и взаимно согласованных условий (ВСУ)</w:t>
      </w:r>
      <w:r w:rsidRPr="008B5CD1">
        <w:rPr>
          <w:vertAlign w:val="superscript"/>
          <w:lang w:val="en-GB"/>
        </w:rPr>
        <w:footnoteReference w:id="41"/>
      </w:r>
      <w:r>
        <w:t>.  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Pr="008B5CD1">
        <w:rPr>
          <w:vertAlign w:val="superscript"/>
          <w:lang w:val="en-GB"/>
        </w:rPr>
        <w:footnoteReference w:id="42"/>
      </w:r>
      <w:r>
        <w:t xml:space="preserve">.  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 </w:t>
      </w:r>
    </w:p>
    <w:p w14:paraId="48631B79" w14:textId="77777777" w:rsidR="00063FCA" w:rsidRDefault="00063FCA" w:rsidP="00063FCA">
      <w:pPr>
        <w:pStyle w:val="ONUME"/>
      </w:pPr>
      <w:r>
        <w:t>Последствия распространения новых технологий с точки зрения внедрения национальных мер, обеспечивающих использование ГР и связанных с ними ТЗ, а также механизмов совместного использования выгод, анализируются и другими форумами, в том числе Специальной группой технических экспертов по цифровой информации о последовательностях в отношении генетических ресурсов, созданной в рамках КБР.  Эти последствия признаются в тексте Председателя, который предполагает, что они создают «встроенный механизм», позволяющий решать такие проблемы по мере их возникновения</w:t>
      </w:r>
      <w:r w:rsidRPr="008B5CD1">
        <w:rPr>
          <w:vertAlign w:val="superscript"/>
          <w:lang w:val="en-GB"/>
        </w:rPr>
        <w:footnoteReference w:id="43"/>
      </w:r>
      <w:r>
        <w:t>.  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Pr="008B5CD1">
        <w:rPr>
          <w:vertAlign w:val="superscript"/>
          <w:lang w:val="en-GB"/>
        </w:rPr>
        <w:footnoteReference w:id="44"/>
      </w:r>
      <w:r>
        <w:t>.</w:t>
      </w:r>
    </w:p>
    <w:p w14:paraId="1D21D2F8" w14:textId="77777777" w:rsidR="00063FCA" w:rsidRDefault="00063FCA" w:rsidP="00063FCA">
      <w:pPr>
        <w:keepNext/>
        <w:spacing w:after="220"/>
        <w:rPr>
          <w:b/>
          <w:bCs/>
          <w:iCs/>
        </w:rPr>
      </w:pPr>
      <w:r>
        <w:rPr>
          <w:b/>
        </w:rPr>
        <w:t>Обязательное раскрытие</w:t>
      </w:r>
    </w:p>
    <w:p w14:paraId="35A72326" w14:textId="0770046F" w:rsidR="00FF3E6B" w:rsidRDefault="00063FCA" w:rsidP="00063FCA">
      <w:pPr>
        <w:pStyle w:val="ONUME"/>
      </w:pPr>
      <w:r>
        <w:t xml:space="preserve">В проектах текстов, касающихся ГР и связанных с ними ТЗ (как в сводном документе, так и в тексте Председателя), содержится предложение ввести требование обязательного раскрытия лицами, подающими патентные заявки, источника ГР, фигурирующих в их заявках.  Основной вопрос в отношении ГР заключается в том, следует ли ввести в патентное законодательство новое требование об обязательном раскрытии происхождения ГР. </w:t>
      </w:r>
    </w:p>
    <w:p w14:paraId="6F66BB4C" w14:textId="77777777" w:rsidR="00FF3E6B" w:rsidRDefault="00FF3E6B">
      <w:r>
        <w:br w:type="page"/>
      </w:r>
    </w:p>
    <w:p w14:paraId="67FC4557" w14:textId="77777777" w:rsidR="00063FCA" w:rsidRDefault="00063FCA" w:rsidP="00063FCA">
      <w:pPr>
        <w:pStyle w:val="ONUME"/>
      </w:pPr>
      <w:r>
        <w:lastRenderedPageBreak/>
        <w:t>Обязательное раскрытие информации – это защитная мера, призванная предотвращать неправомерное присвоение ГР и связанных с ними ТЗ</w:t>
      </w:r>
      <w:r w:rsidRPr="008B5CD1">
        <w:rPr>
          <w:vertAlign w:val="superscript"/>
          <w:lang w:val="en-GB"/>
        </w:rPr>
        <w:footnoteReference w:id="45"/>
      </w:r>
      <w:r>
        <w:t>.  Такое требование означало бы обязательное раскрытие соответствующей информации в заявках, предмет которых предполагает использование ГР и связанных с ними ТЗ или основан на них.  Предлагаемое требование об обязательном раскрытии означает, что заявители обязаны раскрывать в своих патентных заявках «страну происхождения» ГР, если изобретение существенным или непосредственным образом основано на использовании ГР</w:t>
      </w:r>
      <w:r w:rsidRPr="008B5CD1">
        <w:rPr>
          <w:vertAlign w:val="superscript"/>
          <w:lang w:val="en-GB"/>
        </w:rPr>
        <w:footnoteReference w:id="46"/>
      </w:r>
      <w:r>
        <w:t>.  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подтверждение наличия соглашений о ДСИВ.  В тексте Председателя также содержится предложение о раскрытии информации о коренных народах, предоставивших соответствующие ТЗ</w:t>
      </w:r>
      <w:r w:rsidRPr="008B5CD1">
        <w:rPr>
          <w:vertAlign w:val="superscript"/>
          <w:lang w:val="en-GB"/>
        </w:rPr>
        <w:footnoteReference w:id="47"/>
      </w:r>
      <w:r>
        <w:t>.</w:t>
      </w:r>
    </w:p>
    <w:p w14:paraId="53FD00F5" w14:textId="77777777" w:rsidR="00063FCA" w:rsidRDefault="00063FCA" w:rsidP="00063FCA">
      <w:pPr>
        <w:pStyle w:val="ONUME"/>
      </w:pPr>
      <w:r>
        <w:t>В целом Форум коренных народов при МКГР поддержал предложение об обязательном раскрытии информации, при условии, что такое раскрытие включает доказательства наличия СПОС коренных народов, основанного на ВСУ, а также справедливого и равного использования выгод</w:t>
      </w:r>
      <w:r w:rsidRPr="008B5CD1">
        <w:rPr>
          <w:vertAlign w:val="superscript"/>
          <w:lang w:val="en-GB"/>
        </w:rPr>
        <w:footnoteReference w:id="48"/>
      </w:r>
      <w:r>
        <w:t xml:space="preserve">. </w:t>
      </w:r>
    </w:p>
    <w:p w14:paraId="2C1A957D" w14:textId="77777777" w:rsidR="00063FCA" w:rsidRDefault="00063FCA" w:rsidP="00063FCA">
      <w:pPr>
        <w:pStyle w:val="ONUME"/>
        <w:keepLines/>
      </w:pPr>
      <w:r>
        <w:t>Остается неясным, должно ли условие обязательного раскрытия информации при физическом доступе к ГР применяться также к доступу к информации о ГР, получаемой путем цифрового секвенирования.  Этот вопрос может потребовать дальнейшего рассмотрения в МКГР ВОИС.  В тексте Председателя и сводном документе проводится различие между ГР, получаемыми физически, и ГР, получаемыми из баз и хранилищ данных, но не уточняется, распространяется ли условие обязательного раскрытия информации, применяемое при физическом доступе к ГР, также на доступ к информации о ГР, получаемой путем цифрового секвенирования, и связанным с ними ТЗ.  Проблема прослеживаемости связей между правами коренных народов и информацией о ГР, получаемой путем цифрового секвенирования, и соответствующими ТЗ, связана с беспрецедентными сложностями</w:t>
      </w:r>
      <w:r w:rsidRPr="008B5CD1">
        <w:rPr>
          <w:vertAlign w:val="superscript"/>
          <w:lang w:val="en-GB"/>
        </w:rPr>
        <w:footnoteReference w:id="49"/>
      </w:r>
      <w:r>
        <w:t xml:space="preserve">. </w:t>
      </w:r>
    </w:p>
    <w:p w14:paraId="12E5B820" w14:textId="77777777" w:rsidR="00063FCA" w:rsidRDefault="00063FCA" w:rsidP="00063FCA">
      <w:pPr>
        <w:keepNext/>
        <w:spacing w:after="220"/>
        <w:rPr>
          <w:b/>
          <w:bCs/>
          <w:iCs/>
        </w:rPr>
      </w:pPr>
      <w:r>
        <w:rPr>
          <w:b/>
        </w:rPr>
        <w:t>Разрешение споров</w:t>
      </w:r>
    </w:p>
    <w:p w14:paraId="11D563B1" w14:textId="69675EFF" w:rsidR="00FF3E6B" w:rsidRDefault="00063FCA" w:rsidP="00063FCA">
      <w:pPr>
        <w:pStyle w:val="ONUME"/>
      </w:pPr>
      <w:r>
        <w:t>В проектах текстов предлагаются методы разрешения споров, касающихся раскрытия источника ГР.  В тексте Председателя содержится предложение о введении обязательного механизма разрешения споров национального уровня, позволяющего сторонам согласовывать взаимоприемлемые решения, который мог бы включать соглашения о выплатах роялти</w:t>
      </w:r>
      <w:r w:rsidRPr="008B5CD1">
        <w:rPr>
          <w:vertAlign w:val="superscript"/>
          <w:lang w:val="en-GB"/>
        </w:rPr>
        <w:footnoteReference w:id="50"/>
      </w:r>
      <w:r>
        <w:t>, в то время как в сводном документе предлагается применять адекватные механизмы разрешения споров</w:t>
      </w:r>
      <w:r w:rsidRPr="008B5CD1">
        <w:rPr>
          <w:vertAlign w:val="superscript"/>
          <w:lang w:val="en-GB"/>
        </w:rPr>
        <w:footnoteReference w:id="51"/>
      </w:r>
      <w:r>
        <w:t>.</w:t>
      </w:r>
    </w:p>
    <w:p w14:paraId="3DB439B3" w14:textId="77777777" w:rsidR="00FF3E6B" w:rsidRDefault="00FF3E6B">
      <w:r>
        <w:br w:type="page"/>
      </w:r>
    </w:p>
    <w:p w14:paraId="425E3C64" w14:textId="77777777" w:rsidR="00063FCA" w:rsidRDefault="00063FCA" w:rsidP="00063FCA">
      <w:pPr>
        <w:pStyle w:val="ONUME"/>
      </w:pPr>
      <w:r>
        <w:lastRenderedPageBreak/>
        <w:t>С точки зрения коренных народов, учитывая возможность претензий к зарубежным и международным корпорациям и учреждениям, базирующимся в других странах, ключевое значение имеет доступ к таким механизмам.  Для возбуждения споров по вопросам обязательного раскрытия информации коренные народы должны будут обладать соответствующей правоспособностью, а принцип процессуальной справедливости может требовать принятия 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устанавливать справедливые, независимые, беспристрастные, открытые и прозрачные процедуры признания и судебной защиты прав коренных народов</w:t>
      </w:r>
      <w:r w:rsidRPr="008B5CD1">
        <w:rPr>
          <w:vertAlign w:val="superscript"/>
          <w:lang w:val="en-GB"/>
        </w:rPr>
        <w:footnoteReference w:id="52"/>
      </w:r>
      <w:r>
        <w:t>.</w:t>
      </w:r>
    </w:p>
    <w:p w14:paraId="343F9FEC" w14:textId="77777777" w:rsidR="00063FCA" w:rsidRPr="00A876D6" w:rsidRDefault="00063FCA" w:rsidP="00063FCA">
      <w:pPr>
        <w:keepNext/>
        <w:spacing w:after="220"/>
        <w:rPr>
          <w:b/>
          <w:bCs/>
          <w:iCs/>
        </w:rPr>
      </w:pPr>
      <w:r>
        <w:rPr>
          <w:b/>
        </w:rPr>
        <w:t>Прослеживаемость</w:t>
      </w:r>
    </w:p>
    <w:p w14:paraId="07E6E12D" w14:textId="77777777" w:rsidR="00063FCA" w:rsidRDefault="00063FCA" w:rsidP="00063FCA">
      <w:pPr>
        <w:pStyle w:val="ONUME"/>
      </w:pPr>
      <w:r>
        <w:t>В условиях, когда информация о ГР может быть получена путем цифрового секвенирования, отслеживание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вызывать большие сложности.  Это может быть значимым моментом для коренных народов в ходе будущих переговоров в рамках МКГР.  В решении задач, связанных с прослеживанием происхождения прав, могли бы помочь такие технологии, как блокчейн</w:t>
      </w:r>
      <w:r w:rsidRPr="008B5CD1">
        <w:rPr>
          <w:vertAlign w:val="superscript"/>
          <w:lang w:val="en-GB"/>
        </w:rPr>
        <w:footnoteReference w:id="53"/>
      </w:r>
      <w:r>
        <w:t xml:space="preserve">.  Применение таких инновационных мер требует осознанного участия коренных народов в определении их рисков и преимуществ. </w:t>
      </w:r>
    </w:p>
    <w:p w14:paraId="5C9C985B" w14:textId="722F7F35" w:rsidR="00063FCA" w:rsidRDefault="00A51E29" w:rsidP="00063FCA">
      <w:pPr>
        <w:keepNext/>
        <w:spacing w:before="440" w:after="220"/>
        <w:rPr>
          <w:b/>
        </w:rPr>
      </w:pPr>
      <w:r>
        <w:rPr>
          <w:b/>
        </w:rPr>
        <w:t>ЧАСТЬ 3</w:t>
      </w:r>
      <w:r w:rsidR="00FF3E6B">
        <w:rPr>
          <w:b/>
        </w:rPr>
        <w:t>.</w:t>
      </w:r>
      <w:r>
        <w:rPr>
          <w:b/>
        </w:rPr>
        <w:t xml:space="preserve"> </w:t>
      </w:r>
      <w:r w:rsidR="00063FCA">
        <w:rPr>
          <w:b/>
        </w:rPr>
        <w:t>ЗАКЛЮЧИТЕЛЬНЫЕ СООБРАЖЕНИЯ</w:t>
      </w:r>
    </w:p>
    <w:p w14:paraId="7E8DC3BB" w14:textId="77777777" w:rsidR="00063FCA" w:rsidRDefault="00063FCA" w:rsidP="00063FCA">
      <w:pPr>
        <w:pStyle w:val="ONUME"/>
      </w:pPr>
      <w:r>
        <w:t xml:space="preserve">Международно-правовые документы в отношении ГР и связанных с ними ТЗ, а также в отношении ТЗ и ТВК, должны находиться во взаимодополняющих отношениях с другими международными документами, особенно документами, касающимися прав человека.  Правовой документ (документы) не должен (не должны) сокращать объем прав и обязанностей, вытекающих из существующих международных соглашений, и не должен (не должны) создавать какую-либо иерархию. </w:t>
      </w:r>
    </w:p>
    <w:p w14:paraId="1F9AD39F" w14:textId="77777777" w:rsidR="00063FCA" w:rsidRDefault="00063FCA" w:rsidP="00063FCA">
      <w:pPr>
        <w:pStyle w:val="ONUME"/>
      </w:pPr>
      <w:r>
        <w:t xml:space="preserve">Проекты текстов предполагают их взаимодополняющий характер по отношению к ДПКНООН и прямо ссылаются на нее.  ДПКНООН была принята Генеральной Ассамблеей ООН, и страны, которые первоначально голосовали против нее, с тех пор изменили свои позиции.  Таким образом, ДПКНООН пользуется всеобщим признанием.  В связи с этим 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 декларации, логично ожидать всеобщего осуществления ее положений. </w:t>
      </w:r>
    </w:p>
    <w:p w14:paraId="11B549D0" w14:textId="77777777" w:rsidR="00063FCA" w:rsidRDefault="00063FCA" w:rsidP="00063FCA">
      <w:pPr>
        <w:pStyle w:val="ONUME"/>
      </w:pPr>
      <w:r>
        <w:t>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права коренных народов</w:t>
      </w:r>
      <w:r w:rsidRPr="008B5CD1">
        <w:rPr>
          <w:vertAlign w:val="superscript"/>
          <w:lang w:val="en-GB"/>
        </w:rPr>
        <w:footnoteReference w:id="54"/>
      </w:r>
      <w:r>
        <w:t>.</w:t>
      </w:r>
    </w:p>
    <w:p w14:paraId="72DD7C3D" w14:textId="77777777" w:rsidR="002928D3" w:rsidRDefault="00063FCA" w:rsidP="00A0509A">
      <w:pPr>
        <w:spacing w:before="600"/>
        <w:ind w:left="5530"/>
      </w:pPr>
      <w:r>
        <w:t>[Конец приложения и документа]</w:t>
      </w:r>
    </w:p>
    <w:sectPr w:rsidR="002928D3" w:rsidSect="00A0509A">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8CC1" w14:textId="77777777" w:rsidR="00BC7DD2" w:rsidRDefault="00BC7DD2">
      <w:r>
        <w:separator/>
      </w:r>
    </w:p>
  </w:endnote>
  <w:endnote w:type="continuationSeparator" w:id="0">
    <w:p w14:paraId="6471310B" w14:textId="77777777" w:rsidR="00BC7DD2" w:rsidRDefault="00BC7DD2" w:rsidP="003B38C1">
      <w:r>
        <w:separator/>
      </w:r>
    </w:p>
    <w:p w14:paraId="65736E8D" w14:textId="77777777" w:rsidR="00BC7DD2" w:rsidRPr="00A51E29" w:rsidRDefault="00BC7DD2" w:rsidP="003B38C1">
      <w:pPr>
        <w:spacing w:after="60"/>
        <w:rPr>
          <w:sz w:val="17"/>
          <w:lang w:val="en-US"/>
        </w:rPr>
      </w:pPr>
      <w:r w:rsidRPr="00A51E29">
        <w:rPr>
          <w:sz w:val="17"/>
          <w:lang w:val="en-US"/>
        </w:rPr>
        <w:t>[Endnote continued from previous page]</w:t>
      </w:r>
    </w:p>
  </w:endnote>
  <w:endnote w:type="continuationNotice" w:id="1">
    <w:p w14:paraId="768601B1" w14:textId="77777777" w:rsidR="00BC7DD2" w:rsidRPr="00A51E29" w:rsidRDefault="00BC7DD2" w:rsidP="003B38C1">
      <w:pPr>
        <w:spacing w:before="60"/>
        <w:jc w:val="right"/>
        <w:rPr>
          <w:sz w:val="17"/>
          <w:szCs w:val="17"/>
          <w:lang w:val="en-US"/>
        </w:rPr>
      </w:pPr>
      <w:r w:rsidRPr="00A51E2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97F1" w14:textId="19FD99A1" w:rsidR="00063FCA" w:rsidRDefault="00063FCA" w:rsidP="00EE5BBD">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2C55" w14:textId="77777777" w:rsidR="000F2AD2" w:rsidRDefault="000F2AD2"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BE3C" w14:textId="77777777" w:rsidR="000F2AD2" w:rsidRDefault="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E14" w14:textId="77777777"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926F0" w14:textId="77777777" w:rsidR="00BC7DD2" w:rsidRDefault="00BC7DD2">
      <w:r>
        <w:separator/>
      </w:r>
    </w:p>
  </w:footnote>
  <w:footnote w:type="continuationSeparator" w:id="0">
    <w:p w14:paraId="07BB367C" w14:textId="77777777" w:rsidR="00BC7DD2" w:rsidRDefault="00BC7DD2" w:rsidP="008B60B2">
      <w:r>
        <w:separator/>
      </w:r>
    </w:p>
    <w:p w14:paraId="3425E94C" w14:textId="77777777" w:rsidR="00BC7DD2" w:rsidRPr="00A51E29" w:rsidRDefault="00BC7DD2" w:rsidP="008B60B2">
      <w:pPr>
        <w:spacing w:after="60"/>
        <w:rPr>
          <w:sz w:val="17"/>
          <w:szCs w:val="17"/>
          <w:lang w:val="en-US"/>
        </w:rPr>
      </w:pPr>
      <w:r w:rsidRPr="00A51E29">
        <w:rPr>
          <w:sz w:val="17"/>
          <w:szCs w:val="17"/>
          <w:lang w:val="en-US"/>
        </w:rPr>
        <w:t>[Footnote continued from previous page]</w:t>
      </w:r>
    </w:p>
  </w:footnote>
  <w:footnote w:type="continuationNotice" w:id="1">
    <w:p w14:paraId="4EEEC80A" w14:textId="77777777" w:rsidR="00BC7DD2" w:rsidRPr="00A51E29" w:rsidRDefault="00BC7DD2" w:rsidP="008B60B2">
      <w:pPr>
        <w:spacing w:before="60"/>
        <w:jc w:val="right"/>
        <w:rPr>
          <w:sz w:val="17"/>
          <w:szCs w:val="17"/>
          <w:lang w:val="en-US"/>
        </w:rPr>
      </w:pPr>
      <w:r w:rsidRPr="00A51E29">
        <w:rPr>
          <w:sz w:val="17"/>
          <w:szCs w:val="17"/>
          <w:lang w:val="en-US"/>
        </w:rPr>
        <w:t>[Footnote continued on next page]</w:t>
      </w:r>
    </w:p>
  </w:footnote>
  <w:footnote w:id="2">
    <w:p w14:paraId="73369557" w14:textId="77777777" w:rsidR="00063FCA" w:rsidRPr="008B5CD1" w:rsidRDefault="00063FCA" w:rsidP="00063FCA">
      <w:pPr>
        <w:pStyle w:val="FootnoteText"/>
        <w:rPr>
          <w:szCs w:val="18"/>
        </w:rPr>
      </w:pPr>
      <w:r>
        <w:rPr>
          <w:rStyle w:val="FootnoteReference"/>
          <w:szCs w:val="18"/>
        </w:rPr>
        <w:footnoteRef/>
      </w:r>
      <w:r>
        <w:t xml:space="preserve"> </w:t>
      </w:r>
      <w:r>
        <w:tab/>
        <w:t>См. Решения 40-й сессии Комитета, стр. 3.</w:t>
      </w:r>
    </w:p>
  </w:footnote>
  <w:footnote w:id="3">
    <w:p w14:paraId="100C268A" w14:textId="3F115E65" w:rsidR="00063FCA" w:rsidRPr="002A671B" w:rsidRDefault="00AA66A4" w:rsidP="00063FCA">
      <w:pPr>
        <w:pStyle w:val="FootnoteText"/>
        <w:rPr>
          <w:szCs w:val="18"/>
        </w:rPr>
      </w:pPr>
      <w:r>
        <w:rPr>
          <w:rStyle w:val="FootnoteReference"/>
        </w:rPr>
        <w:footnoteRef/>
      </w:r>
      <w:r w:rsidR="00063FCA">
        <w:tab/>
        <w:t xml:space="preserve">Постоянный форум Организации Объединенных Наций по вопросам коренных народов, отчет о 18-й сессии, E/2019/43 43-E/C. 19/2019/10.  См. пункт 10 документа, размещенного по адресу: </w:t>
      </w:r>
      <w:hyperlink r:id="rId1" w:history="1">
        <w:r w:rsidR="00063FCA">
          <w:rPr>
            <w:rStyle w:val="Hyperlink"/>
            <w:color w:val="0033CC"/>
          </w:rPr>
          <w:t>https://www.un.org/development/desa/indigenouspeoples/news/2019/06/18-session-report/</w:t>
        </w:r>
      </w:hyperlink>
      <w:r w:rsidR="00063FCA">
        <w:t>.</w:t>
      </w:r>
      <w:r w:rsidR="00063FCA">
        <w:rPr>
          <w:rStyle w:val="Hyperlink"/>
          <w:color w:val="auto"/>
          <w:u w:val="none"/>
        </w:rPr>
        <w:t xml:space="preserve"> </w:t>
      </w:r>
      <w:r w:rsidR="00063FCA">
        <w:t xml:space="preserve"> </w:t>
      </w:r>
    </w:p>
  </w:footnote>
  <w:footnote w:id="4">
    <w:p w14:paraId="3D2F4065" w14:textId="77777777" w:rsidR="00063FCA" w:rsidRPr="008B5CD1"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2" w:history="1">
        <w:r>
          <w:rPr>
            <w:rStyle w:val="Hyperlink"/>
            <w:color w:val="0033CC"/>
          </w:rPr>
          <w:t>https://www.wipo.int/edocs/mdocs/tk/ru/wipo_grtkf_ic_29/wipo_grtkf_ic_29_inf_10.pdf</w:t>
        </w:r>
      </w:hyperlink>
      <w:r>
        <w:rPr>
          <w:rStyle w:val="Hyperlink"/>
          <w:color w:val="auto"/>
          <w:u w:val="none"/>
        </w:rPr>
        <w:t xml:space="preserve">. </w:t>
      </w:r>
    </w:p>
  </w:footnote>
  <w:footnote w:id="5">
    <w:p w14:paraId="58C62860" w14:textId="77777777" w:rsidR="00063FCA" w:rsidRPr="008B5CD1" w:rsidRDefault="00063FCA" w:rsidP="00063FCA">
      <w:pPr>
        <w:pStyle w:val="FootnoteText"/>
        <w:rPr>
          <w:szCs w:val="18"/>
        </w:rPr>
      </w:pPr>
      <w:r>
        <w:rPr>
          <w:rStyle w:val="FootnoteReference"/>
          <w:szCs w:val="18"/>
        </w:rPr>
        <w:footnoteRef/>
      </w:r>
      <w:r>
        <w:t xml:space="preserve"> </w:t>
      </w:r>
      <w:r>
        <w:tab/>
        <w:t>Документ E/2019/43- E/C.19/10, пункт 10.</w:t>
      </w:r>
    </w:p>
  </w:footnote>
  <w:footnote w:id="6">
    <w:p w14:paraId="4507C1DE" w14:textId="77777777" w:rsidR="00063FCA" w:rsidRPr="008B5CD1" w:rsidRDefault="00063FCA" w:rsidP="00063FCA">
      <w:pPr>
        <w:pStyle w:val="FootnoteText"/>
        <w:rPr>
          <w:szCs w:val="18"/>
        </w:rPr>
      </w:pPr>
      <w:r>
        <w:rPr>
          <w:rStyle w:val="FootnoteReference"/>
          <w:szCs w:val="18"/>
        </w:rPr>
        <w:footnoteRef/>
      </w:r>
      <w:r>
        <w:t xml:space="preserve"> </w:t>
      </w:r>
      <w:bookmarkStart w:id="5" w:name="_Hlk49439221"/>
      <w:r>
        <w:tab/>
        <w:t>Документ WIPO/GRTKF/IC/29/INF/10, пункт 11</w:t>
      </w:r>
      <w:bookmarkEnd w:id="5"/>
      <w:r>
        <w:t>.</w:t>
      </w:r>
    </w:p>
  </w:footnote>
  <w:footnote w:id="7">
    <w:p w14:paraId="55A53711" w14:textId="77777777" w:rsidR="00063FCA" w:rsidRPr="002A671B"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 (19 июня 2019 г.), см. по адресу: </w:t>
      </w:r>
      <w:hyperlink r:id="rId3" w:history="1">
        <w:r>
          <w:rPr>
            <w:rStyle w:val="Hyperlink"/>
            <w:color w:val="0033CC"/>
          </w:rPr>
          <w:t>https://www.wipo.int/meetings/ru/doc_details.jsp?doc_id=443934</w:t>
        </w:r>
      </w:hyperlink>
      <w:r>
        <w:t xml:space="preserve">. </w:t>
      </w:r>
    </w:p>
  </w:footnote>
  <w:footnote w:id="8">
    <w:p w14:paraId="3E3E63B6" w14:textId="77777777"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  Охрана традиционных выражений культуры: проекты статей, текст координаторов, Rev. (19 июня 2019 г.), см. по адресу: </w:t>
      </w:r>
      <w:hyperlink r:id="rId4" w:history="1">
        <w:r>
          <w:rPr>
            <w:rStyle w:val="Hyperlink"/>
            <w:color w:val="0033CC"/>
          </w:rPr>
          <w:t>https://www.wipo.int/meetings/ru/doc_details.jsp?doc_id=443934</w:t>
        </w:r>
      </w:hyperlink>
      <w:r>
        <w:t xml:space="preserve">. </w:t>
      </w:r>
    </w:p>
  </w:footnote>
  <w:footnote w:id="9">
    <w:p w14:paraId="7A842377" w14:textId="77777777"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III:  Сводный документ, касающийся интеллектуальной собственности и генетических ресурсов, Rev. 2 (23 марта 2018 г.), см. по адресу: </w:t>
      </w:r>
      <w:hyperlink r:id="rId5" w:history="1">
        <w:r>
          <w:rPr>
            <w:rStyle w:val="Hyperlink"/>
            <w:color w:val="0033CC"/>
          </w:rPr>
          <w:t>https://www.wipo.int/meetings/ru/doc_details.jsp?doc_id=443934</w:t>
        </w:r>
      </w:hyperlink>
      <w:r>
        <w:t xml:space="preserve">, и приложение IV: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 г-ном Иеном Госсом, см. по адресу: </w:t>
      </w:r>
      <w:hyperlink r:id="rId6" w:history="1">
        <w:r>
          <w:rPr>
            <w:rStyle w:val="Hyperlink"/>
            <w:color w:val="0033CC"/>
          </w:rPr>
          <w:t>https://www.wipo.int/meetings/ru/doc_details.jsp?doc_id=443934</w:t>
        </w:r>
      </w:hyperlink>
      <w:r>
        <w:t>.</w:t>
      </w:r>
      <w:r>
        <w:rPr>
          <w:rStyle w:val="Hyperlink"/>
          <w:color w:val="auto"/>
          <w:u w:val="none"/>
        </w:rPr>
        <w:t xml:space="preserve"> </w:t>
      </w:r>
    </w:p>
  </w:footnote>
  <w:footnote w:id="10">
    <w:p w14:paraId="3A519114" w14:textId="77777777" w:rsidR="00063FCA" w:rsidRPr="008B5CD1" w:rsidRDefault="00063FCA" w:rsidP="00063FCA">
      <w:pPr>
        <w:rPr>
          <w:sz w:val="18"/>
          <w:szCs w:val="18"/>
        </w:rPr>
      </w:pPr>
      <w:r>
        <w:rPr>
          <w:rStyle w:val="FootnoteReference"/>
          <w:sz w:val="18"/>
          <w:szCs w:val="18"/>
        </w:rPr>
        <w:footnoteRef/>
      </w:r>
      <w:r>
        <w:t xml:space="preserve"> </w:t>
      </w:r>
      <w:r>
        <w:tab/>
      </w:r>
      <w:r w:rsidRPr="00FF3E6B">
        <w:rPr>
          <w:sz w:val="18"/>
          <w:szCs w:val="18"/>
        </w:rPr>
        <w:t xml:space="preserve">См. приложение C1 по адресу: </w:t>
      </w:r>
      <w:hyperlink r:id="rId7" w:history="1">
        <w:r w:rsidRPr="00FF3E6B">
          <w:rPr>
            <w:rStyle w:val="Hyperlink"/>
            <w:color w:val="0033CC"/>
            <w:sz w:val="18"/>
            <w:szCs w:val="18"/>
          </w:rPr>
          <w:t>https://www.wto.org/english/docs_e/legal_e/27-trips.pdf</w:t>
        </w:r>
      </w:hyperlink>
      <w:r>
        <w:t>.</w:t>
      </w:r>
      <w:r>
        <w:rPr>
          <w:rStyle w:val="Hyperlink"/>
          <w:color w:val="auto"/>
          <w:sz w:val="18"/>
          <w:u w:val="none"/>
        </w:rPr>
        <w:t xml:space="preserve"> </w:t>
      </w:r>
    </w:p>
  </w:footnote>
  <w:footnote w:id="11">
    <w:p w14:paraId="6637880D" w14:textId="77777777" w:rsidR="00063FCA" w:rsidRPr="008B5CD1" w:rsidRDefault="00063FCA" w:rsidP="00063FCA">
      <w:pPr>
        <w:pStyle w:val="FootnoteText"/>
        <w:rPr>
          <w:szCs w:val="18"/>
        </w:rPr>
      </w:pPr>
      <w:r>
        <w:rPr>
          <w:rStyle w:val="FootnoteReference"/>
          <w:szCs w:val="18"/>
        </w:rPr>
        <w:footnoteRef/>
      </w:r>
      <w:r>
        <w:t xml:space="preserve"> </w:t>
      </w:r>
      <w:r>
        <w:tab/>
        <w:t xml:space="preserve">Декларация Организации Объединенных Наций о правах коренных народов (ДПКНООН), статья 4, </w:t>
      </w:r>
      <w:hyperlink r:id="rId8" w:history="1">
        <w:r>
          <w:rPr>
            <w:rStyle w:val="Hyperlink"/>
            <w:color w:val="0033CC"/>
          </w:rPr>
          <w:t>см. по адресу: https://undocs.org/A/RES/61/295</w:t>
        </w:r>
      </w:hyperlink>
      <w:r>
        <w:t xml:space="preserve">. </w:t>
      </w:r>
    </w:p>
  </w:footnote>
  <w:footnote w:id="12">
    <w:p w14:paraId="7B6B481D" w14:textId="77777777" w:rsidR="00063FCA" w:rsidRPr="008B5CD1" w:rsidRDefault="00063FCA" w:rsidP="00063FCA">
      <w:pPr>
        <w:pStyle w:val="FootnoteText"/>
        <w:rPr>
          <w:szCs w:val="18"/>
        </w:rPr>
      </w:pPr>
      <w:r>
        <w:rPr>
          <w:rStyle w:val="FootnoteReference"/>
          <w:szCs w:val="18"/>
        </w:rPr>
        <w:footnoteRef/>
      </w:r>
      <w:r>
        <w:t xml:space="preserve"> </w:t>
      </w:r>
      <w:r>
        <w:tab/>
        <w:t xml:space="preserve">ДПКНООН, статья 19. </w:t>
      </w:r>
    </w:p>
  </w:footnote>
  <w:footnote w:id="13">
    <w:p w14:paraId="5DBA883B" w14:textId="77777777" w:rsidR="00063FCA" w:rsidRPr="008B5CD1" w:rsidRDefault="00063FCA" w:rsidP="00063FCA">
      <w:pPr>
        <w:pStyle w:val="FootnoteText"/>
        <w:rPr>
          <w:szCs w:val="18"/>
        </w:rPr>
      </w:pPr>
      <w:r>
        <w:rPr>
          <w:rStyle w:val="FootnoteReference"/>
          <w:szCs w:val="18"/>
        </w:rPr>
        <w:footnoteRef/>
      </w:r>
      <w:r>
        <w:t xml:space="preserve"> </w:t>
      </w:r>
      <w:r>
        <w:tab/>
        <w:t xml:space="preserve">В Юридическом словаре Блэка понятие «sui generis» определяется как «своего рода или класса, уникальный или своеобразный». </w:t>
      </w:r>
    </w:p>
  </w:footnote>
  <w:footnote w:id="14">
    <w:p w14:paraId="58091779" w14:textId="77777777" w:rsidR="00063FCA" w:rsidRPr="00FF3E6B" w:rsidRDefault="00063FCA" w:rsidP="00063FCA">
      <w:pPr>
        <w:rPr>
          <w:rFonts w:eastAsia="Times New Roman"/>
          <w:sz w:val="18"/>
          <w:szCs w:val="18"/>
          <w:lang w:val="en-US"/>
        </w:rPr>
      </w:pPr>
      <w:r>
        <w:rPr>
          <w:rStyle w:val="FootnoteReference"/>
          <w:sz w:val="18"/>
          <w:szCs w:val="18"/>
        </w:rPr>
        <w:footnoteRef/>
      </w:r>
      <w:r w:rsidRPr="00A51E29">
        <w:rPr>
          <w:i/>
          <w:sz w:val="18"/>
          <w:lang w:val="en-US"/>
        </w:rPr>
        <w:t xml:space="preserve"> </w:t>
      </w:r>
      <w:r w:rsidRPr="00A51E29">
        <w:rPr>
          <w:i/>
          <w:sz w:val="18"/>
          <w:lang w:val="en-US"/>
        </w:rPr>
        <w:tab/>
      </w:r>
      <w:r w:rsidRPr="00FF3E6B">
        <w:rPr>
          <w:sz w:val="18"/>
          <w:szCs w:val="18"/>
        </w:rPr>
        <w:t>ДПКНООН</w:t>
      </w:r>
      <w:r w:rsidRPr="00FF3E6B">
        <w:rPr>
          <w:sz w:val="18"/>
          <w:szCs w:val="18"/>
          <w:lang w:val="en-US"/>
        </w:rPr>
        <w:t xml:space="preserve">, </w:t>
      </w:r>
      <w:r w:rsidRPr="00FF3E6B">
        <w:rPr>
          <w:sz w:val="18"/>
          <w:szCs w:val="18"/>
        </w:rPr>
        <w:t>ст</w:t>
      </w:r>
      <w:r w:rsidRPr="00FF3E6B">
        <w:rPr>
          <w:sz w:val="18"/>
          <w:szCs w:val="18"/>
          <w:lang w:val="en-US"/>
        </w:rPr>
        <w:t xml:space="preserve">. 28(1); Natalie P Stoianoff and Alpana Roy, </w:t>
      </w:r>
      <w:r w:rsidRPr="00FF3E6B">
        <w:rPr>
          <w:i/>
          <w:sz w:val="18"/>
          <w:szCs w:val="18"/>
          <w:lang w:val="en-US"/>
        </w:rPr>
        <w:t>Indigenous Knowledge and Culture in Australia — The Case for Sui Generis Legislation</w:t>
      </w:r>
      <w:r w:rsidRPr="00FF3E6B">
        <w:rPr>
          <w:sz w:val="18"/>
          <w:szCs w:val="18"/>
          <w:lang w:val="en-US"/>
        </w:rPr>
        <w:t xml:space="preserve"> (SSRN Scholarly Paper No ID 2765827, Social Science Research Network, 31 December 2015), 748.  &lt;</w:t>
      </w:r>
      <w:r>
        <w:fldChar w:fldCharType="begin"/>
      </w:r>
      <w:r w:rsidRPr="007F1B0C">
        <w:rPr>
          <w:lang w:val="en-US"/>
        </w:rPr>
        <w:instrText>HYPERLINK "https://papers.ssrn.com/abstract=2765827"</w:instrText>
      </w:r>
      <w:r>
        <w:fldChar w:fldCharType="separate"/>
      </w:r>
      <w:r w:rsidRPr="00FF3E6B">
        <w:rPr>
          <w:rStyle w:val="Hyperlink"/>
          <w:color w:val="0033CC"/>
          <w:sz w:val="18"/>
          <w:szCs w:val="18"/>
          <w:lang w:val="en-US"/>
        </w:rPr>
        <w:t>https://papers.ssrn.com/abstract=2765827</w:t>
      </w:r>
      <w:r>
        <w:rPr>
          <w:rStyle w:val="Hyperlink"/>
          <w:color w:val="0033CC"/>
          <w:sz w:val="18"/>
          <w:szCs w:val="18"/>
          <w:lang w:val="en-US"/>
        </w:rPr>
        <w:fldChar w:fldCharType="end"/>
      </w:r>
      <w:r w:rsidRPr="00FF3E6B">
        <w:rPr>
          <w:sz w:val="18"/>
          <w:szCs w:val="18"/>
          <w:lang w:val="en-US"/>
        </w:rPr>
        <w:t xml:space="preserve">&gt;; Graham Dutfield, ‘Legal and Economic Aspects of Traditional Knowledge’ in Keith E Maskus and Jerome H Reichman (eds), International Public Goods and Transfer of Technology Under a Globalized Intellectual Property Regime (Cambridge University Press, 1st ed, 2005), 506. </w:t>
      </w:r>
    </w:p>
  </w:footnote>
  <w:footnote w:id="15">
    <w:p w14:paraId="6FD66734" w14:textId="77777777"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Pr>
          <w:sz w:val="18"/>
        </w:rPr>
        <w:t>ДПКНООН</w:t>
      </w:r>
      <w:r w:rsidRPr="00A51E29">
        <w:rPr>
          <w:sz w:val="18"/>
          <w:lang w:val="en-US"/>
        </w:rPr>
        <w:t xml:space="preserve">, </w:t>
      </w:r>
      <w:r>
        <w:rPr>
          <w:sz w:val="18"/>
        </w:rPr>
        <w:t>статья</w:t>
      </w:r>
      <w:r w:rsidRPr="00A51E29">
        <w:rPr>
          <w:sz w:val="18"/>
          <w:lang w:val="en-US"/>
        </w:rPr>
        <w:t xml:space="preserve"> 28(12).</w:t>
      </w:r>
    </w:p>
  </w:footnote>
  <w:footnote w:id="16">
    <w:p w14:paraId="0F422576" w14:textId="77777777" w:rsidR="00063FCA" w:rsidRPr="008B5CD1" w:rsidRDefault="00063FCA" w:rsidP="00A51E29">
      <w:pPr>
        <w:rPr>
          <w:rFonts w:eastAsia="Times New Roman"/>
          <w:sz w:val="18"/>
          <w:szCs w:val="18"/>
        </w:rPr>
      </w:pPr>
      <w:r>
        <w:rPr>
          <w:rStyle w:val="FootnoteReference"/>
          <w:sz w:val="18"/>
          <w:szCs w:val="18"/>
        </w:rPr>
        <w:footnoteRef/>
      </w:r>
      <w:r w:rsidRPr="00A51E29">
        <w:rPr>
          <w:lang w:val="en-US"/>
        </w:rPr>
        <w:t xml:space="preserve"> </w:t>
      </w:r>
      <w:r w:rsidRPr="00A51E29">
        <w:rPr>
          <w:lang w:val="en-US"/>
        </w:rPr>
        <w:tab/>
      </w:r>
      <w:r w:rsidRPr="00232C8C">
        <w:rPr>
          <w:sz w:val="18"/>
          <w:lang w:val="en-US"/>
        </w:rPr>
        <w:t>Natalie P Stoianoff and Alpana Roy, Indigenous Knowledge and Culture in Australia — The Case for Sui Generis Legislation (SSRN Scholarly Paper No ID 2765827, Social Science Research Network, 31 December 2015), 748</w:t>
      </w:r>
      <w:r w:rsidRPr="00A51E29">
        <w:rPr>
          <w:lang w:val="en-US"/>
        </w:rPr>
        <w:t>.</w:t>
      </w:r>
      <w:r w:rsidRPr="00A51E29">
        <w:rPr>
          <w:sz w:val="18"/>
          <w:lang w:val="en-US"/>
        </w:rPr>
        <w:t xml:space="preserve"> </w:t>
      </w:r>
      <w:r>
        <w:rPr>
          <w:sz w:val="18"/>
        </w:rPr>
        <w:t>&lt;</w:t>
      </w:r>
      <w:hyperlink r:id="rId9" w:history="1">
        <w:r>
          <w:rPr>
            <w:rStyle w:val="Hyperlink"/>
            <w:color w:val="0033CC"/>
            <w:sz w:val="18"/>
          </w:rPr>
          <w:t>https://papers.ssrn.com/abstract=2765827</w:t>
        </w:r>
      </w:hyperlink>
      <w:r>
        <w:rPr>
          <w:sz w:val="18"/>
        </w:rPr>
        <w:t xml:space="preserve">&gt;. </w:t>
      </w:r>
    </w:p>
  </w:footnote>
  <w:footnote w:id="17">
    <w:p w14:paraId="77A3E52C" w14:textId="77777777" w:rsidR="00063FCA" w:rsidRPr="008B5CD1" w:rsidRDefault="00063FCA" w:rsidP="00063FCA">
      <w:pPr>
        <w:rPr>
          <w:sz w:val="18"/>
          <w:szCs w:val="18"/>
        </w:rPr>
      </w:pPr>
      <w:r>
        <w:rPr>
          <w:rStyle w:val="FootnoteReference"/>
          <w:sz w:val="18"/>
          <w:szCs w:val="18"/>
        </w:rPr>
        <w:footnoteRef/>
      </w:r>
      <w:r>
        <w:t xml:space="preserve"> </w:t>
      </w:r>
      <w:r>
        <w:tab/>
      </w:r>
      <w:r>
        <w:rPr>
          <w:sz w:val="18"/>
        </w:rPr>
        <w:t>ДПКНООН, статья 32(2), статья 18, статья 34; Доклад о реестрах традиционных знаний и связанных с ними базах данных традиционных знаний (документ UNEP/CBD/ WG8J/4/INF/9).</w:t>
      </w:r>
    </w:p>
  </w:footnote>
  <w:footnote w:id="18">
    <w:p w14:paraId="659BC9DC" w14:textId="77777777" w:rsidR="00063FCA" w:rsidRPr="008B5CD1" w:rsidRDefault="00063FCA" w:rsidP="00063FCA">
      <w:pPr>
        <w:pStyle w:val="FootnoteText"/>
        <w:rPr>
          <w:szCs w:val="18"/>
        </w:rPr>
      </w:pPr>
      <w:r>
        <w:rPr>
          <w:rStyle w:val="FootnoteReference"/>
          <w:szCs w:val="18"/>
        </w:rPr>
        <w:footnoteRef/>
      </w:r>
      <w:r>
        <w:t xml:space="preserve"> </w:t>
      </w:r>
      <w:r>
        <w:tab/>
        <w:t>ДПКНООН, ст. 11(2), ст. 28; Международная конвенция о ликвидации всех форм расовой дискриминации (</w:t>
      </w:r>
      <w:r>
        <w:rPr>
          <w:i/>
        </w:rPr>
        <w:t>МКЛРД)</w:t>
      </w:r>
      <w:r>
        <w:t>, ст. 2(2).</w:t>
      </w:r>
    </w:p>
  </w:footnote>
  <w:footnote w:id="19">
    <w:p w14:paraId="249BE6F3"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11(2).</w:t>
      </w:r>
    </w:p>
  </w:footnote>
  <w:footnote w:id="20">
    <w:p w14:paraId="0BF7AC95" w14:textId="77777777" w:rsidR="00063FCA" w:rsidRPr="008B5CD1" w:rsidRDefault="00063FCA" w:rsidP="00063FCA">
      <w:pPr>
        <w:pStyle w:val="FootnoteText"/>
        <w:rPr>
          <w:szCs w:val="18"/>
        </w:rPr>
      </w:pPr>
      <w:r>
        <w:rPr>
          <w:rStyle w:val="FootnoteReference"/>
          <w:szCs w:val="18"/>
        </w:rPr>
        <w:footnoteRef/>
      </w:r>
      <w:r>
        <w:t xml:space="preserve"> </w:t>
      </w:r>
      <w:bookmarkStart w:id="6" w:name="_Hlk49439119"/>
      <w:r>
        <w:tab/>
        <w:t>Отчет о 35-й сессии МКГР, 12-23 марта 2018 г., Заявление фонда Тебтебба от имени Форума коренных народов, пункт 23, документ WIPO/GRTKF/IC/35/10.</w:t>
      </w:r>
      <w:bookmarkEnd w:id="6"/>
    </w:p>
  </w:footnote>
  <w:footnote w:id="21">
    <w:p w14:paraId="37A47B5D" w14:textId="77777777" w:rsidR="00063FCA" w:rsidRPr="009E308A" w:rsidRDefault="00063FCA" w:rsidP="00063FCA">
      <w:pPr>
        <w:pStyle w:val="FootnoteText"/>
        <w:rPr>
          <w:szCs w:val="18"/>
        </w:rPr>
      </w:pPr>
      <w:r>
        <w:rPr>
          <w:rStyle w:val="FootnoteReference"/>
          <w:szCs w:val="18"/>
        </w:rPr>
        <w:footnoteRef/>
      </w:r>
      <w:r>
        <w:t xml:space="preserve"> </w:t>
      </w:r>
      <w:r>
        <w:tab/>
        <w:t xml:space="preserve">См. </w:t>
      </w:r>
      <w:hyperlink r:id="rId10" w:history="1">
        <w:r>
          <w:rPr>
            <w:rStyle w:val="Hyperlink"/>
            <w:color w:val="0033CC"/>
          </w:rPr>
          <w:t>https://www.cbd.int/doc/guidelines/cbd-RutzolijirisaxikGuidelines-en.pdf</w:t>
        </w:r>
      </w:hyperlink>
      <w:r>
        <w:t xml:space="preserve">. </w:t>
      </w:r>
    </w:p>
  </w:footnote>
  <w:footnote w:id="22">
    <w:p w14:paraId="3C1D7135" w14:textId="77777777" w:rsidR="00063FCA" w:rsidRPr="009E308A" w:rsidRDefault="00063FCA" w:rsidP="00063FCA">
      <w:pPr>
        <w:pStyle w:val="FootnoteText"/>
        <w:rPr>
          <w:szCs w:val="18"/>
        </w:rPr>
      </w:pPr>
      <w:r>
        <w:rPr>
          <w:rStyle w:val="FootnoteReference"/>
          <w:szCs w:val="18"/>
        </w:rPr>
        <w:footnoteRef/>
      </w:r>
      <w:r>
        <w:t xml:space="preserve"> </w:t>
      </w:r>
      <w:r>
        <w:tab/>
        <w:t>Добровольное руководство Руцолихирисашик, пункт 11(k).</w:t>
      </w:r>
    </w:p>
  </w:footnote>
  <w:footnote w:id="23">
    <w:p w14:paraId="508CD099" w14:textId="77777777"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w:t>
      </w:r>
      <w:r>
        <w:t>анализ</w:t>
      </w:r>
      <w:r w:rsidRPr="00A51E29">
        <w:rPr>
          <w:lang w:val="en-US"/>
        </w:rPr>
        <w:t xml:space="preserve"> </w:t>
      </w:r>
      <w:r>
        <w:t>этих</w:t>
      </w:r>
      <w:r w:rsidRPr="00A51E29">
        <w:rPr>
          <w:lang w:val="en-US"/>
        </w:rPr>
        <w:t xml:space="preserve"> </w:t>
      </w:r>
      <w:r>
        <w:t>вопросов</w:t>
      </w:r>
      <w:r w:rsidRPr="00A51E29">
        <w:rPr>
          <w:lang w:val="en-US"/>
        </w:rPr>
        <w:t xml:space="preserve"> </w:t>
      </w:r>
      <w:r>
        <w:t>в</w:t>
      </w:r>
      <w:r w:rsidRPr="00A51E29">
        <w:rPr>
          <w:lang w:val="en-US"/>
        </w:rPr>
        <w:t xml:space="preserve"> </w:t>
      </w:r>
      <w:r>
        <w:t>статье</w:t>
      </w:r>
      <w:r w:rsidRPr="00A51E29">
        <w:rPr>
          <w:lang w:val="en-US"/>
        </w:rPr>
        <w:t>: Patricia L. Judd, The Difficulties in Harmonizing Legal Protections for Traditional Knowledge and Intellectual Property. The Washburn Law Journal.</w:t>
      </w:r>
      <w:r w:rsidRPr="00A51E29">
        <w:rPr>
          <w:i/>
          <w:lang w:val="en-US"/>
        </w:rPr>
        <w:t xml:space="preserve"> </w:t>
      </w:r>
      <w:r w:rsidRPr="00A51E29">
        <w:rPr>
          <w:lang w:val="en-US"/>
        </w:rPr>
        <w:t xml:space="preserve">Vol. 58, 2019. p. 249-270. </w:t>
      </w:r>
    </w:p>
  </w:footnote>
  <w:footnote w:id="24">
    <w:p w14:paraId="452B6F53" w14:textId="77777777" w:rsidR="00063FCA" w:rsidRPr="00A51E29" w:rsidRDefault="00063FCA" w:rsidP="00063FCA">
      <w:pPr>
        <w:rPr>
          <w:sz w:val="18"/>
          <w:szCs w:val="18"/>
          <w:lang w:val="en-US"/>
        </w:rPr>
      </w:pPr>
      <w:r>
        <w:rPr>
          <w:rStyle w:val="FootnoteReference"/>
          <w:sz w:val="18"/>
          <w:szCs w:val="18"/>
        </w:rPr>
        <w:footnoteRef/>
      </w:r>
      <w:r w:rsidRPr="00A51E29">
        <w:rPr>
          <w:lang w:val="en-US"/>
        </w:rPr>
        <w:tab/>
      </w:r>
      <w:r w:rsidRPr="00232C8C">
        <w:rPr>
          <w:sz w:val="18"/>
          <w:lang w:val="en-US"/>
        </w:rPr>
        <w:t xml:space="preserve">Ruth L. Okediji, Traditional Knowledge and the Public Domain.  CIGI Paper No. 176 June 2018 at p. 8, </w:t>
      </w:r>
      <w:r w:rsidRPr="00A51E29">
        <w:rPr>
          <w:sz w:val="18"/>
        </w:rPr>
        <w:t>см</w:t>
      </w:r>
      <w:r w:rsidRPr="00232C8C">
        <w:rPr>
          <w:sz w:val="18"/>
          <w:lang w:val="en-US"/>
        </w:rPr>
        <w:t xml:space="preserve">. </w:t>
      </w:r>
      <w:r w:rsidRPr="00A51E29">
        <w:rPr>
          <w:sz w:val="18"/>
        </w:rPr>
        <w:t>по</w:t>
      </w:r>
      <w:r w:rsidRPr="00232C8C">
        <w:rPr>
          <w:sz w:val="18"/>
          <w:lang w:val="en-US"/>
        </w:rPr>
        <w:t xml:space="preserve"> </w:t>
      </w:r>
      <w:r w:rsidRPr="00A51E29">
        <w:rPr>
          <w:sz w:val="18"/>
        </w:rPr>
        <w:t>адресу</w:t>
      </w:r>
      <w:r w:rsidRPr="00232C8C">
        <w:rPr>
          <w:sz w:val="18"/>
          <w:lang w:val="en-US"/>
        </w:rPr>
        <w:t>:</w:t>
      </w:r>
      <w:r w:rsidRPr="00A51E29">
        <w:rPr>
          <w:lang w:val="en-US"/>
        </w:rPr>
        <w:t xml:space="preserve"> </w:t>
      </w:r>
      <w:r>
        <w:fldChar w:fldCharType="begin"/>
      </w:r>
      <w:r w:rsidRPr="007F1B0C">
        <w:rPr>
          <w:lang w:val="en-US"/>
        </w:rPr>
        <w:instrText>HYPERLINK "https://www.cigionline.org/sites/default/files/documents/Paper%20no.176web.pdf"</w:instrText>
      </w:r>
      <w:r>
        <w:fldChar w:fldCharType="separate"/>
      </w:r>
      <w:r w:rsidRPr="00A51E29">
        <w:rPr>
          <w:rStyle w:val="Hyperlink"/>
          <w:color w:val="0033CC"/>
          <w:sz w:val="18"/>
          <w:lang w:val="en-US"/>
        </w:rPr>
        <w:t>https://www.cigionline.org/sites/default/files/documents/Paper%20no.176web.pdf</w:t>
      </w:r>
      <w:r>
        <w:rPr>
          <w:rStyle w:val="Hyperlink"/>
          <w:color w:val="0033CC"/>
          <w:sz w:val="18"/>
          <w:lang w:val="en-US"/>
        </w:rPr>
        <w:fldChar w:fldCharType="end"/>
      </w:r>
      <w:r w:rsidRPr="00A51E29">
        <w:rPr>
          <w:lang w:val="en-US"/>
        </w:rPr>
        <w:t>.</w:t>
      </w:r>
      <w:r w:rsidRPr="00A51E29">
        <w:rPr>
          <w:rStyle w:val="Hyperlink"/>
          <w:color w:val="auto"/>
          <w:sz w:val="18"/>
          <w:u w:val="none"/>
          <w:lang w:val="en-US"/>
        </w:rPr>
        <w:t xml:space="preserve"> </w:t>
      </w:r>
    </w:p>
  </w:footnote>
  <w:footnote w:id="25">
    <w:p w14:paraId="2E5A92A7" w14:textId="77777777" w:rsidR="00063FCA" w:rsidRPr="00D63A1C" w:rsidRDefault="00063FCA" w:rsidP="00063FCA">
      <w:pPr>
        <w:pStyle w:val="FootnoteText"/>
        <w:rPr>
          <w:szCs w:val="18"/>
        </w:rPr>
      </w:pPr>
      <w:r>
        <w:rPr>
          <w:rStyle w:val="FootnoteReference"/>
          <w:szCs w:val="18"/>
        </w:rPr>
        <w:footnoteRef/>
      </w:r>
      <w:r>
        <w:t xml:space="preserve"> </w:t>
      </w:r>
      <w:bookmarkStart w:id="7" w:name="_Hlk49439153"/>
      <w:r>
        <w:tab/>
        <w:t xml:space="preserve">См. пункты 4-6 «Отчета о технической экспертизе», опубликованного по адресу: </w:t>
      </w:r>
      <w:hyperlink r:id="rId11" w:history="1">
        <w:r>
          <w:rPr>
            <w:rStyle w:val="Hyperlink"/>
            <w:color w:val="0033CC"/>
          </w:rPr>
          <w:t>https://www.wipo.int/edocs/mdocs/tk/ru/wipo_grtkf_ic_29/wipo_grtkf_ic_29_inf_10.pdf</w:t>
        </w:r>
      </w:hyperlink>
      <w:r>
        <w:rPr>
          <w:rStyle w:val="Hyperlink"/>
          <w:color w:val="auto"/>
          <w:u w:val="none"/>
        </w:rPr>
        <w:t xml:space="preserve">. </w:t>
      </w:r>
    </w:p>
    <w:bookmarkEnd w:id="7"/>
  </w:footnote>
  <w:footnote w:id="26">
    <w:p w14:paraId="63B8DFCA" w14:textId="77777777" w:rsidR="00063FCA" w:rsidRPr="00D63A1C" w:rsidRDefault="00063FCA" w:rsidP="00063FCA">
      <w:pPr>
        <w:pStyle w:val="FootnoteText"/>
        <w:rPr>
          <w:szCs w:val="18"/>
        </w:rPr>
      </w:pPr>
      <w:r>
        <w:rPr>
          <w:rStyle w:val="FootnoteReference"/>
          <w:szCs w:val="18"/>
        </w:rPr>
        <w:footnoteRef/>
      </w:r>
      <w:r>
        <w:t xml:space="preserve"> </w:t>
      </w:r>
      <w:r>
        <w:tab/>
        <w:t xml:space="preserve">Bagley, там же. </w:t>
      </w:r>
    </w:p>
  </w:footnote>
  <w:footnote w:id="27">
    <w:p w14:paraId="466E4164"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19.</w:t>
      </w:r>
    </w:p>
  </w:footnote>
  <w:footnote w:id="28">
    <w:p w14:paraId="0ECF8095" w14:textId="77777777" w:rsidR="00063FCA" w:rsidRPr="008B5CD1" w:rsidRDefault="00063FCA" w:rsidP="00063FCA">
      <w:pPr>
        <w:pStyle w:val="FootnoteText"/>
        <w:rPr>
          <w:szCs w:val="18"/>
        </w:rPr>
      </w:pPr>
      <w:r>
        <w:rPr>
          <w:rStyle w:val="FootnoteReference"/>
          <w:szCs w:val="18"/>
        </w:rPr>
        <w:footnoteRef/>
      </w:r>
      <w:r w:rsidRPr="00A51E29">
        <w:rPr>
          <w:lang w:val="en-US"/>
        </w:rPr>
        <w:tab/>
      </w:r>
      <w:r>
        <w:t>См</w:t>
      </w:r>
      <w:r w:rsidRPr="00A51E29">
        <w:rPr>
          <w:lang w:val="en-US"/>
        </w:rPr>
        <w:t xml:space="preserve">. WIPO Study on Limitations and Exceptions of Copyright and Related Rights in the Digital Environment. </w:t>
      </w:r>
      <w:r>
        <w:t xml:space="preserve">Постоянный комитет по авторскому праву и смежным правам. Женева, 23-27 июня 2003 г., размещено по адресу: </w:t>
      </w:r>
      <w:hyperlink r:id="rId12" w:history="1">
        <w:r>
          <w:rPr>
            <w:rStyle w:val="Hyperlink"/>
            <w:color w:val="0033CC"/>
          </w:rPr>
          <w:t>https://www.wipo.int/edocs/mdocs/copyright/en/sccr_9/sccr_9_7.pdf</w:t>
        </w:r>
      </w:hyperlink>
      <w:r>
        <w:t xml:space="preserve">. </w:t>
      </w:r>
    </w:p>
  </w:footnote>
  <w:footnote w:id="29">
    <w:p w14:paraId="49849325" w14:textId="77777777" w:rsidR="00063FCA" w:rsidRPr="008B5CD1" w:rsidRDefault="00063FCA" w:rsidP="00063FCA">
      <w:pPr>
        <w:pStyle w:val="FootnoteText"/>
        <w:rPr>
          <w:szCs w:val="18"/>
        </w:rPr>
      </w:pPr>
      <w:r>
        <w:rPr>
          <w:rStyle w:val="FootnoteReference"/>
          <w:szCs w:val="18"/>
        </w:rPr>
        <w:footnoteRef/>
      </w:r>
      <w:r>
        <w:t xml:space="preserve"> </w:t>
      </w:r>
      <w:bookmarkStart w:id="8" w:name="_Hlk49439170"/>
      <w:r>
        <w:tab/>
        <w:t>См. документ WO/GA/51/12, стр. 21 приложения I: «Исключения и ограничения».</w:t>
      </w:r>
      <w:bookmarkEnd w:id="8"/>
    </w:p>
  </w:footnote>
  <w:footnote w:id="30">
    <w:p w14:paraId="7E0DC310" w14:textId="77777777" w:rsidR="00063FCA" w:rsidRPr="008B5CD1" w:rsidRDefault="00063FCA" w:rsidP="00063FCA">
      <w:pPr>
        <w:pStyle w:val="FootnoteText"/>
        <w:rPr>
          <w:szCs w:val="18"/>
        </w:rPr>
      </w:pPr>
      <w:r>
        <w:rPr>
          <w:rStyle w:val="FootnoteReference"/>
          <w:szCs w:val="18"/>
        </w:rPr>
        <w:footnoteRef/>
      </w:r>
      <w:r>
        <w:tab/>
        <w:t xml:space="preserve">Статьи 11(2) и 19 ДПКНООН. </w:t>
      </w:r>
    </w:p>
  </w:footnote>
  <w:footnote w:id="31">
    <w:p w14:paraId="710127BC" w14:textId="77777777" w:rsidR="00063FCA" w:rsidRPr="00A51E29" w:rsidRDefault="00063FCA" w:rsidP="00063FCA">
      <w:pPr>
        <w:rPr>
          <w:sz w:val="18"/>
          <w:szCs w:val="18"/>
        </w:rPr>
      </w:pPr>
      <w:r>
        <w:rPr>
          <w:rStyle w:val="FootnoteReference"/>
          <w:sz w:val="18"/>
          <w:szCs w:val="18"/>
        </w:rPr>
        <w:footnoteRef/>
      </w:r>
      <w:r>
        <w:tab/>
      </w:r>
      <w:r w:rsidRPr="00A51E29">
        <w:rPr>
          <w:sz w:val="18"/>
          <w:szCs w:val="18"/>
        </w:rPr>
        <w:t xml:space="preserve">См. статью 32.5 Соглашения по адресу: </w:t>
      </w:r>
      <w:hyperlink r:id="rId13" w:history="1">
        <w:r w:rsidRPr="00A51E29">
          <w:rPr>
            <w:rStyle w:val="Hyperlink"/>
            <w:color w:val="0033CC"/>
            <w:sz w:val="18"/>
            <w:szCs w:val="18"/>
          </w:rPr>
          <w:t>https://ustr.gov/sites/default/files/files/agreements/FTA/USMCA/Text/32_Exceptions_and_General_Provisions.pdf</w:t>
        </w:r>
      </w:hyperlink>
      <w:r w:rsidRPr="00A51E29">
        <w:rPr>
          <w:rStyle w:val="Hyperlink"/>
          <w:color w:val="auto"/>
          <w:sz w:val="18"/>
          <w:szCs w:val="18"/>
          <w:u w:val="none"/>
        </w:rPr>
        <w:t>.</w:t>
      </w:r>
    </w:p>
  </w:footnote>
  <w:footnote w:id="32">
    <w:p w14:paraId="545E38ED" w14:textId="77777777" w:rsidR="00063FCA" w:rsidRPr="00A51E29" w:rsidRDefault="00063FCA" w:rsidP="00063FCA">
      <w:pPr>
        <w:rPr>
          <w:sz w:val="18"/>
          <w:szCs w:val="18"/>
        </w:rPr>
      </w:pPr>
      <w:r w:rsidRPr="00A51E29">
        <w:rPr>
          <w:rStyle w:val="FootnoteReference"/>
          <w:sz w:val="18"/>
          <w:szCs w:val="18"/>
        </w:rPr>
        <w:footnoteRef/>
      </w:r>
      <w:r w:rsidRPr="00A51E29">
        <w:rPr>
          <w:sz w:val="18"/>
          <w:szCs w:val="18"/>
        </w:rPr>
        <w:tab/>
        <w:t>Отчет о 38-й сессии МКГР, 10-14 декабря 2018 г., заявление Центра междисциплинарных исследований народности аймара (CEM-Aymara) от имени форума коренных народов, пункты 197 и 215 (документ WIPO/GRTKF/IC/38/16).</w:t>
      </w:r>
    </w:p>
  </w:footnote>
  <w:footnote w:id="33">
    <w:p w14:paraId="3DBAD003" w14:textId="77777777"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Anupam Chander and Madhavi Sunder, The Romance of Public Domain, California Law Review [Vol. 92:2004].  </w:t>
      </w:r>
    </w:p>
  </w:footnote>
  <w:footnote w:id="34">
    <w:p w14:paraId="42CADCDB" w14:textId="77777777" w:rsidR="00063FCA" w:rsidRPr="00CB512C" w:rsidRDefault="00063FCA" w:rsidP="00063FCA">
      <w:pPr>
        <w:rPr>
          <w:sz w:val="18"/>
          <w:szCs w:val="18"/>
        </w:rPr>
      </w:pPr>
      <w:r>
        <w:rPr>
          <w:rStyle w:val="FootnoteReference"/>
          <w:sz w:val="18"/>
          <w:szCs w:val="18"/>
        </w:rPr>
        <w:footnoteRef/>
      </w:r>
      <w:r>
        <w:rPr>
          <w:sz w:val="18"/>
        </w:rPr>
        <w:t xml:space="preserve"> </w:t>
      </w:r>
      <w:r w:rsidR="00A51E29">
        <w:rPr>
          <w:sz w:val="18"/>
        </w:rPr>
        <w:tab/>
      </w:r>
      <w:r>
        <w:rPr>
          <w:sz w:val="18"/>
        </w:rPr>
        <w:t>Решение КС КБР № VIII/5 B, пункт 5; Решение КС КБР № IX/13 – документ UNEP/CBD/COP/DEC/IX/13.</w:t>
      </w:r>
    </w:p>
  </w:footnote>
  <w:footnote w:id="35">
    <w:p w14:paraId="7B878842" w14:textId="77777777" w:rsidR="00063FCA" w:rsidRPr="00A51E29" w:rsidRDefault="00063FCA" w:rsidP="00063FCA">
      <w:pPr>
        <w:rPr>
          <w:sz w:val="18"/>
          <w:szCs w:val="18"/>
        </w:rPr>
      </w:pPr>
      <w:r>
        <w:rPr>
          <w:rStyle w:val="FootnoteReference"/>
          <w:sz w:val="18"/>
          <w:szCs w:val="18"/>
        </w:rPr>
        <w:footnoteRef/>
      </w:r>
      <w:r w:rsidR="00A51E29">
        <w:rPr>
          <w:sz w:val="18"/>
          <w:szCs w:val="18"/>
        </w:rPr>
        <w:t xml:space="preserve"> </w:t>
      </w:r>
      <w:r w:rsidR="00A51E29">
        <w:rPr>
          <w:sz w:val="18"/>
          <w:szCs w:val="18"/>
        </w:rPr>
        <w:tab/>
      </w:r>
      <w:r w:rsidRPr="00A51E29">
        <w:rPr>
          <w:sz w:val="18"/>
          <w:szCs w:val="18"/>
        </w:rPr>
        <w:t>Отчет о 37-й сессии МКГР, 27-31 августа 2018 г., Заявление Центра художественного права Австралии от имени Форума коренных народов, документ WIPO/GRTKF/IC/37/17, пункт 253.</w:t>
      </w:r>
    </w:p>
  </w:footnote>
  <w:footnote w:id="36">
    <w:p w14:paraId="19834FDA" w14:textId="77777777" w:rsidR="00063FCA" w:rsidRPr="00CB512C" w:rsidRDefault="00063FCA" w:rsidP="00063FCA">
      <w:pPr>
        <w:pStyle w:val="FootnoteText"/>
        <w:rPr>
          <w:szCs w:val="18"/>
        </w:rPr>
      </w:pPr>
      <w:r>
        <w:rPr>
          <w:rStyle w:val="FootnoteReference"/>
          <w:szCs w:val="18"/>
        </w:rPr>
        <w:footnoteRef/>
      </w:r>
      <w:r>
        <w:rPr>
          <w:i/>
        </w:rPr>
        <w:t xml:space="preserve"> </w:t>
      </w:r>
      <w:r>
        <w:rPr>
          <w:i/>
        </w:rPr>
        <w:tab/>
      </w:r>
      <w:r>
        <w:t>ДПКНООН, статья 31.</w:t>
      </w:r>
    </w:p>
  </w:footnote>
  <w:footnote w:id="37">
    <w:p w14:paraId="5D9B2C0B" w14:textId="77777777" w:rsidR="00063FCA" w:rsidRPr="00CB512C" w:rsidRDefault="00063FCA" w:rsidP="00063FCA">
      <w:pPr>
        <w:pStyle w:val="FootnoteText"/>
        <w:rPr>
          <w:szCs w:val="18"/>
        </w:rPr>
      </w:pPr>
      <w:r>
        <w:rPr>
          <w:rStyle w:val="FootnoteReference"/>
          <w:szCs w:val="18"/>
        </w:rPr>
        <w:footnoteRef/>
      </w:r>
      <w:r>
        <w:t xml:space="preserve"> </w:t>
      </w:r>
      <w:r>
        <w:tab/>
        <w:t xml:space="preserve">ДПКНООН, ст. 4, ст. 32; документ WIPO/GRTKF/IC/29/INF/10, размещенный по адресу: </w:t>
      </w:r>
      <w:hyperlink r:id="rId14" w:history="1">
        <w:r>
          <w:rPr>
            <w:rStyle w:val="Hyperlink"/>
            <w:color w:val="0033CC"/>
          </w:rPr>
          <w:t>https://www.wipo.int/edocs/mdocs/tk/en/wipo_grtkf_ic_29/wipo_grtkf_ic_29_inf_10.pdf</w:t>
        </w:r>
      </w:hyperlink>
      <w:r>
        <w:rPr>
          <w:rStyle w:val="Hyperlink"/>
          <w:color w:val="auto"/>
          <w:u w:val="none"/>
        </w:rPr>
        <w:t>.</w:t>
      </w:r>
    </w:p>
  </w:footnote>
  <w:footnote w:id="38">
    <w:p w14:paraId="24F597A3" w14:textId="77777777" w:rsidR="00063FCA" w:rsidRPr="00CB512C"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15" w:history="1">
        <w:r>
          <w:rPr>
            <w:rStyle w:val="Hyperlink"/>
            <w:color w:val="0033CC"/>
          </w:rPr>
          <w:t>https://www.wipo.int/edocs/mdocs/tk/ru/wipo_grtkf_ic_29/wipo_grtkf_ic_29_inf_10.pdf</w:t>
        </w:r>
      </w:hyperlink>
      <w:r>
        <w:t>.</w:t>
      </w:r>
    </w:p>
  </w:footnote>
  <w:footnote w:id="39">
    <w:p w14:paraId="7CC7026E" w14:textId="77777777" w:rsidR="00063FCA" w:rsidRPr="00CB512C" w:rsidRDefault="00063FCA" w:rsidP="00063FCA">
      <w:pPr>
        <w:pStyle w:val="FootnoteText"/>
        <w:rPr>
          <w:szCs w:val="18"/>
        </w:rPr>
      </w:pPr>
      <w:r>
        <w:rPr>
          <w:rStyle w:val="FootnoteReference"/>
          <w:szCs w:val="18"/>
        </w:rPr>
        <w:footnoteRef/>
      </w:r>
      <w:r>
        <w:tab/>
        <w:t xml:space="preserve">Нагойский протокол, статья 6(3); Промежуточный национальный доклад в рамках Механизма посредничества для регулирования ДГРСИВ об осуществлении Нагойского протокола.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6" w:history="1">
        <w:r>
          <w:rPr>
            <w:rStyle w:val="Hyperlink"/>
            <w:color w:val="0033CC"/>
          </w:rPr>
          <w:t>https://absch.cbd.int/reports/analyzer</w:t>
        </w:r>
      </w:hyperlink>
      <w:r>
        <w:t>, 11 мая 2020 г.</w:t>
      </w:r>
    </w:p>
  </w:footnote>
  <w:footnote w:id="40">
    <w:p w14:paraId="79B53B55" w14:textId="77777777" w:rsidR="00063FCA" w:rsidRPr="00CB512C" w:rsidRDefault="00063FCA" w:rsidP="00063FCA">
      <w:pPr>
        <w:pStyle w:val="FootnoteText"/>
        <w:rPr>
          <w:szCs w:val="18"/>
        </w:rPr>
      </w:pPr>
      <w:r>
        <w:rPr>
          <w:rStyle w:val="FootnoteReference"/>
          <w:szCs w:val="18"/>
        </w:rPr>
        <w:footnoteRef/>
      </w:r>
      <w:r>
        <w:tab/>
        <w:t xml:space="preserve">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7" w:history="1">
        <w:r>
          <w:rPr>
            <w:rStyle w:val="Hyperlink"/>
            <w:color w:val="0033CC"/>
          </w:rPr>
          <w:t>https://absch.cbd.int/reports/analyzer</w:t>
        </w:r>
      </w:hyperlink>
      <w:r>
        <w:t xml:space="preserve">, 11 мая 2020 г. </w:t>
      </w:r>
    </w:p>
    <w:p w14:paraId="38B21202" w14:textId="77777777" w:rsidR="00063FCA" w:rsidRPr="00CB512C" w:rsidRDefault="00063FCA" w:rsidP="00063FCA">
      <w:pPr>
        <w:pStyle w:val="FootnoteText"/>
        <w:rPr>
          <w:szCs w:val="18"/>
        </w:rPr>
      </w:pPr>
      <w:r>
        <w:t>Статистика показывает, что коренные народы имеют право предоставления доступа к генетическим ресурсам в 52% Договаривающихся сторон. Среди указанных 52% Договаривающихся сторон наличие предварительного обоснованного согласия коренных народов и взаимно согласованных с ними условий считаются обязательными в 80% Договаривающихся сторон.</w:t>
      </w:r>
    </w:p>
  </w:footnote>
  <w:footnote w:id="41">
    <w:p w14:paraId="2269A062" w14:textId="77777777" w:rsidR="00063FCA" w:rsidRPr="008B5CD1" w:rsidRDefault="00063FCA" w:rsidP="00063FCA">
      <w:pPr>
        <w:pStyle w:val="FootnoteText"/>
        <w:rPr>
          <w:szCs w:val="18"/>
        </w:rPr>
      </w:pPr>
      <w:r>
        <w:rPr>
          <w:rStyle w:val="FootnoteReference"/>
          <w:szCs w:val="18"/>
        </w:rPr>
        <w:footnoteRef/>
      </w:r>
      <w:r>
        <w:t xml:space="preserve"> </w:t>
      </w:r>
      <w:r>
        <w:tab/>
        <w:t xml:space="preserve">Специальная группа технических экспертов КБР по цифровой информации о последовательностях в отношении генетических ресурсов (DSI-AHTEG);  Manuel Ruiz Muller, </w:t>
      </w:r>
      <w:r>
        <w:rPr>
          <w:i/>
        </w:rPr>
        <w:t>Access to Genetic Resources and Benefit Sharing 25 Years on: Progress and Challenges</w:t>
      </w:r>
      <w:r>
        <w:t xml:space="preserve"> (International Centre for Trade and Development, Issue Paper No.44, 2018), vii. </w:t>
      </w:r>
      <w:hyperlink r:id="rId18" w:history="1">
        <w:r>
          <w:rPr>
            <w:rStyle w:val="Hyperlink"/>
            <w:color w:val="0033CC"/>
          </w:rPr>
          <w:t>&lt;https://www.voices4biojustice.org/wp-content/uploads/2018/12/Access-to-Genetic-Resources-and-Benefit-Sharing-25-Years-On-Progress-and-Challenges.pdf&gt;</w:t>
        </w:r>
      </w:hyperlink>
      <w:r>
        <w:t xml:space="preserve"> 25 мая 2020 года; недавним примером ЦИП является исходный код вируса COVID-19, распространенный через Механизм обеспечения готовности к пандемическому гриппу (Механизм ГПГ), открывающий доступ к патогенам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WHA64.5.</w:t>
      </w:r>
    </w:p>
  </w:footnote>
  <w:footnote w:id="42">
    <w:p w14:paraId="493A9848" w14:textId="77777777" w:rsidR="00063FCA" w:rsidRPr="008B5CD1" w:rsidRDefault="00063FCA" w:rsidP="00063FCA">
      <w:pPr>
        <w:pStyle w:val="FootnoteText"/>
        <w:rPr>
          <w:szCs w:val="18"/>
        </w:rPr>
      </w:pPr>
      <w:r>
        <w:rPr>
          <w:rStyle w:val="FootnoteReference"/>
          <w:szCs w:val="18"/>
        </w:rPr>
        <w:footnoteRef/>
      </w:r>
      <w:r>
        <w:t xml:space="preserve"> </w:t>
      </w:r>
      <w:r>
        <w:tab/>
        <w:t>ДПКНООН, статья 31, статья 23.</w:t>
      </w:r>
    </w:p>
  </w:footnote>
  <w:footnote w:id="43">
    <w:p w14:paraId="67F0E356" w14:textId="77777777" w:rsidR="00063FCA" w:rsidRPr="008B5CD1" w:rsidRDefault="00063FCA" w:rsidP="00063FCA">
      <w:pPr>
        <w:pStyle w:val="FootnoteText"/>
        <w:rPr>
          <w:szCs w:val="18"/>
        </w:rPr>
      </w:pPr>
      <w:r>
        <w:rPr>
          <w:rStyle w:val="FootnoteReference"/>
          <w:szCs w:val="18"/>
        </w:rPr>
        <w:footnoteRef/>
      </w:r>
      <w:r>
        <w:t xml:space="preserve"> </w:t>
      </w:r>
      <w:r w:rsidR="00A51E29">
        <w:tab/>
      </w:r>
      <w:r>
        <w:t>CBD/COP/DEC/XIII/16 – Решение Конференции сторон КБР от 16 декабря 2016 года; CBD/NP/MOP/DEC/2/14 – Решение сторон Нагойского протокола от 16 декабря 2016 г.; текст Председателя, статья 9.</w:t>
      </w:r>
    </w:p>
  </w:footnote>
  <w:footnote w:id="44">
    <w:p w14:paraId="1F4E4AA3" w14:textId="532C582B" w:rsidR="00063FCA" w:rsidRPr="00A51E29" w:rsidRDefault="00063FCA" w:rsidP="00063FCA">
      <w:pPr>
        <w:rPr>
          <w:sz w:val="18"/>
          <w:szCs w:val="18"/>
        </w:rPr>
      </w:pPr>
      <w:r>
        <w:rPr>
          <w:rStyle w:val="FootnoteReference"/>
          <w:sz w:val="18"/>
          <w:szCs w:val="18"/>
        </w:rPr>
        <w:footnoteRef/>
      </w:r>
      <w:r>
        <w:t xml:space="preserve"> </w:t>
      </w:r>
      <w:r w:rsidR="00FF3E6B">
        <w:tab/>
      </w:r>
      <w:r w:rsidRPr="00A51E29">
        <w:rPr>
          <w:sz w:val="18"/>
          <w:szCs w:val="18"/>
        </w:rPr>
        <w:t>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(AHTEG DSI), Монреаль, Канада, 13-16 февраля 20</w:t>
      </w:r>
      <w:r w:rsidR="00A51E29">
        <w:rPr>
          <w:sz w:val="18"/>
          <w:szCs w:val="18"/>
        </w:rPr>
        <w:t>18 года, CBD/DSI/AHTEG/2018/1/4</w:t>
      </w:r>
      <w:r w:rsidRPr="00A51E29">
        <w:rPr>
          <w:sz w:val="18"/>
          <w:szCs w:val="18"/>
        </w:rPr>
        <w:t>.</w:t>
      </w:r>
    </w:p>
  </w:footnote>
  <w:footnote w:id="45">
    <w:p w14:paraId="19921460" w14:textId="77777777" w:rsidR="00063FCA" w:rsidRPr="008B5CD1" w:rsidRDefault="00063FCA" w:rsidP="00063FCA">
      <w:pPr>
        <w:pStyle w:val="FootnoteText"/>
        <w:rPr>
          <w:szCs w:val="18"/>
        </w:rPr>
      </w:pPr>
      <w:r>
        <w:rPr>
          <w:rStyle w:val="FootnoteReference"/>
          <w:szCs w:val="18"/>
        </w:rPr>
        <w:footnoteRef/>
      </w:r>
      <w:r>
        <w:t xml:space="preserve"> </w:t>
      </w:r>
      <w:r>
        <w:tab/>
        <w:t>Текст Председателя, вступительные замечания; сводный текст, ст.</w:t>
      </w:r>
      <w:r w:rsidR="00232C8C">
        <w:t xml:space="preserve"> </w:t>
      </w:r>
      <w:r>
        <w:t>10.4.</w:t>
      </w:r>
    </w:p>
  </w:footnote>
  <w:footnote w:id="46">
    <w:p w14:paraId="14247374" w14:textId="77777777" w:rsidR="00063FCA" w:rsidRPr="008B5CD1" w:rsidRDefault="00063FCA" w:rsidP="00063FCA">
      <w:pPr>
        <w:pStyle w:val="FootnoteText"/>
        <w:rPr>
          <w:szCs w:val="18"/>
        </w:rPr>
      </w:pPr>
      <w:r>
        <w:rPr>
          <w:rStyle w:val="FootnoteReference"/>
          <w:szCs w:val="18"/>
        </w:rPr>
        <w:footnoteRef/>
      </w:r>
      <w:r>
        <w:t xml:space="preserve"> </w:t>
      </w:r>
      <w:r>
        <w:tab/>
        <w:t xml:space="preserve">Текст </w:t>
      </w:r>
      <w:r w:rsidR="00A51E29">
        <w:t>П</w:t>
      </w:r>
      <w:r>
        <w:t>редседателя, ст. 3.1, ст. 3.2; сводный текст, ст.</w:t>
      </w:r>
      <w:r w:rsidR="00232C8C">
        <w:t xml:space="preserve"> </w:t>
      </w:r>
      <w:r>
        <w:t>10.4.</w:t>
      </w:r>
    </w:p>
  </w:footnote>
  <w:footnote w:id="47">
    <w:p w14:paraId="556DF50B" w14:textId="77777777"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sidRPr="00A51E29">
        <w:rPr>
          <w:sz w:val="18"/>
          <w:szCs w:val="18"/>
        </w:rPr>
        <w:t>Текст</w:t>
      </w:r>
      <w:r w:rsidRPr="00A51E29">
        <w:rPr>
          <w:sz w:val="18"/>
          <w:szCs w:val="18"/>
          <w:lang w:val="en-US"/>
        </w:rPr>
        <w:t xml:space="preserve"> </w:t>
      </w:r>
      <w:r w:rsidR="00A51E29">
        <w:rPr>
          <w:sz w:val="18"/>
          <w:szCs w:val="18"/>
        </w:rPr>
        <w:t>П</w:t>
      </w:r>
      <w:r w:rsidRPr="00A51E29">
        <w:rPr>
          <w:sz w:val="18"/>
          <w:szCs w:val="18"/>
        </w:rPr>
        <w:t>редседателя</w:t>
      </w:r>
      <w:r w:rsidRPr="00A51E29">
        <w:rPr>
          <w:sz w:val="18"/>
          <w:szCs w:val="18"/>
          <w:lang w:val="en-US"/>
        </w:rPr>
        <w:t xml:space="preserve">, </w:t>
      </w:r>
      <w:r w:rsidRPr="00A51E29">
        <w:rPr>
          <w:sz w:val="18"/>
          <w:szCs w:val="18"/>
        </w:rPr>
        <w:t>ст</w:t>
      </w:r>
      <w:r w:rsidRPr="00A51E29">
        <w:rPr>
          <w:sz w:val="18"/>
          <w:szCs w:val="18"/>
          <w:lang w:val="en-US"/>
        </w:rPr>
        <w:t xml:space="preserve">. 3, </w:t>
      </w:r>
      <w:r w:rsidRPr="00A51E29">
        <w:rPr>
          <w:sz w:val="18"/>
          <w:szCs w:val="18"/>
        </w:rPr>
        <w:t>примечания</w:t>
      </w:r>
      <w:r w:rsidRPr="00A51E29">
        <w:rPr>
          <w:sz w:val="18"/>
          <w:szCs w:val="18"/>
          <w:lang w:val="en-US"/>
        </w:rPr>
        <w:t xml:space="preserve"> </w:t>
      </w:r>
      <w:r w:rsidRPr="00A51E29">
        <w:rPr>
          <w:sz w:val="18"/>
          <w:szCs w:val="18"/>
        </w:rPr>
        <w:t>к</w:t>
      </w:r>
      <w:r w:rsidRPr="00A51E29">
        <w:rPr>
          <w:sz w:val="18"/>
          <w:szCs w:val="18"/>
          <w:lang w:val="en-US"/>
        </w:rPr>
        <w:t xml:space="preserve"> </w:t>
      </w:r>
      <w:r w:rsidRPr="00A51E29">
        <w:rPr>
          <w:sz w:val="18"/>
          <w:szCs w:val="18"/>
        </w:rPr>
        <w:t>ст</w:t>
      </w:r>
      <w:r w:rsidRPr="00A51E29">
        <w:rPr>
          <w:sz w:val="18"/>
          <w:szCs w:val="18"/>
          <w:lang w:val="en-US"/>
        </w:rPr>
        <w:t>.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14:paraId="765E80E8" w14:textId="77777777" w:rsidR="00063FCA" w:rsidRPr="008B5CD1" w:rsidRDefault="00063FCA" w:rsidP="00063FCA">
      <w:pPr>
        <w:pStyle w:val="FootnoteText"/>
        <w:rPr>
          <w:szCs w:val="18"/>
        </w:rPr>
      </w:pPr>
      <w:r>
        <w:rPr>
          <w:rStyle w:val="FootnoteReference"/>
          <w:szCs w:val="18"/>
        </w:rPr>
        <w:footnoteRef/>
      </w:r>
      <w:r>
        <w:t xml:space="preserve"> </w:t>
      </w:r>
      <w:r>
        <w:tab/>
        <w:t>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WIPO/GRTKF/IC/35/10, пункт 23.</w:t>
      </w:r>
    </w:p>
  </w:footnote>
  <w:footnote w:id="49">
    <w:p w14:paraId="22844349" w14:textId="77777777" w:rsidR="00063FCA" w:rsidRPr="00A51E29" w:rsidRDefault="00063FCA" w:rsidP="00063FCA">
      <w:pPr>
        <w:rPr>
          <w:sz w:val="18"/>
          <w:szCs w:val="18"/>
        </w:rPr>
      </w:pPr>
      <w:r>
        <w:rPr>
          <w:rStyle w:val="FootnoteReference"/>
          <w:sz w:val="18"/>
          <w:szCs w:val="18"/>
        </w:rPr>
        <w:footnoteRef/>
      </w:r>
      <w:r>
        <w:t xml:space="preserve"> </w:t>
      </w:r>
      <w:r>
        <w:tab/>
      </w:r>
      <w:r w:rsidRPr="00A51E29">
        <w:rPr>
          <w:sz w:val="18"/>
          <w:szCs w:val="18"/>
        </w:rPr>
        <w:t>CBD AHTEG DSI, 13-16 февраля 2018 года, CBD/DSI/AHTEG/2018/1/4, пункт 29.</w:t>
      </w:r>
    </w:p>
  </w:footnote>
  <w:footnote w:id="50">
    <w:p w14:paraId="47161CDD"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Текст Председателя, ст. 6.5.</w:t>
      </w:r>
    </w:p>
  </w:footnote>
  <w:footnote w:id="51">
    <w:p w14:paraId="365E1FDB"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Сводный текст, статья 6.4</w:t>
      </w:r>
    </w:p>
  </w:footnote>
  <w:footnote w:id="52">
    <w:p w14:paraId="53F8D8AB" w14:textId="77777777"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ДПКНООН, ст. 27, ст. 39, ст. 40; Международный пакт о гражданских и политических правах (</w:t>
      </w:r>
      <w:r w:rsidRPr="00A51E29">
        <w:rPr>
          <w:i/>
          <w:szCs w:val="18"/>
        </w:rPr>
        <w:t>МПГПП)</w:t>
      </w:r>
      <w:r w:rsidRPr="00A51E29">
        <w:rPr>
          <w:szCs w:val="18"/>
        </w:rPr>
        <w:t>, Замечание общего порядка № 23.</w:t>
      </w:r>
    </w:p>
  </w:footnote>
  <w:footnote w:id="53">
    <w:p w14:paraId="0C9CF63C" w14:textId="77777777" w:rsidR="00063FCA" w:rsidRPr="00A51E29" w:rsidRDefault="00063FCA" w:rsidP="00063FCA">
      <w:pPr>
        <w:rPr>
          <w:sz w:val="18"/>
          <w:szCs w:val="18"/>
          <w:lang w:val="en-US"/>
        </w:rPr>
      </w:pPr>
      <w:r w:rsidRPr="00A51E29">
        <w:rPr>
          <w:rStyle w:val="FootnoteReference"/>
          <w:sz w:val="18"/>
          <w:szCs w:val="18"/>
        </w:rPr>
        <w:footnoteRef/>
      </w:r>
      <w:r w:rsidRPr="00A51E29">
        <w:rPr>
          <w:sz w:val="18"/>
          <w:szCs w:val="18"/>
        </w:rPr>
        <w:t xml:space="preserve"> </w:t>
      </w:r>
      <w:r w:rsidRPr="00A51E29">
        <w:rPr>
          <w:sz w:val="18"/>
          <w:szCs w:val="18"/>
        </w:rPr>
        <w:tab/>
        <w:t xml:space="preserve">CBD AHTEG DSI, 13-16 февраля 2018 года, CBD/DSI/AHTEG/2018/1/4, пункт 29. </w:t>
      </w:r>
      <w:r w:rsidRPr="00A51E29">
        <w:rPr>
          <w:sz w:val="18"/>
          <w:szCs w:val="18"/>
          <w:lang w:val="en-US"/>
        </w:rPr>
        <w:t xml:space="preserve">Frederic Perron-Welch, Blockchain Technology and Access and Benefit Sharing, 7 </w:t>
      </w:r>
      <w:r w:rsidRPr="00A51E29">
        <w:rPr>
          <w:sz w:val="18"/>
          <w:szCs w:val="18"/>
        </w:rPr>
        <w:t>августа</w:t>
      </w:r>
      <w:r w:rsidRPr="00A51E29">
        <w:rPr>
          <w:sz w:val="18"/>
          <w:szCs w:val="18"/>
          <w:lang w:val="en-US"/>
        </w:rPr>
        <w:t xml:space="preserve"> 2018 </w:t>
      </w:r>
      <w:r w:rsidRPr="00A51E29">
        <w:rPr>
          <w:sz w:val="18"/>
          <w:szCs w:val="18"/>
        </w:rPr>
        <w:t>года</w:t>
      </w:r>
      <w:r w:rsidR="00A51E29" w:rsidRPr="00A51E29">
        <w:rPr>
          <w:sz w:val="18"/>
          <w:szCs w:val="18"/>
          <w:lang w:val="en-US"/>
        </w:rPr>
        <w:t>.</w:t>
      </w:r>
      <w:r w:rsidRPr="00A51E29">
        <w:rPr>
          <w:sz w:val="18"/>
          <w:szCs w:val="18"/>
          <w:lang w:val="en-US"/>
        </w:rPr>
        <w:t xml:space="preserve"> </w:t>
      </w:r>
    </w:p>
  </w:footnote>
  <w:footnote w:id="54">
    <w:p w14:paraId="7C9F14AA" w14:textId="77777777" w:rsidR="00063FCA" w:rsidRPr="008B5CD1" w:rsidRDefault="00063FCA" w:rsidP="00063FCA">
      <w:pPr>
        <w:pStyle w:val="FootnoteText"/>
        <w:rPr>
          <w:szCs w:val="18"/>
        </w:rPr>
      </w:pPr>
      <w:r>
        <w:rPr>
          <w:rStyle w:val="FootnoteReference"/>
          <w:szCs w:val="18"/>
        </w:rPr>
        <w:footnoteRef/>
      </w:r>
      <w:r>
        <w:t xml:space="preserve"> </w:t>
      </w:r>
      <w:r>
        <w:tab/>
        <w:t xml:space="preserve">ВОИС (наряду с другими учреждениями, фондами и программами ООН) ежегодно отчитывается о достижениях в реализации Общесистемного плана действий ООН (ОПД ООН) в этих областях.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B79C" w14:textId="341B61E6" w:rsidR="00063FCA" w:rsidRPr="00A51E29" w:rsidRDefault="00063FCA" w:rsidP="000F2AD2">
    <w:pPr>
      <w:jc w:val="right"/>
      <w:rPr>
        <w:lang w:val="en-US"/>
      </w:rPr>
    </w:pPr>
    <w:r w:rsidRPr="00A51E29">
      <w:rPr>
        <w:lang w:val="en-US"/>
      </w:rPr>
      <w:t>WIPO/GRTKF/IC/</w:t>
    </w:r>
    <w:r w:rsidR="00103FB6">
      <w:t>50</w:t>
    </w:r>
    <w:r w:rsidRPr="00A51E29">
      <w:rPr>
        <w:lang w:val="en-US"/>
      </w:rPr>
      <w:t>/INF/8</w:t>
    </w:r>
  </w:p>
  <w:p w14:paraId="48C29AC3" w14:textId="77777777" w:rsidR="00063FCA" w:rsidRDefault="00063FCA" w:rsidP="000F2AD2">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rsidR="00232C8C" w:rsidRPr="00232C8C">
      <w:rPr>
        <w:noProof/>
      </w:rPr>
      <w:t>2</w:t>
    </w:r>
    <w:r>
      <w:fldChar w:fldCharType="end"/>
    </w:r>
  </w:p>
  <w:p w14:paraId="6CB8026E" w14:textId="77777777" w:rsidR="00063FCA" w:rsidRDefault="00063FCA"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46C6" w14:textId="77777777" w:rsidR="00063FCA" w:rsidRPr="00A51E29" w:rsidRDefault="00063FCA" w:rsidP="00477D6B">
    <w:pPr>
      <w:jc w:val="right"/>
      <w:rPr>
        <w:lang w:val="en-US"/>
      </w:rPr>
    </w:pPr>
    <w:r w:rsidRPr="00A51E29">
      <w:rPr>
        <w:lang w:val="en-US"/>
      </w:rPr>
      <w:t>WIPO/GRTKF/IC/46/INF/8</w:t>
    </w:r>
  </w:p>
  <w:p w14:paraId="59E5DCEA" w14:textId="77777777" w:rsidR="00063FCA" w:rsidRDefault="00063FCA" w:rsidP="00477D6B">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t>1</w:t>
    </w:r>
    <w:r>
      <w:fldChar w:fldCharType="end"/>
    </w:r>
  </w:p>
  <w:p w14:paraId="6258E5AE" w14:textId="77777777" w:rsidR="00063FCA" w:rsidRDefault="00063FCA" w:rsidP="00477D6B">
    <w:pPr>
      <w:jc w:val="right"/>
    </w:pPr>
  </w:p>
  <w:p w14:paraId="07703AE7" w14:textId="77777777" w:rsidR="00063FCA" w:rsidRDefault="00063FC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EAAE" w14:textId="772CE151" w:rsidR="00067F2E" w:rsidRDefault="00067F2E" w:rsidP="000F2AD2">
    <w:pPr>
      <w:jc w:val="right"/>
    </w:pPr>
    <w:r>
      <w:t>WIPO/GRTKF/IC/</w:t>
    </w:r>
    <w:r w:rsidR="00103FB6">
      <w:t>50</w:t>
    </w:r>
    <w:r>
      <w:t>/INF/8</w:t>
    </w:r>
  </w:p>
  <w:p w14:paraId="1B1A15A4" w14:textId="77777777" w:rsidR="00067F2E" w:rsidRDefault="00067F2E" w:rsidP="000F2AD2">
    <w:pPr>
      <w:jc w:val="right"/>
    </w:pPr>
    <w:r>
      <w:t xml:space="preserve">Приложение, стр. </w:t>
    </w:r>
    <w:r>
      <w:fldChar w:fldCharType="begin"/>
    </w:r>
    <w:r>
      <w:instrText xml:space="preserve"> PAGE  \* MERGEFORMAT </w:instrText>
    </w:r>
    <w:r>
      <w:fldChar w:fldCharType="separate"/>
    </w:r>
    <w:r w:rsidR="00232C8C">
      <w:rPr>
        <w:noProof/>
      </w:rPr>
      <w:t>10</w:t>
    </w:r>
    <w:r>
      <w:fldChar w:fldCharType="end"/>
    </w:r>
  </w:p>
  <w:p w14:paraId="52BCF4F1" w14:textId="77777777" w:rsidR="00067F2E" w:rsidRDefault="00067F2E"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3B0F" w14:textId="4AB68943" w:rsidR="00063FCA" w:rsidRDefault="00063FCA" w:rsidP="00063FCA">
    <w:pPr>
      <w:jc w:val="right"/>
    </w:pPr>
    <w:r>
      <w:t>WIPO/GRTKF/IC/</w:t>
    </w:r>
    <w:r w:rsidR="00103FB6">
      <w:t>50</w:t>
    </w:r>
    <w:r>
      <w:t>/INF/8</w:t>
    </w:r>
  </w:p>
  <w:p w14:paraId="2BF896C0" w14:textId="77777777" w:rsidR="00071A34" w:rsidRDefault="00063FCA" w:rsidP="00063FCA">
    <w:pPr>
      <w:jc w:val="right"/>
    </w:pPr>
    <w:r>
      <w:t xml:space="preserve">Приложение, стр. </w:t>
    </w:r>
    <w:r>
      <w:fldChar w:fldCharType="begin"/>
    </w:r>
    <w:r>
      <w:instrText xml:space="preserve"> PAGE   \* MERGEFORMAT </w:instrText>
    </w:r>
    <w:r>
      <w:fldChar w:fldCharType="separate"/>
    </w:r>
    <w:r w:rsidR="00232C8C">
      <w:rPr>
        <w:noProof/>
      </w:rPr>
      <w:t>11</w:t>
    </w:r>
    <w:r>
      <w:fldChar w:fldCharType="end"/>
    </w:r>
  </w:p>
  <w:p w14:paraId="7ABC1797" w14:textId="77777777" w:rsidR="00063FCA" w:rsidRDefault="00063FCA" w:rsidP="00063FCA">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3E5F" w14:textId="34E0CA74" w:rsidR="00063FCA" w:rsidRDefault="00063FCA" w:rsidP="00063FCA">
    <w:pPr>
      <w:jc w:val="right"/>
    </w:pPr>
    <w:r>
      <w:t>WIPO/GRTKF/IC/</w:t>
    </w:r>
    <w:r w:rsidR="00103FB6">
      <w:t>50</w:t>
    </w:r>
    <w:r>
      <w:t>/INF/8</w:t>
    </w:r>
  </w:p>
  <w:p w14:paraId="0EE6AFD6" w14:textId="77777777" w:rsidR="00063FCA" w:rsidRDefault="00063FCA" w:rsidP="00063FCA">
    <w:pPr>
      <w:jc w:val="right"/>
    </w:pPr>
    <w:r>
      <w:t>ПРИЛОЖЕНИЕ</w:t>
    </w:r>
  </w:p>
  <w:p w14:paraId="42F458BE" w14:textId="77777777"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3630488">
    <w:abstractNumId w:val="2"/>
  </w:num>
  <w:num w:numId="2" w16cid:durableId="407461702">
    <w:abstractNumId w:val="4"/>
  </w:num>
  <w:num w:numId="3" w16cid:durableId="1186283787">
    <w:abstractNumId w:val="0"/>
  </w:num>
  <w:num w:numId="4" w16cid:durableId="1425227103">
    <w:abstractNumId w:val="5"/>
  </w:num>
  <w:num w:numId="5" w16cid:durableId="316997874">
    <w:abstractNumId w:val="1"/>
  </w:num>
  <w:num w:numId="6" w16cid:durableId="1511918570">
    <w:abstractNumId w:val="3"/>
  </w:num>
  <w:num w:numId="7" w16cid:durableId="763189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43CAA"/>
    <w:rsid w:val="00063FCA"/>
    <w:rsid w:val="00067F2E"/>
    <w:rsid w:val="00071A34"/>
    <w:rsid w:val="00075432"/>
    <w:rsid w:val="00090C21"/>
    <w:rsid w:val="000968ED"/>
    <w:rsid w:val="000D1DD6"/>
    <w:rsid w:val="000F2AD2"/>
    <w:rsid w:val="000F5E56"/>
    <w:rsid w:val="00103FB6"/>
    <w:rsid w:val="001307BE"/>
    <w:rsid w:val="001362EE"/>
    <w:rsid w:val="001647D5"/>
    <w:rsid w:val="001832A6"/>
    <w:rsid w:val="001F1ACB"/>
    <w:rsid w:val="0021217E"/>
    <w:rsid w:val="00232C8C"/>
    <w:rsid w:val="002634C4"/>
    <w:rsid w:val="002928D3"/>
    <w:rsid w:val="002F1FE6"/>
    <w:rsid w:val="002F4E68"/>
    <w:rsid w:val="00312F7F"/>
    <w:rsid w:val="0033534F"/>
    <w:rsid w:val="00361450"/>
    <w:rsid w:val="003629AF"/>
    <w:rsid w:val="003673CF"/>
    <w:rsid w:val="003845C1"/>
    <w:rsid w:val="003A6F89"/>
    <w:rsid w:val="003B1CA9"/>
    <w:rsid w:val="003B38C1"/>
    <w:rsid w:val="003D0E92"/>
    <w:rsid w:val="00423E3E"/>
    <w:rsid w:val="00427AF4"/>
    <w:rsid w:val="004647DA"/>
    <w:rsid w:val="00474062"/>
    <w:rsid w:val="00477D6B"/>
    <w:rsid w:val="005019FF"/>
    <w:rsid w:val="0052374B"/>
    <w:rsid w:val="0053057A"/>
    <w:rsid w:val="00560A29"/>
    <w:rsid w:val="005C6649"/>
    <w:rsid w:val="00605827"/>
    <w:rsid w:val="00624D39"/>
    <w:rsid w:val="0064391F"/>
    <w:rsid w:val="00646050"/>
    <w:rsid w:val="006713CA"/>
    <w:rsid w:val="00676C5C"/>
    <w:rsid w:val="0069103C"/>
    <w:rsid w:val="00746EE9"/>
    <w:rsid w:val="00757702"/>
    <w:rsid w:val="007D1613"/>
    <w:rsid w:val="007E4C0E"/>
    <w:rsid w:val="007F1B0C"/>
    <w:rsid w:val="008A134B"/>
    <w:rsid w:val="008B2CC1"/>
    <w:rsid w:val="008B60B2"/>
    <w:rsid w:val="008C1180"/>
    <w:rsid w:val="008C5C51"/>
    <w:rsid w:val="0090731E"/>
    <w:rsid w:val="00916EE2"/>
    <w:rsid w:val="00966A22"/>
    <w:rsid w:val="0096722F"/>
    <w:rsid w:val="00980843"/>
    <w:rsid w:val="00996229"/>
    <w:rsid w:val="009E2791"/>
    <w:rsid w:val="009E3F6F"/>
    <w:rsid w:val="009F499F"/>
    <w:rsid w:val="00A0509A"/>
    <w:rsid w:val="00A37342"/>
    <w:rsid w:val="00A42DAF"/>
    <w:rsid w:val="00A45BD8"/>
    <w:rsid w:val="00A51E29"/>
    <w:rsid w:val="00A550C3"/>
    <w:rsid w:val="00A72AC1"/>
    <w:rsid w:val="00A869B7"/>
    <w:rsid w:val="00AA66A4"/>
    <w:rsid w:val="00AC205C"/>
    <w:rsid w:val="00AE5229"/>
    <w:rsid w:val="00AF0A6B"/>
    <w:rsid w:val="00B05A69"/>
    <w:rsid w:val="00B4759F"/>
    <w:rsid w:val="00B9734B"/>
    <w:rsid w:val="00BA30E2"/>
    <w:rsid w:val="00BC588E"/>
    <w:rsid w:val="00BC7DD2"/>
    <w:rsid w:val="00C03F97"/>
    <w:rsid w:val="00C11BFE"/>
    <w:rsid w:val="00C5068F"/>
    <w:rsid w:val="00C86D74"/>
    <w:rsid w:val="00CD04F1"/>
    <w:rsid w:val="00CE356E"/>
    <w:rsid w:val="00D323D1"/>
    <w:rsid w:val="00D45252"/>
    <w:rsid w:val="00D71B4D"/>
    <w:rsid w:val="00D93D55"/>
    <w:rsid w:val="00DD3F47"/>
    <w:rsid w:val="00E15015"/>
    <w:rsid w:val="00E1777D"/>
    <w:rsid w:val="00E335FE"/>
    <w:rsid w:val="00EA7D6E"/>
    <w:rsid w:val="00EC2E0C"/>
    <w:rsid w:val="00EC4E49"/>
    <w:rsid w:val="00ED77FB"/>
    <w:rsid w:val="00EE45FA"/>
    <w:rsid w:val="00F66152"/>
    <w:rsid w:val="00FF3E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658662"/>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063FCA"/>
    <w:rPr>
      <w:vertAlign w:val="superscript"/>
    </w:rPr>
  </w:style>
  <w:style w:type="character" w:styleId="Hyperlink">
    <w:name w:val="Hyperlink"/>
    <w:basedOn w:val="DefaultParagraphFont"/>
    <w:uiPriority w:val="99"/>
    <w:unhideWhenUsed/>
    <w:rsid w:val="00063FCA"/>
    <w:rPr>
      <w:color w:val="0000FF" w:themeColor="hyperlink"/>
      <w:u w:val="single"/>
    </w:rPr>
  </w:style>
  <w:style w:type="character" w:customStyle="1" w:styleId="HeaderChar">
    <w:name w:val="Header Char"/>
    <w:aliases w:val="Heading Char"/>
    <w:basedOn w:val="DefaultParagraphFont"/>
    <w:link w:val="Header"/>
    <w:uiPriority w:val="99"/>
    <w:rsid w:val="00063FCA"/>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ustr.gov/sites/default/files/files/agreements/FTA/USMCA/Text/32_Exceptions_and_General_Provisions.pdf" TargetMode="External"/><Relationship Id="rId1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meetings/ru/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wipo.int/edocs/mdocs/copyright/en/sccr_9/sccr_9_7.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ru/wipo_grtkf_ic_29/wipo_grtkf_ic_29_inf_10.pdf" TargetMode="External"/><Relationship Id="rId16" Type="http://schemas.openxmlformats.org/officeDocument/2006/relationships/hyperlink" Target="https://absch.cbd.int/reports/analyzer"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ru/doc_details.jsp?doc_id=443934" TargetMode="External"/><Relationship Id="rId11" Type="http://schemas.openxmlformats.org/officeDocument/2006/relationships/hyperlink" Target="https://www.wipo.int/edocs/mdocs/tk/ru/wipo_grtkf_ic_29/wipo_grtkf_ic_29_inf_10.pdf" TargetMode="External"/><Relationship Id="rId5" Type="http://schemas.openxmlformats.org/officeDocument/2006/relationships/hyperlink" Target="https://www.wipo.int/meetings/ru/doc_details.jsp?doc_id=443934" TargetMode="External"/><Relationship Id="rId15" Type="http://schemas.openxmlformats.org/officeDocument/2006/relationships/hyperlink" Target="https://www.wipo.int/edocs/mdocs/tk/ru/wipo_grtkf_ic_29/wipo_grtkf_ic_29_inf_10.pdf" TargetMode="External"/><Relationship Id="rId10" Type="http://schemas.openxmlformats.org/officeDocument/2006/relationships/hyperlink" Target="https://www.cbd.int/doc/guidelines/cbd-RutzolijirisaxikGuidelines-en.pdf" TargetMode="External"/><Relationship Id="rId4" Type="http://schemas.openxmlformats.org/officeDocument/2006/relationships/hyperlink" Target="https://www.wipo.int/meetings/ru/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tk/ru/wipo_grtkf_ic_29/wipo_grtkf_ic_29_inf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6AAA4-B979-4A75-B48A-916AD02F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3</TotalTime>
  <Pages>14</Pages>
  <Words>4134</Words>
  <Characters>28534</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KOMSHILOVA Svetlana</cp:lastModifiedBy>
  <cp:revision>5</cp:revision>
  <cp:lastPrinted>2011-02-15T11:56:00Z</cp:lastPrinted>
  <dcterms:created xsi:type="dcterms:W3CDTF">2025-02-05T16:40:00Z</dcterms:created>
  <dcterms:modified xsi:type="dcterms:W3CDTF">2025-02-05T16:44:00Z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092af52c-e013-4508-a91d-f63df381c38b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2024-10-22T12:21:46Z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dab79bc4-afdb-495d-8e83-72791d356001</vt:lpwstr>
  </property>
  <property fmtid="{D5CDD505-2E9C-101B-9397-08002B2CF9AE}" pid="14" name="MSIP_Label_bfc084f7-b690-4c43-8ee6-d475b6d3461d_ContentBits">
    <vt:lpwstr>2</vt:lpwstr>
  </property>
</Properties>
</file>