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B226" w14:textId="77777777" w:rsidR="000E3139" w:rsidRPr="00F32E76" w:rsidRDefault="000E3139" w:rsidP="000E3139">
      <w:pPr>
        <w:jc w:val="right"/>
        <w:rPr>
          <w:rFonts w:ascii="Arial Black" w:hAnsi="Arial Black" w:cs="Times New Roman"/>
          <w:caps/>
          <w:sz w:val="15"/>
          <w:szCs w:val="21"/>
          <w:lang w:val="fr-CH"/>
        </w:rPr>
      </w:pPr>
      <w:r w:rsidRPr="00AA3D43">
        <w:rPr>
          <w:rFonts w:ascii="Calibri" w:hAnsi="Calibri" w:cs="Times New Roman" w:hint="eastAsia"/>
          <w:noProof/>
          <w:szCs w:val="21"/>
        </w:rPr>
        <w:drawing>
          <wp:inline distT="0" distB="0" distL="0" distR="0" wp14:anchorId="3B4C00CB" wp14:editId="6DC738B2">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2CD4275" w14:textId="50A66271" w:rsidR="000E3139" w:rsidRPr="00204523" w:rsidRDefault="000E3139" w:rsidP="000E3139">
      <w:pPr>
        <w:pBdr>
          <w:top w:val="single" w:sz="4" w:space="10" w:color="auto"/>
        </w:pBdr>
        <w:wordWrap w:val="0"/>
        <w:spacing w:before="120"/>
        <w:jc w:val="right"/>
        <w:rPr>
          <w:rFonts w:ascii="Arial Black" w:hAnsi="Arial Black" w:cs="Times New Roman"/>
          <w:b/>
          <w:caps/>
          <w:sz w:val="15"/>
          <w:szCs w:val="21"/>
        </w:rPr>
      </w:pPr>
    </w:p>
    <w:p w14:paraId="077B5681" w14:textId="77777777" w:rsidR="000E3139" w:rsidRPr="00204523" w:rsidRDefault="000E3139" w:rsidP="000E3139">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0"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0"/>
    </w:p>
    <w:p w14:paraId="21B237BB" w14:textId="61413893" w:rsidR="000E3139" w:rsidRPr="00D9023D" w:rsidRDefault="000E3139" w:rsidP="000E3139">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1"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5</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3</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7</w:t>
      </w:r>
      <w:r w:rsidRPr="00F32E76">
        <w:rPr>
          <w:rFonts w:ascii="STXihei" w:eastAsia="SimHei" w:hAnsi="Times New Roman" w:cs="Times New Roman" w:hint="eastAsia"/>
          <w:b/>
          <w:sz w:val="15"/>
          <w:szCs w:val="15"/>
          <w:lang w:val="fr-CH"/>
        </w:rPr>
        <w:t>日</w:t>
      </w:r>
    </w:p>
    <w:bookmarkEnd w:id="1"/>
    <w:p w14:paraId="4D10C27F" w14:textId="77777777" w:rsidR="000E3139" w:rsidRPr="00F32E76" w:rsidRDefault="000E3139" w:rsidP="000E3139">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17025982" w14:textId="77777777" w:rsidR="000E3139" w:rsidRPr="00F32E76" w:rsidRDefault="000E3139" w:rsidP="000E3139">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w:t>
      </w:r>
      <w:r>
        <w:rPr>
          <w:rFonts w:ascii="KaiTi" w:eastAsia="KaiTi" w:hAnsi="KaiTi" w:cs="Times New Roman" w:hint="eastAsia"/>
          <w:b/>
          <w:sz w:val="24"/>
          <w:szCs w:val="24"/>
          <w:lang w:val="fr-CH"/>
        </w:rPr>
        <w:t>五十</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5</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日</w:t>
      </w:r>
      <w:r>
        <w:rPr>
          <w:rFonts w:ascii="KaiTi" w:eastAsia="KaiTi" w:hAnsi="KaiTi" w:cs="Times New Roman" w:hint="eastAsia"/>
          <w:b/>
          <w:sz w:val="24"/>
          <w:szCs w:val="24"/>
          <w:lang w:val="fr-CH"/>
        </w:rPr>
        <w:t>至</w:t>
      </w:r>
      <w:r>
        <w:rPr>
          <w:rFonts w:ascii="KaiTi" w:eastAsia="KaiTi" w:hAnsi="KaiTi" w:cs="Times New Roman" w:hint="eastAsia"/>
          <w:bCs/>
          <w:sz w:val="24"/>
          <w:szCs w:val="24"/>
          <w:lang w:val="fr-CH"/>
        </w:rPr>
        <w:t>7</w:t>
      </w:r>
      <w:r>
        <w:rPr>
          <w:rFonts w:ascii="KaiTi" w:eastAsia="KaiTi" w:hAnsi="KaiTi" w:cs="Times New Roman" w:hint="eastAsia"/>
          <w:b/>
          <w:sz w:val="24"/>
          <w:szCs w:val="24"/>
          <w:lang w:val="fr-CH"/>
        </w:rPr>
        <w:t>日</w:t>
      </w:r>
      <w:r w:rsidRPr="00F32E76">
        <w:rPr>
          <w:rFonts w:ascii="KaiTi" w:eastAsia="KaiTi" w:hAnsi="KaiTi" w:cs="Times New Roman" w:hint="eastAsia"/>
          <w:b/>
          <w:sz w:val="24"/>
          <w:szCs w:val="24"/>
          <w:lang w:val="fr-CH"/>
        </w:rPr>
        <w:t>，日内瓦</w:t>
      </w:r>
    </w:p>
    <w:p w14:paraId="50307BC2" w14:textId="2892AE07" w:rsidR="000E3139" w:rsidRPr="00F32E76" w:rsidRDefault="000E3139" w:rsidP="000E3139">
      <w:pPr>
        <w:spacing w:after="360"/>
        <w:rPr>
          <w:rFonts w:ascii="KaiTi" w:eastAsia="KaiTi" w:hAnsi="KaiTi" w:cs="Times New Roman"/>
          <w:sz w:val="24"/>
          <w:szCs w:val="32"/>
          <w:lang w:val="fr-CH"/>
        </w:rPr>
      </w:pPr>
      <w:bookmarkStart w:id="2" w:name="TitleOfDoc"/>
      <w:r w:rsidRPr="000E3139">
        <w:rPr>
          <w:rFonts w:ascii="KaiTi" w:eastAsia="KaiTi" w:hAnsi="KaiTi" w:cs="Times New Roman" w:hint="eastAsia"/>
          <w:sz w:val="24"/>
          <w:szCs w:val="32"/>
          <w:lang w:val="fr-CH"/>
        </w:rPr>
        <w:t>委员会第</w:t>
      </w:r>
      <w:r>
        <w:rPr>
          <w:rFonts w:ascii="KaiTi" w:eastAsia="KaiTi" w:hAnsi="KaiTi" w:cs="Times New Roman" w:hint="eastAsia"/>
          <w:sz w:val="24"/>
          <w:szCs w:val="32"/>
          <w:lang w:val="fr-CH"/>
        </w:rPr>
        <w:t>五</w:t>
      </w:r>
      <w:r w:rsidRPr="000E3139">
        <w:rPr>
          <w:rFonts w:ascii="KaiTi" w:eastAsia="KaiTi" w:hAnsi="KaiTi" w:cs="Times New Roman" w:hint="eastAsia"/>
          <w:sz w:val="24"/>
          <w:szCs w:val="32"/>
          <w:lang w:val="fr-CH"/>
        </w:rPr>
        <w:t>十届会议的决定</w:t>
      </w:r>
    </w:p>
    <w:p w14:paraId="6F08AFC5" w14:textId="08A00FC4" w:rsidR="000E3139" w:rsidRPr="00142EAB" w:rsidRDefault="00166FC2" w:rsidP="000E3139">
      <w:pPr>
        <w:spacing w:after="960"/>
        <w:rPr>
          <w:rFonts w:ascii="KaiTi" w:eastAsia="KaiTi" w:hAnsi="KaiTi" w:cs="Times New Roman"/>
          <w:szCs w:val="22"/>
          <w:lang w:val="fr-CH"/>
        </w:rPr>
      </w:pPr>
      <w:bookmarkStart w:id="3" w:name="Prepared"/>
      <w:bookmarkEnd w:id="2"/>
      <w:r>
        <w:rPr>
          <w:rFonts w:ascii="KaiTi" w:eastAsia="KaiTi" w:hAnsi="KaiTi" w:cs="Times New Roman" w:hint="eastAsia"/>
          <w:szCs w:val="22"/>
          <w:lang w:val="fr-CH"/>
        </w:rPr>
        <w:t>经委员会通过</w:t>
      </w:r>
    </w:p>
    <w:bookmarkEnd w:id="3"/>
    <w:p w14:paraId="7342106E" w14:textId="77777777" w:rsidR="005F7D4E" w:rsidRPr="00344052" w:rsidRDefault="005F7D4E" w:rsidP="005F7D4E">
      <w:pPr>
        <w:spacing w:after="120" w:line="260" w:lineRule="atLeast"/>
        <w:rPr>
          <w:rFonts w:ascii="SimSun" w:hAnsi="SimSun"/>
        </w:rPr>
      </w:pPr>
      <w:r w:rsidRPr="00344052">
        <w:rPr>
          <w:rFonts w:ascii="SimSun" w:hAnsi="SimSun"/>
        </w:rPr>
        <w:br w:type="page"/>
      </w:r>
    </w:p>
    <w:p w14:paraId="487D432C" w14:textId="59EDACB8" w:rsidR="005F7D4E" w:rsidRPr="00A05010" w:rsidRDefault="000E3139" w:rsidP="00A05010">
      <w:pPr>
        <w:keepNext/>
        <w:spacing w:beforeLines="100" w:before="240" w:line="340" w:lineRule="atLeast"/>
        <w:rPr>
          <w:rFonts w:ascii="SimHei" w:eastAsia="SimHei" w:hAnsi="SimHei"/>
          <w:szCs w:val="22"/>
        </w:rPr>
      </w:pPr>
      <w:r w:rsidRPr="00A05010">
        <w:rPr>
          <w:rFonts w:ascii="SimHei" w:eastAsia="SimHei" w:hAnsi="SimHei"/>
          <w:szCs w:val="22"/>
        </w:rPr>
        <w:lastRenderedPageBreak/>
        <w:t>关于议程第</w:t>
      </w:r>
      <w:r w:rsidR="005F7D4E" w:rsidRPr="00A05010">
        <w:rPr>
          <w:rFonts w:ascii="SimHei" w:eastAsia="SimHei" w:hAnsi="SimHei"/>
          <w:szCs w:val="22"/>
        </w:rPr>
        <w:t>2</w:t>
      </w:r>
      <w:r w:rsidRPr="00A05010">
        <w:rPr>
          <w:rFonts w:ascii="SimHei" w:eastAsia="SimHei" w:hAnsi="SimHei"/>
          <w:szCs w:val="22"/>
        </w:rPr>
        <w:t>项的决定：</w:t>
      </w:r>
    </w:p>
    <w:p w14:paraId="0886C887" w14:textId="6755B1B5" w:rsidR="005F7D4E" w:rsidRPr="00A05010" w:rsidRDefault="000E3139" w:rsidP="00A05010">
      <w:pPr>
        <w:spacing w:afterLines="50" w:after="120" w:line="340" w:lineRule="atLeast"/>
        <w:rPr>
          <w:rFonts w:ascii="SimHei" w:eastAsia="SimHei" w:hAnsi="SimHei"/>
          <w:szCs w:val="22"/>
        </w:rPr>
      </w:pPr>
      <w:r w:rsidRPr="00A05010">
        <w:rPr>
          <w:rFonts w:ascii="SimHei" w:eastAsia="SimHei" w:hAnsi="SimHei" w:hint="eastAsia"/>
          <w:szCs w:val="22"/>
        </w:rPr>
        <w:t>通过议程</w:t>
      </w:r>
    </w:p>
    <w:p w14:paraId="35C798D8" w14:textId="5D8F4FF5"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主席提交作为WIPO/GRTKF/IC/50/1 Prov.分发的议程草案供会议通过，议程草案得到通过。</w:t>
      </w:r>
    </w:p>
    <w:p w14:paraId="2A6BBEE9" w14:textId="46180637" w:rsidR="005F7D4E" w:rsidRPr="00A05010" w:rsidRDefault="000E3139" w:rsidP="00A05010">
      <w:pPr>
        <w:keepNext/>
        <w:spacing w:beforeLines="100" w:before="240" w:line="340" w:lineRule="atLeast"/>
        <w:rPr>
          <w:rFonts w:ascii="SimHei" w:eastAsia="SimHei" w:hAnsi="SimHei"/>
          <w:szCs w:val="22"/>
        </w:rPr>
      </w:pPr>
      <w:r w:rsidRPr="00A05010">
        <w:rPr>
          <w:rFonts w:ascii="SimHei" w:eastAsia="SimHei" w:hAnsi="SimHei"/>
          <w:szCs w:val="22"/>
        </w:rPr>
        <w:t>关于议程第</w:t>
      </w:r>
      <w:r w:rsidR="005F7D4E" w:rsidRPr="00A05010">
        <w:rPr>
          <w:rFonts w:ascii="SimHei" w:eastAsia="SimHei" w:hAnsi="SimHei"/>
          <w:szCs w:val="22"/>
        </w:rPr>
        <w:t>3</w:t>
      </w:r>
      <w:r w:rsidRPr="00A05010">
        <w:rPr>
          <w:rFonts w:ascii="SimHei" w:eastAsia="SimHei" w:hAnsi="SimHei"/>
          <w:szCs w:val="22"/>
        </w:rPr>
        <w:t>项的决定：</w:t>
      </w:r>
    </w:p>
    <w:p w14:paraId="0287CA7D" w14:textId="5DFB56B9" w:rsidR="005F7D4E" w:rsidRPr="00A05010" w:rsidRDefault="000E3139" w:rsidP="00A05010">
      <w:pPr>
        <w:spacing w:afterLines="50" w:after="120" w:line="340" w:lineRule="atLeast"/>
        <w:rPr>
          <w:rFonts w:ascii="SimHei" w:eastAsia="SimHei" w:hAnsi="SimHei"/>
          <w:szCs w:val="22"/>
        </w:rPr>
      </w:pPr>
      <w:r w:rsidRPr="00A05010">
        <w:rPr>
          <w:rFonts w:ascii="SimHei" w:eastAsia="SimHei" w:hAnsi="SimHei" w:hint="eastAsia"/>
          <w:szCs w:val="22"/>
        </w:rPr>
        <w:t>认可若干组织与会</w:t>
      </w:r>
    </w:p>
    <w:p w14:paraId="2E6FC8B8" w14:textId="04AB85EB"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委员会一致批准认可下列组织以临时观察员的身份与会：</w:t>
      </w:r>
      <w:r w:rsidR="00FC5C78" w:rsidRPr="00344052">
        <w:rPr>
          <w:rFonts w:ascii="SimSun" w:hAnsi="SimSun" w:hint="eastAsia"/>
          <w:szCs w:val="22"/>
        </w:rPr>
        <w:t>聚焦权利和获取、倾听他们的声音倡议（HTVI）、促进巴特瓦教育实现可持续发展倡议（IPREBAD）、尼泊尔土著民族保护协会（NINPA）和社区发展志愿者联盟。委员会未批准认可“促进北方人民可持续发展”文化遗产研究中心。</w:t>
      </w:r>
    </w:p>
    <w:p w14:paraId="1174143D" w14:textId="433D41EB"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委员会将关于文件WIPO/GRTKF/IC/49/8（关于更新被接纳为IGC临时观察员的非政府组织名单的提案）的讨论推迟至</w:t>
      </w:r>
      <w:r w:rsidR="00FC5C78" w:rsidRPr="00344052">
        <w:rPr>
          <w:rFonts w:ascii="SimSun" w:hAnsi="SimSun" w:hint="eastAsia"/>
          <w:szCs w:val="22"/>
        </w:rPr>
        <w:t>今后某届</w:t>
      </w:r>
      <w:r w:rsidRPr="00344052">
        <w:rPr>
          <w:rFonts w:ascii="SimSun" w:hAnsi="SimSun" w:hint="eastAsia"/>
          <w:szCs w:val="22"/>
        </w:rPr>
        <w:t>会议。</w:t>
      </w:r>
    </w:p>
    <w:p w14:paraId="049AFA3C" w14:textId="22B344B3" w:rsidR="005F7D4E" w:rsidRPr="00A05010" w:rsidRDefault="000E3139" w:rsidP="00A05010">
      <w:pPr>
        <w:keepNext/>
        <w:spacing w:beforeLines="100" w:before="240" w:line="340" w:lineRule="atLeast"/>
        <w:rPr>
          <w:rFonts w:ascii="SimHei" w:eastAsia="SimHei" w:hAnsi="SimHei"/>
          <w:szCs w:val="22"/>
        </w:rPr>
      </w:pPr>
      <w:r w:rsidRPr="00A05010">
        <w:rPr>
          <w:rFonts w:ascii="SimHei" w:eastAsia="SimHei" w:hAnsi="SimHei"/>
          <w:szCs w:val="22"/>
        </w:rPr>
        <w:t>关于议程第</w:t>
      </w:r>
      <w:r w:rsidR="005F7D4E" w:rsidRPr="00A05010">
        <w:rPr>
          <w:rFonts w:ascii="SimHei" w:eastAsia="SimHei" w:hAnsi="SimHei"/>
          <w:szCs w:val="22"/>
        </w:rPr>
        <w:t>4</w:t>
      </w:r>
      <w:r w:rsidRPr="00A05010">
        <w:rPr>
          <w:rFonts w:ascii="SimHei" w:eastAsia="SimHei" w:hAnsi="SimHei"/>
          <w:szCs w:val="22"/>
        </w:rPr>
        <w:t>项的决定：</w:t>
      </w:r>
    </w:p>
    <w:p w14:paraId="487E763C" w14:textId="1E464066" w:rsidR="005F7D4E" w:rsidRPr="00A05010" w:rsidRDefault="000E3139" w:rsidP="00A05010">
      <w:pPr>
        <w:spacing w:afterLines="50" w:after="120" w:line="340" w:lineRule="atLeast"/>
        <w:rPr>
          <w:rFonts w:ascii="SimHei" w:eastAsia="SimHei" w:hAnsi="SimHei"/>
          <w:szCs w:val="22"/>
        </w:rPr>
      </w:pPr>
      <w:r w:rsidRPr="00A05010">
        <w:rPr>
          <w:rFonts w:ascii="SimHei" w:eastAsia="SimHei" w:hAnsi="SimHei" w:hint="eastAsia"/>
          <w:szCs w:val="22"/>
        </w:rPr>
        <w:t>土著人民和当地社区的参与</w:t>
      </w:r>
    </w:p>
    <w:p w14:paraId="368ABC9B" w14:textId="08214F44"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委员会注意到文件WIPO/GRTKF/IC/</w:t>
      </w:r>
      <w:r w:rsidR="00FC5C78" w:rsidRPr="00344052">
        <w:rPr>
          <w:rFonts w:ascii="SimSun" w:hAnsi="SimSun" w:hint="eastAsia"/>
          <w:szCs w:val="22"/>
        </w:rPr>
        <w:t>50</w:t>
      </w:r>
      <w:r w:rsidRPr="00344052">
        <w:rPr>
          <w:rFonts w:ascii="SimSun" w:hAnsi="SimSun" w:hint="eastAsia"/>
          <w:szCs w:val="22"/>
        </w:rPr>
        <w:t>/3和WIPO/GRTKF/IC/</w:t>
      </w:r>
      <w:r w:rsidR="00FC5C78" w:rsidRPr="00344052">
        <w:rPr>
          <w:rFonts w:ascii="SimSun" w:hAnsi="SimSun" w:hint="eastAsia"/>
          <w:szCs w:val="22"/>
        </w:rPr>
        <w:t>50</w:t>
      </w:r>
      <w:r w:rsidRPr="00344052">
        <w:rPr>
          <w:rFonts w:ascii="SimSun" w:hAnsi="SimSun" w:hint="eastAsia"/>
          <w:szCs w:val="22"/>
        </w:rPr>
        <w:t>/INF/4。</w:t>
      </w:r>
    </w:p>
    <w:p w14:paraId="037253DD" w14:textId="00EA9EC0"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委员会强烈鼓励并呼吁委员会成员及所有相关的公共和私营实体为产权组织经认可的土著和当地社区自愿基金捐款。</w:t>
      </w:r>
    </w:p>
    <w:p w14:paraId="5407F8AF" w14:textId="332E31C7"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经主席提议，委员会选出了以下八名成员以个人身份参加咨询委员会：</w:t>
      </w:r>
      <w:r w:rsidR="00FC5C78" w:rsidRPr="00344052">
        <w:rPr>
          <w:rFonts w:ascii="SimSun" w:hAnsi="SimSun" w:hint="eastAsia"/>
          <w:szCs w:val="22"/>
        </w:rPr>
        <w:t>苏珊·安东尼女士（美利坚合众国）；</w:t>
      </w:r>
      <w:r w:rsidR="006E5890" w:rsidRPr="00344052">
        <w:rPr>
          <w:rFonts w:ascii="SimSun" w:hAnsi="SimSun" w:hint="eastAsia"/>
          <w:szCs w:val="22"/>
        </w:rPr>
        <w:t>弗洛尔·德玛丽亚·加西亚女士</w:t>
      </w:r>
      <w:r w:rsidR="00D35182" w:rsidRPr="00344052">
        <w:rPr>
          <w:rFonts w:ascii="SimSun" w:hAnsi="SimSun"/>
          <w:szCs w:val="22"/>
        </w:rPr>
        <w:t>（</w:t>
      </w:r>
      <w:r w:rsidR="00FC5C78" w:rsidRPr="00344052">
        <w:rPr>
          <w:rFonts w:ascii="SimSun" w:hAnsi="SimSun" w:hint="eastAsia"/>
          <w:szCs w:val="22"/>
        </w:rPr>
        <w:t>危地马拉</w:t>
      </w:r>
      <w:r w:rsidR="00D35182" w:rsidRPr="00344052">
        <w:rPr>
          <w:rFonts w:ascii="SimSun" w:hAnsi="SimSun"/>
          <w:szCs w:val="22"/>
        </w:rPr>
        <w:t>）</w:t>
      </w:r>
      <w:r w:rsidR="00D35182" w:rsidRPr="00344052">
        <w:rPr>
          <w:rFonts w:ascii="SimSun" w:hAnsi="SimSun" w:hint="eastAsia"/>
          <w:szCs w:val="22"/>
        </w:rPr>
        <w:t>；</w:t>
      </w:r>
      <w:r w:rsidR="004C3C19" w:rsidRPr="00344052">
        <w:rPr>
          <w:rFonts w:ascii="SimSun" w:hAnsi="SimSun" w:hint="eastAsia"/>
          <w:szCs w:val="22"/>
        </w:rPr>
        <w:t>霍尔顿·法索先生</w:t>
      </w:r>
      <w:r w:rsidR="00D35182" w:rsidRPr="00344052">
        <w:rPr>
          <w:rFonts w:ascii="SimSun" w:hAnsi="SimSun"/>
          <w:szCs w:val="22"/>
        </w:rPr>
        <w:t>（</w:t>
      </w:r>
      <w:r w:rsidR="00FC5C78" w:rsidRPr="00344052">
        <w:rPr>
          <w:rFonts w:ascii="SimSun" w:hAnsi="SimSun" w:hint="eastAsia"/>
          <w:szCs w:val="22"/>
        </w:rPr>
        <w:t>萨摩亚</w:t>
      </w:r>
      <w:r w:rsidR="00D35182" w:rsidRPr="00344052">
        <w:rPr>
          <w:rFonts w:ascii="SimSun" w:hAnsi="SimSun"/>
          <w:szCs w:val="22"/>
        </w:rPr>
        <w:t>）；</w:t>
      </w:r>
      <w:r w:rsidR="004C3C19" w:rsidRPr="00344052">
        <w:rPr>
          <w:rFonts w:ascii="SimSun" w:hAnsi="SimSun" w:hint="eastAsia"/>
          <w:szCs w:val="22"/>
        </w:rPr>
        <w:t>琼·洛伦索女士</w:t>
      </w:r>
      <w:r w:rsidR="00D35182" w:rsidRPr="00344052">
        <w:rPr>
          <w:rFonts w:ascii="SimSun" w:hAnsi="SimSun"/>
          <w:szCs w:val="22"/>
        </w:rPr>
        <w:t>（</w:t>
      </w:r>
      <w:r w:rsidR="00FC5C78" w:rsidRPr="00344052">
        <w:rPr>
          <w:rFonts w:ascii="SimSun" w:hAnsi="SimSun" w:hint="eastAsia"/>
          <w:szCs w:val="22"/>
        </w:rPr>
        <w:t>国际印第安人条约理事会</w:t>
      </w:r>
      <w:r w:rsidR="00D35182" w:rsidRPr="00344052">
        <w:rPr>
          <w:rFonts w:ascii="SimSun" w:hAnsi="SimSun"/>
          <w:szCs w:val="22"/>
        </w:rPr>
        <w:t>）；</w:t>
      </w:r>
      <w:r w:rsidR="004C3C19" w:rsidRPr="00344052">
        <w:rPr>
          <w:rFonts w:ascii="SimSun" w:hAnsi="SimSun" w:hint="eastAsia"/>
          <w:szCs w:val="22"/>
        </w:rPr>
        <w:t>索尼娅·帕特里夏·穆尔西亚·罗亚女士</w:t>
      </w:r>
      <w:r w:rsidR="00D35182" w:rsidRPr="00344052">
        <w:rPr>
          <w:rFonts w:ascii="SimSun" w:hAnsi="SimSun"/>
          <w:szCs w:val="22"/>
        </w:rPr>
        <w:t>（</w:t>
      </w:r>
      <w:r w:rsidR="00FC5C78" w:rsidRPr="00344052">
        <w:rPr>
          <w:rFonts w:ascii="SimSun" w:hAnsi="SimSun" w:hint="eastAsia"/>
          <w:szCs w:val="22"/>
        </w:rPr>
        <w:t>马洛卡国际</w:t>
      </w:r>
      <w:r w:rsidR="00D35182" w:rsidRPr="00344052">
        <w:rPr>
          <w:rFonts w:ascii="SimSun" w:hAnsi="SimSun"/>
          <w:szCs w:val="22"/>
        </w:rPr>
        <w:t>）；</w:t>
      </w:r>
      <w:r w:rsidR="006E5890" w:rsidRPr="00344052">
        <w:rPr>
          <w:rFonts w:ascii="SimSun" w:hAnsi="SimSun" w:hint="eastAsia"/>
          <w:szCs w:val="22"/>
        </w:rPr>
        <w:t>盖泽·佩勒莱女士</w:t>
      </w:r>
      <w:r w:rsidR="00D35182" w:rsidRPr="00344052">
        <w:rPr>
          <w:rFonts w:ascii="SimSun" w:hAnsi="SimSun"/>
          <w:szCs w:val="22"/>
        </w:rPr>
        <w:t>（</w:t>
      </w:r>
      <w:r w:rsidR="00FC5C78" w:rsidRPr="00344052">
        <w:rPr>
          <w:rFonts w:ascii="SimSun" w:hAnsi="SimSun" w:hint="eastAsia"/>
          <w:szCs w:val="22"/>
        </w:rPr>
        <w:t>巴西土著知识产权协会（</w:t>
      </w:r>
      <w:proofErr w:type="spellStart"/>
      <w:r w:rsidR="00FC5C78" w:rsidRPr="00344052">
        <w:rPr>
          <w:rFonts w:ascii="SimSun" w:hAnsi="SimSun" w:hint="eastAsia"/>
          <w:szCs w:val="22"/>
        </w:rPr>
        <w:t>InBraPi</w:t>
      </w:r>
      <w:proofErr w:type="spellEnd"/>
      <w:r w:rsidR="00FC5C78" w:rsidRPr="00344052">
        <w:rPr>
          <w:rFonts w:ascii="SimSun" w:hAnsi="SimSun" w:hint="eastAsia"/>
          <w:szCs w:val="22"/>
        </w:rPr>
        <w:t>）</w:t>
      </w:r>
      <w:r w:rsidR="00D35182" w:rsidRPr="00344052">
        <w:rPr>
          <w:rFonts w:ascii="SimSun" w:hAnsi="SimSun"/>
          <w:szCs w:val="22"/>
        </w:rPr>
        <w:t>）；</w:t>
      </w:r>
      <w:r w:rsidR="00E437B8" w:rsidRPr="00E437B8">
        <w:rPr>
          <w:rFonts w:ascii="Cambria" w:hAnsi="Cambria" w:cs="Cambria" w:hint="eastAsia"/>
          <w:szCs w:val="22"/>
        </w:rPr>
        <w:t>日维莱·</w:t>
      </w:r>
      <w:r w:rsidR="009A3A08" w:rsidRPr="00E437B8">
        <w:rPr>
          <w:rFonts w:ascii="Cambria" w:hAnsi="Cambria" w:cs="Cambria" w:hint="eastAsia"/>
          <w:szCs w:val="22"/>
        </w:rPr>
        <w:t>普利丘</w:t>
      </w:r>
      <w:r w:rsidR="00E437B8" w:rsidRPr="00E437B8">
        <w:rPr>
          <w:rFonts w:ascii="Cambria" w:hAnsi="Cambria" w:cs="Cambria" w:hint="eastAsia"/>
          <w:szCs w:val="22"/>
        </w:rPr>
        <w:t>赖季捷</w:t>
      </w:r>
      <w:r w:rsidR="009A3A08" w:rsidRPr="00E437B8">
        <w:rPr>
          <w:rFonts w:ascii="Cambria" w:hAnsi="Cambria" w:cs="Cambria" w:hint="eastAsia"/>
          <w:szCs w:val="22"/>
        </w:rPr>
        <w:t>-</w:t>
      </w:r>
      <w:r w:rsidR="00E437B8" w:rsidRPr="00E437B8">
        <w:rPr>
          <w:rFonts w:ascii="Cambria" w:hAnsi="Cambria" w:cs="Cambria" w:hint="eastAsia"/>
          <w:szCs w:val="22"/>
        </w:rPr>
        <w:t>普利</w:t>
      </w:r>
      <w:r w:rsidR="009A3A08" w:rsidRPr="009A3A08">
        <w:rPr>
          <w:rFonts w:ascii="Cambria" w:hAnsi="Cambria" w:cs="Cambria" w:hint="eastAsia"/>
          <w:szCs w:val="22"/>
        </w:rPr>
        <w:t>丘</w:t>
      </w:r>
      <w:r w:rsidR="00E437B8" w:rsidRPr="00E437B8">
        <w:rPr>
          <w:rFonts w:ascii="Cambria" w:hAnsi="Cambria" w:cs="Cambria" w:hint="eastAsia"/>
          <w:szCs w:val="22"/>
        </w:rPr>
        <w:t>捷</w:t>
      </w:r>
      <w:r w:rsidR="008A2507" w:rsidRPr="00344052">
        <w:rPr>
          <w:rFonts w:ascii="SimSun" w:hAnsi="SimSun" w:hint="eastAsia"/>
          <w:szCs w:val="22"/>
        </w:rPr>
        <w:t>女士</w:t>
      </w:r>
      <w:r w:rsidR="00D35182" w:rsidRPr="00344052">
        <w:rPr>
          <w:rFonts w:ascii="SimSun" w:hAnsi="SimSun"/>
          <w:szCs w:val="22"/>
        </w:rPr>
        <w:t>（</w:t>
      </w:r>
      <w:r w:rsidR="00FC5C78" w:rsidRPr="00344052">
        <w:rPr>
          <w:rFonts w:ascii="SimSun" w:hAnsi="SimSun" w:hint="eastAsia"/>
          <w:szCs w:val="22"/>
        </w:rPr>
        <w:t>立陶宛</w:t>
      </w:r>
      <w:r w:rsidR="00D35182" w:rsidRPr="00344052">
        <w:rPr>
          <w:rFonts w:ascii="SimSun" w:hAnsi="SimSun"/>
          <w:szCs w:val="22"/>
        </w:rPr>
        <w:t>）；</w:t>
      </w:r>
      <w:r w:rsidR="00D35182" w:rsidRPr="00344052">
        <w:rPr>
          <w:rFonts w:ascii="SimSun" w:hAnsi="SimSun" w:hint="eastAsia"/>
          <w:szCs w:val="22"/>
        </w:rPr>
        <w:t>和</w:t>
      </w:r>
      <w:r w:rsidR="008A2507" w:rsidRPr="00344052">
        <w:rPr>
          <w:rFonts w:ascii="SimSun" w:hAnsi="SimSun" w:hint="eastAsia"/>
          <w:szCs w:val="22"/>
        </w:rPr>
        <w:t>特拉拉尼·</w:t>
      </w:r>
      <w:r w:rsidR="008A2507" w:rsidRPr="00344052">
        <w:rPr>
          <w:rFonts w:ascii="SimSun" w:hAnsi="SimSun"/>
          <w:szCs w:val="22"/>
        </w:rPr>
        <w:t>塞贝科</w:t>
      </w:r>
      <w:r w:rsidR="008A2507" w:rsidRPr="00344052">
        <w:rPr>
          <w:rFonts w:ascii="SimSun" w:hAnsi="SimSun" w:hint="eastAsia"/>
          <w:szCs w:val="22"/>
        </w:rPr>
        <w:t>女士</w:t>
      </w:r>
      <w:r w:rsidR="00D35182" w:rsidRPr="00344052">
        <w:rPr>
          <w:rFonts w:ascii="SimSun" w:hAnsi="SimSun"/>
          <w:szCs w:val="22"/>
        </w:rPr>
        <w:t>（</w:t>
      </w:r>
      <w:r w:rsidR="00FC5C78" w:rsidRPr="00344052">
        <w:rPr>
          <w:rFonts w:ascii="SimSun" w:hAnsi="SimSun" w:hint="eastAsia"/>
          <w:szCs w:val="22"/>
        </w:rPr>
        <w:t>莱索托</w:t>
      </w:r>
      <w:r w:rsidR="00D35182" w:rsidRPr="00344052">
        <w:rPr>
          <w:rFonts w:ascii="SimSun" w:hAnsi="SimSun"/>
          <w:szCs w:val="22"/>
        </w:rPr>
        <w:t>）</w:t>
      </w:r>
      <w:r w:rsidR="008A2507" w:rsidRPr="00344052">
        <w:rPr>
          <w:rFonts w:ascii="SimSun" w:hAnsi="SimSun" w:hint="eastAsia"/>
          <w:szCs w:val="22"/>
        </w:rPr>
        <w:t>。</w:t>
      </w:r>
    </w:p>
    <w:p w14:paraId="50DC42A4" w14:textId="2EB41465" w:rsidR="005F7D4E" w:rsidRPr="00344052" w:rsidRDefault="001447AF" w:rsidP="00A05010">
      <w:pPr>
        <w:overflowPunct w:val="0"/>
        <w:spacing w:afterLines="50" w:after="120" w:line="340" w:lineRule="atLeast"/>
        <w:ind w:firstLineChars="200" w:firstLine="440"/>
        <w:jc w:val="both"/>
        <w:rPr>
          <w:rFonts w:ascii="SimSun" w:hAnsi="SimSun"/>
          <w:szCs w:val="22"/>
        </w:rPr>
      </w:pPr>
      <w:r w:rsidRPr="00344052">
        <w:rPr>
          <w:rFonts w:ascii="SimSun" w:hAnsi="SimSun" w:hint="eastAsia"/>
          <w:szCs w:val="22"/>
        </w:rPr>
        <w:t>委员会主席提名委员会副主席奥德丽·埃克利·耶波阿乌阿·尼夸耶女士担任咨询委员会主席。</w:t>
      </w:r>
    </w:p>
    <w:p w14:paraId="5E1A1F34" w14:textId="4736865A" w:rsidR="005F7D4E" w:rsidRPr="00A05010" w:rsidRDefault="000E3139" w:rsidP="00A05010">
      <w:pPr>
        <w:keepNext/>
        <w:spacing w:beforeLines="100" w:before="240" w:line="340" w:lineRule="atLeast"/>
        <w:rPr>
          <w:rFonts w:ascii="SimHei" w:eastAsia="SimHei" w:hAnsi="SimHei"/>
          <w:szCs w:val="22"/>
        </w:rPr>
      </w:pPr>
      <w:r w:rsidRPr="00A05010">
        <w:rPr>
          <w:rFonts w:ascii="SimHei" w:eastAsia="SimHei" w:hAnsi="SimHei"/>
          <w:szCs w:val="22"/>
        </w:rPr>
        <w:t>关于议程第</w:t>
      </w:r>
      <w:r w:rsidR="005F7D4E" w:rsidRPr="00A05010">
        <w:rPr>
          <w:rFonts w:ascii="SimHei" w:eastAsia="SimHei" w:hAnsi="SimHei"/>
          <w:szCs w:val="22"/>
        </w:rPr>
        <w:t>5</w:t>
      </w:r>
      <w:r w:rsidRPr="00A05010">
        <w:rPr>
          <w:rFonts w:ascii="SimHei" w:eastAsia="SimHei" w:hAnsi="SimHei"/>
          <w:szCs w:val="22"/>
        </w:rPr>
        <w:t>项的决定：</w:t>
      </w:r>
    </w:p>
    <w:p w14:paraId="2B2C0388" w14:textId="4D7F343E" w:rsidR="005F7D4E" w:rsidRPr="00A05010" w:rsidRDefault="000E3139" w:rsidP="00A05010">
      <w:pPr>
        <w:spacing w:afterLines="50" w:after="120" w:line="340" w:lineRule="atLeast"/>
        <w:rPr>
          <w:rFonts w:ascii="SimHei" w:eastAsia="SimHei" w:hAnsi="SimHei"/>
          <w:szCs w:val="22"/>
        </w:rPr>
      </w:pPr>
      <w:r w:rsidRPr="00A05010">
        <w:rPr>
          <w:rFonts w:ascii="SimHei" w:eastAsia="SimHei" w:hAnsi="SimHei" w:hint="eastAsia"/>
          <w:szCs w:val="22"/>
        </w:rPr>
        <w:t>传统知识/传统文化表现形式</w:t>
      </w:r>
    </w:p>
    <w:p w14:paraId="65A4A82F" w14:textId="6BD6A6FA" w:rsidR="00E16F5D" w:rsidRPr="00344052" w:rsidRDefault="0021000E" w:rsidP="00E4123D">
      <w:pPr>
        <w:overflowPunct w:val="0"/>
        <w:spacing w:afterLines="50" w:after="120" w:line="340" w:lineRule="atLeast"/>
        <w:ind w:firstLineChars="200" w:firstLine="440"/>
        <w:jc w:val="both"/>
        <w:rPr>
          <w:rFonts w:ascii="SimSun" w:hAnsi="SimSun"/>
          <w:szCs w:val="22"/>
        </w:rPr>
      </w:pPr>
      <w:r w:rsidRPr="00344052">
        <w:rPr>
          <w:rFonts w:ascii="SimSun" w:hAnsi="SimSun" w:hint="eastAsia"/>
        </w:rPr>
        <w:t>委员会在文件WIPO/GRTKF/IC/49/4和WIPO/GRTKF/IC/49/5的基础上，拟定了一份合并案文“保护传统知识和传统文化表现形式：条款草案”。</w:t>
      </w:r>
      <w:r w:rsidR="00E4123D" w:rsidRPr="00E4123D">
        <w:rPr>
          <w:rFonts w:ascii="SimSun" w:hAnsi="SimSun" w:hint="eastAsia"/>
        </w:rPr>
        <w:t>但是，成员国无法就</w:t>
      </w:r>
      <w:r w:rsidR="00E4123D" w:rsidRPr="00344052">
        <w:rPr>
          <w:rFonts w:ascii="SimSun" w:hAnsi="SimSun" w:hint="eastAsia"/>
        </w:rPr>
        <w:t>合</w:t>
      </w:r>
      <w:proofErr w:type="gramStart"/>
      <w:r w:rsidR="00E4123D" w:rsidRPr="00344052">
        <w:rPr>
          <w:rFonts w:ascii="SimSun" w:hAnsi="SimSun" w:hint="eastAsia"/>
        </w:rPr>
        <w:t>并案文</w:t>
      </w:r>
      <w:r w:rsidR="00E4123D" w:rsidRPr="00E4123D">
        <w:rPr>
          <w:rFonts w:ascii="SimSun" w:hAnsi="SimSun" w:hint="eastAsia"/>
        </w:rPr>
        <w:t>达成</w:t>
      </w:r>
      <w:proofErr w:type="gramEnd"/>
      <w:r w:rsidR="00E4123D" w:rsidRPr="00E4123D">
        <w:rPr>
          <w:rFonts w:ascii="SimSun" w:hAnsi="SimSun" w:hint="eastAsia"/>
        </w:rPr>
        <w:t>共识</w:t>
      </w:r>
      <w:r w:rsidR="00E4123D">
        <w:rPr>
          <w:rFonts w:ascii="SimSun" w:hAnsi="SimSun" w:hint="eastAsia"/>
        </w:rPr>
        <w:t>，</w:t>
      </w:r>
      <w:r w:rsidR="00E4123D" w:rsidRPr="00E4123D">
        <w:rPr>
          <w:rFonts w:ascii="SimSun" w:hAnsi="SimSun" w:hint="eastAsia"/>
        </w:rPr>
        <w:t>决定不向IGC第五十</w:t>
      </w:r>
      <w:r w:rsidR="00E4123D">
        <w:rPr>
          <w:rFonts w:ascii="SimSun" w:hAnsi="SimSun" w:hint="eastAsia"/>
        </w:rPr>
        <w:t>一</w:t>
      </w:r>
      <w:r w:rsidR="00E4123D" w:rsidRPr="00E4123D">
        <w:rPr>
          <w:rFonts w:ascii="SimSun" w:hAnsi="SimSun" w:hint="eastAsia"/>
        </w:rPr>
        <w:t>届会议</w:t>
      </w:r>
      <w:r w:rsidR="00E4123D">
        <w:rPr>
          <w:rFonts w:ascii="SimSun" w:hAnsi="SimSun" w:hint="eastAsia"/>
        </w:rPr>
        <w:t>转送该</w:t>
      </w:r>
      <w:r w:rsidR="00E4123D" w:rsidRPr="00E4123D">
        <w:rPr>
          <w:rFonts w:ascii="SimSun" w:hAnsi="SimSun" w:hint="eastAsia"/>
        </w:rPr>
        <w:t>案文</w:t>
      </w:r>
      <w:r w:rsidR="00E4123D">
        <w:rPr>
          <w:rFonts w:ascii="SimSun" w:hAnsi="SimSun" w:hint="eastAsia"/>
        </w:rPr>
        <w:t>。相反，</w:t>
      </w:r>
      <w:r w:rsidR="00E4123D" w:rsidRPr="00344052">
        <w:rPr>
          <w:rFonts w:ascii="SimSun" w:hAnsi="SimSun" w:hint="eastAsia"/>
        </w:rPr>
        <w:t>委员会决定</w:t>
      </w:r>
      <w:r w:rsidR="00E4123D" w:rsidRPr="00E4123D">
        <w:rPr>
          <w:rFonts w:ascii="SimSun" w:hAnsi="SimSun" w:hint="eastAsia"/>
        </w:rPr>
        <w:t>继续在文件WIPO/GRTKF/IC/49/4和WIPO/GRTKF/IC/49/5的基础上开展工作。</w:t>
      </w:r>
    </w:p>
    <w:p w14:paraId="0160D945" w14:textId="6B1391CA" w:rsidR="005F7D4E" w:rsidRPr="00A05010" w:rsidRDefault="000E3139" w:rsidP="00A05010">
      <w:pPr>
        <w:keepNext/>
        <w:spacing w:beforeLines="100" w:before="240" w:line="340" w:lineRule="atLeast"/>
        <w:rPr>
          <w:rFonts w:ascii="SimHei" w:eastAsia="SimHei" w:hAnsi="SimHei"/>
          <w:szCs w:val="22"/>
        </w:rPr>
      </w:pPr>
      <w:r w:rsidRPr="00A05010">
        <w:rPr>
          <w:rFonts w:ascii="SimHei" w:eastAsia="SimHei" w:hAnsi="SimHei" w:hint="eastAsia"/>
          <w:szCs w:val="22"/>
        </w:rPr>
        <w:t>关于议程第</w:t>
      </w:r>
      <w:r w:rsidR="005F7D4E" w:rsidRPr="00A05010">
        <w:rPr>
          <w:rFonts w:ascii="SimHei" w:eastAsia="SimHei" w:hAnsi="SimHei"/>
          <w:szCs w:val="22"/>
        </w:rPr>
        <w:t>6</w:t>
      </w:r>
      <w:r w:rsidRPr="00A05010">
        <w:rPr>
          <w:rFonts w:ascii="SimHei" w:eastAsia="SimHei" w:hAnsi="SimHei" w:hint="eastAsia"/>
          <w:szCs w:val="22"/>
        </w:rPr>
        <w:t>项的决定：</w:t>
      </w:r>
    </w:p>
    <w:p w14:paraId="7B7BD2E9" w14:textId="49BEC996" w:rsidR="005F7D4E" w:rsidRPr="00A05010" w:rsidRDefault="000E3139" w:rsidP="00A05010">
      <w:pPr>
        <w:spacing w:afterLines="50" w:after="120" w:line="340" w:lineRule="atLeast"/>
        <w:rPr>
          <w:rFonts w:ascii="SimHei" w:eastAsia="SimHei" w:hAnsi="SimHei"/>
          <w:szCs w:val="22"/>
        </w:rPr>
      </w:pPr>
      <w:r w:rsidRPr="00A05010">
        <w:rPr>
          <w:rFonts w:ascii="SimHei" w:eastAsia="SimHei" w:hAnsi="SimHei" w:hint="eastAsia"/>
          <w:szCs w:val="22"/>
        </w:rPr>
        <w:t>任何其他事务</w:t>
      </w:r>
    </w:p>
    <w:p w14:paraId="585720F8" w14:textId="37485D01" w:rsidR="005F7D4E" w:rsidRPr="00344052" w:rsidRDefault="001447AF" w:rsidP="00A05010">
      <w:pPr>
        <w:overflowPunct w:val="0"/>
        <w:spacing w:afterLines="50" w:after="120" w:line="340" w:lineRule="atLeast"/>
        <w:ind w:firstLineChars="200" w:firstLine="440"/>
        <w:jc w:val="both"/>
        <w:rPr>
          <w:rFonts w:ascii="SimSun" w:hAnsi="SimSun" w:cs="Tahoma"/>
          <w:szCs w:val="22"/>
        </w:rPr>
      </w:pPr>
      <w:r w:rsidRPr="00A05010">
        <w:rPr>
          <w:rFonts w:ascii="SimSun" w:hAnsi="SimSun" w:cs="Microsoft YaHei" w:hint="eastAsia"/>
          <w:szCs w:val="22"/>
        </w:rPr>
        <w:t>未就此</w:t>
      </w:r>
      <w:proofErr w:type="gramStart"/>
      <w:r w:rsidRPr="00A05010">
        <w:rPr>
          <w:rFonts w:ascii="SimSun" w:hAnsi="SimSun" w:cs="Microsoft YaHei" w:hint="eastAsia"/>
          <w:szCs w:val="22"/>
        </w:rPr>
        <w:t>项开展</w:t>
      </w:r>
      <w:proofErr w:type="gramEnd"/>
      <w:r w:rsidRPr="00A05010">
        <w:rPr>
          <w:rFonts w:ascii="SimSun" w:hAnsi="SimSun" w:cs="Microsoft YaHei" w:hint="eastAsia"/>
          <w:szCs w:val="22"/>
        </w:rPr>
        <w:t>讨论。</w:t>
      </w:r>
    </w:p>
    <w:p w14:paraId="779C5C14" w14:textId="68CCD968" w:rsidR="005F7D4E" w:rsidRPr="00A05010" w:rsidRDefault="000E3139" w:rsidP="00A05010">
      <w:pPr>
        <w:keepNext/>
        <w:spacing w:beforeLines="100" w:before="240" w:line="340" w:lineRule="atLeast"/>
        <w:rPr>
          <w:rFonts w:ascii="SimHei" w:eastAsia="SimHei" w:hAnsi="SimHei"/>
          <w:szCs w:val="22"/>
        </w:rPr>
      </w:pPr>
      <w:r w:rsidRPr="00A05010">
        <w:rPr>
          <w:rFonts w:ascii="SimHei" w:eastAsia="SimHei" w:hAnsi="SimHei"/>
          <w:szCs w:val="22"/>
        </w:rPr>
        <w:t>关于议程第</w:t>
      </w:r>
      <w:r w:rsidR="005F7D4E" w:rsidRPr="00A05010">
        <w:rPr>
          <w:rFonts w:ascii="SimHei" w:eastAsia="SimHei" w:hAnsi="SimHei"/>
          <w:szCs w:val="22"/>
        </w:rPr>
        <w:t>7</w:t>
      </w:r>
      <w:r w:rsidRPr="00A05010">
        <w:rPr>
          <w:rFonts w:ascii="SimHei" w:eastAsia="SimHei" w:hAnsi="SimHei"/>
          <w:szCs w:val="22"/>
        </w:rPr>
        <w:t>项的决定：</w:t>
      </w:r>
    </w:p>
    <w:p w14:paraId="448570B7" w14:textId="6E24BD36" w:rsidR="005F7D4E" w:rsidRPr="00A05010" w:rsidRDefault="000E3139" w:rsidP="00A05010">
      <w:pPr>
        <w:keepNext/>
        <w:spacing w:afterLines="50" w:after="120" w:line="340" w:lineRule="atLeast"/>
        <w:rPr>
          <w:rFonts w:ascii="SimHei" w:eastAsia="SimHei" w:hAnsi="SimHei"/>
          <w:szCs w:val="22"/>
        </w:rPr>
      </w:pPr>
      <w:r w:rsidRPr="00A05010">
        <w:rPr>
          <w:rFonts w:ascii="SimHei" w:eastAsia="SimHei" w:hAnsi="SimHei" w:hint="eastAsia"/>
          <w:szCs w:val="22"/>
        </w:rPr>
        <w:t>会议闭幕</w:t>
      </w:r>
    </w:p>
    <w:p w14:paraId="4E41E34A" w14:textId="127BB642" w:rsidR="005F7D4E" w:rsidRPr="00344052" w:rsidRDefault="001447AF" w:rsidP="00545F68">
      <w:pPr>
        <w:keepNext/>
        <w:overflowPunct w:val="0"/>
        <w:spacing w:afterLines="50" w:after="120" w:line="340" w:lineRule="atLeast"/>
        <w:ind w:firstLineChars="200" w:firstLine="440"/>
        <w:jc w:val="both"/>
        <w:rPr>
          <w:rFonts w:ascii="SimSun" w:hAnsi="SimSun"/>
          <w:szCs w:val="22"/>
        </w:rPr>
      </w:pPr>
      <w:r w:rsidRPr="00344052">
        <w:rPr>
          <w:rFonts w:ascii="SimSun" w:hAnsi="SimSun" w:hint="eastAsia"/>
        </w:rPr>
        <w:t>委员会于202</w:t>
      </w:r>
      <w:r w:rsidR="00346173" w:rsidRPr="00344052">
        <w:rPr>
          <w:rFonts w:ascii="SimSun" w:hAnsi="SimSun" w:hint="eastAsia"/>
        </w:rPr>
        <w:t>5</w:t>
      </w:r>
      <w:r w:rsidRPr="00344052">
        <w:rPr>
          <w:rFonts w:ascii="SimSun" w:hAnsi="SimSun" w:hint="eastAsia"/>
        </w:rPr>
        <w:t>年</w:t>
      </w:r>
      <w:r w:rsidR="00346173" w:rsidRPr="00344052">
        <w:rPr>
          <w:rFonts w:ascii="SimSun" w:hAnsi="SimSun" w:hint="eastAsia"/>
        </w:rPr>
        <w:t>3</w:t>
      </w:r>
      <w:r w:rsidRPr="00344052">
        <w:rPr>
          <w:rFonts w:ascii="SimSun" w:hAnsi="SimSun" w:hint="eastAsia"/>
        </w:rPr>
        <w:t>月</w:t>
      </w:r>
      <w:r w:rsidR="00346173" w:rsidRPr="00344052">
        <w:rPr>
          <w:rFonts w:ascii="SimSun" w:hAnsi="SimSun" w:hint="eastAsia"/>
        </w:rPr>
        <w:t>7</w:t>
      </w:r>
      <w:r w:rsidRPr="00344052">
        <w:rPr>
          <w:rFonts w:ascii="SimSun" w:hAnsi="SimSun" w:hint="eastAsia"/>
        </w:rPr>
        <w:t>日通过了关于议程第2、3、4和5项的决定。</w:t>
      </w:r>
    </w:p>
    <w:p w14:paraId="496CE20E" w14:textId="15BD61B2" w:rsidR="002326AB" w:rsidRPr="00A05010" w:rsidRDefault="000E3139" w:rsidP="00A05010">
      <w:pPr>
        <w:overflowPunct w:val="0"/>
        <w:spacing w:before="720" w:afterLines="50" w:after="120" w:line="340" w:lineRule="atLeast"/>
        <w:ind w:left="5534"/>
        <w:rPr>
          <w:rFonts w:ascii="KaiTi" w:eastAsia="KaiTi" w:hAnsi="KaiTi"/>
        </w:rPr>
      </w:pPr>
      <w:r w:rsidRPr="00A05010">
        <w:rPr>
          <w:rFonts w:ascii="KaiTi" w:eastAsia="KaiTi" w:hAnsi="KaiTi" w:hint="eastAsia"/>
          <w:iCs/>
          <w:szCs w:val="22"/>
        </w:rPr>
        <w:t>[文件完]</w:t>
      </w:r>
    </w:p>
    <w:sectPr w:rsidR="002326AB" w:rsidRPr="00A05010" w:rsidSect="005F7D4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3768E" w14:textId="77777777" w:rsidR="000715F4" w:rsidRDefault="000715F4">
      <w:r>
        <w:separator/>
      </w:r>
    </w:p>
  </w:endnote>
  <w:endnote w:type="continuationSeparator" w:id="0">
    <w:p w14:paraId="54A50223" w14:textId="77777777" w:rsidR="000715F4" w:rsidRDefault="000715F4" w:rsidP="003B38C1">
      <w:r>
        <w:separator/>
      </w:r>
    </w:p>
    <w:p w14:paraId="594FE1B0" w14:textId="77777777" w:rsidR="000715F4" w:rsidRPr="003B38C1" w:rsidRDefault="000715F4" w:rsidP="003B38C1">
      <w:pPr>
        <w:spacing w:after="60"/>
        <w:rPr>
          <w:sz w:val="17"/>
        </w:rPr>
      </w:pPr>
      <w:r>
        <w:rPr>
          <w:sz w:val="17"/>
        </w:rPr>
        <w:t>[Endnote continued from previous page]</w:t>
      </w:r>
    </w:p>
  </w:endnote>
  <w:endnote w:type="continuationNotice" w:id="1">
    <w:p w14:paraId="45754248" w14:textId="77777777" w:rsidR="000715F4" w:rsidRPr="003B38C1" w:rsidRDefault="000715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9780" w14:textId="77777777" w:rsidR="000715F4" w:rsidRDefault="000715F4">
      <w:r>
        <w:separator/>
      </w:r>
    </w:p>
  </w:footnote>
  <w:footnote w:type="continuationSeparator" w:id="0">
    <w:p w14:paraId="48166E53" w14:textId="77777777" w:rsidR="000715F4" w:rsidRDefault="000715F4" w:rsidP="008B60B2">
      <w:r>
        <w:separator/>
      </w:r>
    </w:p>
    <w:p w14:paraId="1F9344CA" w14:textId="77777777" w:rsidR="000715F4" w:rsidRPr="00ED77FB" w:rsidRDefault="000715F4" w:rsidP="008B60B2">
      <w:pPr>
        <w:spacing w:after="60"/>
        <w:rPr>
          <w:sz w:val="17"/>
          <w:szCs w:val="17"/>
        </w:rPr>
      </w:pPr>
      <w:r w:rsidRPr="00ED77FB">
        <w:rPr>
          <w:sz w:val="17"/>
          <w:szCs w:val="17"/>
        </w:rPr>
        <w:t>[Footnote continued from previous page]</w:t>
      </w:r>
    </w:p>
  </w:footnote>
  <w:footnote w:type="continuationNotice" w:id="1">
    <w:p w14:paraId="1CCCCA4F" w14:textId="77777777" w:rsidR="000715F4" w:rsidRPr="00ED77FB" w:rsidRDefault="000715F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5A3F" w14:textId="4061476E" w:rsidR="00D07C78" w:rsidRPr="00344052" w:rsidRDefault="00A05010" w:rsidP="00A05010">
    <w:pPr>
      <w:spacing w:afterLines="100" w:after="240"/>
      <w:jc w:val="right"/>
      <w:rPr>
        <w:rFonts w:ascii="SimSun" w:hAnsi="SimSun"/>
      </w:rPr>
    </w:pPr>
    <w:r>
      <w:rPr>
        <w:rFonts w:ascii="SimSun" w:hAnsi="SimSun" w:hint="eastAsia"/>
      </w:rPr>
      <w:t>第</w:t>
    </w:r>
    <w:r w:rsidR="00D07C78" w:rsidRPr="00344052">
      <w:rPr>
        <w:rFonts w:ascii="SimSun" w:hAnsi="SimSun"/>
      </w:rPr>
      <w:fldChar w:fldCharType="begin"/>
    </w:r>
    <w:r w:rsidR="00D07C78" w:rsidRPr="00344052">
      <w:rPr>
        <w:rFonts w:ascii="SimSun" w:hAnsi="SimSun"/>
      </w:rPr>
      <w:instrText xml:space="preserve"> PAGE  \* MERGEFORMAT </w:instrText>
    </w:r>
    <w:r w:rsidR="00D07C78" w:rsidRPr="00344052">
      <w:rPr>
        <w:rFonts w:ascii="SimSun" w:hAnsi="SimSun"/>
      </w:rPr>
      <w:fldChar w:fldCharType="separate"/>
    </w:r>
    <w:r w:rsidR="002326AB" w:rsidRPr="00344052">
      <w:rPr>
        <w:rFonts w:ascii="SimSun" w:hAnsi="SimSun"/>
        <w:noProof/>
      </w:rPr>
      <w:t>2</w:t>
    </w:r>
    <w:r w:rsidR="00D07C78" w:rsidRPr="00344052">
      <w:rPr>
        <w:rFonts w:ascii="SimSun" w:hAnsi="SimSun"/>
      </w:rPr>
      <w:fldChar w:fldCharType="end"/>
    </w:r>
    <w:r>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4E"/>
    <w:rsid w:val="00023550"/>
    <w:rsid w:val="00043CAA"/>
    <w:rsid w:val="00056816"/>
    <w:rsid w:val="000715F4"/>
    <w:rsid w:val="00075432"/>
    <w:rsid w:val="000812BA"/>
    <w:rsid w:val="000968ED"/>
    <w:rsid w:val="000A3D97"/>
    <w:rsid w:val="000E3139"/>
    <w:rsid w:val="000F0CC5"/>
    <w:rsid w:val="000F5E56"/>
    <w:rsid w:val="00130307"/>
    <w:rsid w:val="001362EE"/>
    <w:rsid w:val="0013662C"/>
    <w:rsid w:val="001447AF"/>
    <w:rsid w:val="001647D5"/>
    <w:rsid w:val="00166FC2"/>
    <w:rsid w:val="001832A6"/>
    <w:rsid w:val="001D4107"/>
    <w:rsid w:val="00203D24"/>
    <w:rsid w:val="0021000E"/>
    <w:rsid w:val="0021217E"/>
    <w:rsid w:val="002326AB"/>
    <w:rsid w:val="00243430"/>
    <w:rsid w:val="0025335A"/>
    <w:rsid w:val="002634C4"/>
    <w:rsid w:val="0028039D"/>
    <w:rsid w:val="002928D3"/>
    <w:rsid w:val="002A5EB1"/>
    <w:rsid w:val="002D16C8"/>
    <w:rsid w:val="002F1FE6"/>
    <w:rsid w:val="002F4E68"/>
    <w:rsid w:val="00300CFA"/>
    <w:rsid w:val="00312F7F"/>
    <w:rsid w:val="003153F3"/>
    <w:rsid w:val="003254D6"/>
    <w:rsid w:val="00327DDB"/>
    <w:rsid w:val="00344052"/>
    <w:rsid w:val="00346173"/>
    <w:rsid w:val="00361450"/>
    <w:rsid w:val="003673CF"/>
    <w:rsid w:val="003845C1"/>
    <w:rsid w:val="003A490B"/>
    <w:rsid w:val="003A6F89"/>
    <w:rsid w:val="003B38C1"/>
    <w:rsid w:val="003C34E9"/>
    <w:rsid w:val="003E6C9C"/>
    <w:rsid w:val="004004B1"/>
    <w:rsid w:val="00423E3E"/>
    <w:rsid w:val="00427AF4"/>
    <w:rsid w:val="00460D6D"/>
    <w:rsid w:val="004647DA"/>
    <w:rsid w:val="00474062"/>
    <w:rsid w:val="00477D6B"/>
    <w:rsid w:val="004C3C19"/>
    <w:rsid w:val="005019FF"/>
    <w:rsid w:val="0052633D"/>
    <w:rsid w:val="0053057A"/>
    <w:rsid w:val="005316E6"/>
    <w:rsid w:val="00545F68"/>
    <w:rsid w:val="00556076"/>
    <w:rsid w:val="00560A29"/>
    <w:rsid w:val="00564818"/>
    <w:rsid w:val="005C6649"/>
    <w:rsid w:val="005F4466"/>
    <w:rsid w:val="005F7D4E"/>
    <w:rsid w:val="005F7E4F"/>
    <w:rsid w:val="00601AD7"/>
    <w:rsid w:val="00605827"/>
    <w:rsid w:val="0064438D"/>
    <w:rsid w:val="00646050"/>
    <w:rsid w:val="006713CA"/>
    <w:rsid w:val="00676C5C"/>
    <w:rsid w:val="006E5890"/>
    <w:rsid w:val="00720EFD"/>
    <w:rsid w:val="00741632"/>
    <w:rsid w:val="0076660E"/>
    <w:rsid w:val="007854AF"/>
    <w:rsid w:val="00790204"/>
    <w:rsid w:val="00793A7C"/>
    <w:rsid w:val="007A398A"/>
    <w:rsid w:val="007D1613"/>
    <w:rsid w:val="007E4C0E"/>
    <w:rsid w:val="00841976"/>
    <w:rsid w:val="008A134B"/>
    <w:rsid w:val="008A2507"/>
    <w:rsid w:val="008B2CC1"/>
    <w:rsid w:val="008B60B2"/>
    <w:rsid w:val="0090731E"/>
    <w:rsid w:val="00916EE2"/>
    <w:rsid w:val="00966A22"/>
    <w:rsid w:val="0096722F"/>
    <w:rsid w:val="00980843"/>
    <w:rsid w:val="00983324"/>
    <w:rsid w:val="009A3A08"/>
    <w:rsid w:val="009C54AA"/>
    <w:rsid w:val="009E2791"/>
    <w:rsid w:val="009E3F6F"/>
    <w:rsid w:val="009F499F"/>
    <w:rsid w:val="00A05010"/>
    <w:rsid w:val="00A124C8"/>
    <w:rsid w:val="00A37342"/>
    <w:rsid w:val="00A42DAF"/>
    <w:rsid w:val="00A45BD8"/>
    <w:rsid w:val="00A764BB"/>
    <w:rsid w:val="00A869B7"/>
    <w:rsid w:val="00A90F0A"/>
    <w:rsid w:val="00AC205C"/>
    <w:rsid w:val="00AE6940"/>
    <w:rsid w:val="00AF0A6B"/>
    <w:rsid w:val="00AF7EEF"/>
    <w:rsid w:val="00B05A69"/>
    <w:rsid w:val="00B24F07"/>
    <w:rsid w:val="00B75281"/>
    <w:rsid w:val="00B92F1F"/>
    <w:rsid w:val="00B9734B"/>
    <w:rsid w:val="00BA30E2"/>
    <w:rsid w:val="00BF0236"/>
    <w:rsid w:val="00BF0934"/>
    <w:rsid w:val="00C11BFE"/>
    <w:rsid w:val="00C5068F"/>
    <w:rsid w:val="00C741B6"/>
    <w:rsid w:val="00C77D08"/>
    <w:rsid w:val="00C86D74"/>
    <w:rsid w:val="00C91A8D"/>
    <w:rsid w:val="00C923C8"/>
    <w:rsid w:val="00CB433B"/>
    <w:rsid w:val="00CD04F1"/>
    <w:rsid w:val="00CF681A"/>
    <w:rsid w:val="00D07C78"/>
    <w:rsid w:val="00D35182"/>
    <w:rsid w:val="00D45252"/>
    <w:rsid w:val="00D64F3D"/>
    <w:rsid w:val="00D71B4D"/>
    <w:rsid w:val="00D93D4C"/>
    <w:rsid w:val="00D93D55"/>
    <w:rsid w:val="00DC2A07"/>
    <w:rsid w:val="00DD7B7F"/>
    <w:rsid w:val="00DE7068"/>
    <w:rsid w:val="00E15015"/>
    <w:rsid w:val="00E16F5D"/>
    <w:rsid w:val="00E335FE"/>
    <w:rsid w:val="00E361C4"/>
    <w:rsid w:val="00E4123D"/>
    <w:rsid w:val="00E437B8"/>
    <w:rsid w:val="00E96A2E"/>
    <w:rsid w:val="00EA7D6E"/>
    <w:rsid w:val="00EB2F76"/>
    <w:rsid w:val="00EC20FF"/>
    <w:rsid w:val="00EC4E49"/>
    <w:rsid w:val="00ED77FB"/>
    <w:rsid w:val="00EE45FA"/>
    <w:rsid w:val="00F043DE"/>
    <w:rsid w:val="00F66152"/>
    <w:rsid w:val="00F9165B"/>
    <w:rsid w:val="00FA1185"/>
    <w:rsid w:val="00FB0E07"/>
    <w:rsid w:val="00FC4285"/>
    <w:rsid w:val="00FC482F"/>
    <w:rsid w:val="00FC5C7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57C26"/>
  <w15:docId w15:val="{B57E3097-61DD-443D-A61C-CC394A7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98332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8021">
      <w:bodyDiv w:val="1"/>
      <w:marLeft w:val="0"/>
      <w:marRight w:val="0"/>
      <w:marTop w:val="0"/>
      <w:marBottom w:val="0"/>
      <w:divBdr>
        <w:top w:val="none" w:sz="0" w:space="0" w:color="auto"/>
        <w:left w:val="none" w:sz="0" w:space="0" w:color="auto"/>
        <w:bottom w:val="none" w:sz="0" w:space="0" w:color="auto"/>
        <w:right w:val="none" w:sz="0" w:space="0" w:color="auto"/>
      </w:divBdr>
    </w:div>
    <w:div w:id="12563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(E)</Template>
  <TotalTime>4</TotalTime>
  <Pages>3</Pages>
  <Words>841</Words>
  <Characters>212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委员会第五十届会议的决定</dc:subject>
  <dc:creator>JIAO Fei</dc:creator>
  <cp:keywords>FOR OFFICIAL USE ONLY</cp:keywords>
  <cp:lastModifiedBy>MA Weihai</cp:lastModifiedBy>
  <cp:revision>4</cp:revision>
  <cp:lastPrinted>2011-02-15T11:56:00Z</cp:lastPrinted>
  <dcterms:created xsi:type="dcterms:W3CDTF">2025-03-07T19:00:00Z</dcterms:created>
  <dcterms:modified xsi:type="dcterms:W3CDTF">2025-03-07T21:16:00Z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2025-03-06T09:04:02Z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cdfe024c-a113-42f8-86d3-7f6e805741c5</vt:lpwstr>
  </property>
  <property fmtid="{D5CDD505-2E9C-101B-9397-08002B2CF9AE}" pid="14" name="MSIP_Label_20773ee6-353b-4fb9-a59d-0b94c8c67bea_ContentBits">
    <vt:lpwstr>0</vt:lpwstr>
  </property>
</Properties>
</file>